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40451717_13da7-ngm.htm"/>
      <w:bookmarkStart w:id="1" w:name="kseh240451717_13da7ngm"/>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7)*</w:t>
      </w:r>
    </w:p>
    <w:p>
      <w:pPr>
        <w:pStyle w:val="TextBody"/>
        <w:bidi w:val="0"/>
        <w:spacing w:before="0" w:after="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28" w:type="dxa"/>
          <w:right w:w="0" w:type="dxa"/>
        </w:tblCellMar>
      </w:tblPr>
      <w:tblGrid>
        <w:gridCol w:w="4535"/>
      </w:tblGrid>
      <w:tr>
        <w:trPr/>
        <w:tc>
          <w:tcPr>
            <w:tcW w:w="4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NGM BIOPHARMACEUTICALS, INC. </w:t>
            </w:r>
          </w:p>
        </w:tc>
      </w:tr>
      <w:tr>
        <w:trPr/>
        <w:tc>
          <w:tcPr>
            <w:tcW w:w="4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tc>
      </w:tr>
      <w:tr>
        <w:trPr/>
        <w:tc>
          <w:tcPr>
            <w:tcW w:w="4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$0.001 par value</w:t>
            </w:r>
          </w:p>
        </w:tc>
      </w:tr>
      <w:tr>
        <w:trPr/>
        <w:tc>
          <w:tcPr>
            <w:tcW w:w="4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tc>
      </w:tr>
      <w:tr>
        <w:trPr/>
        <w:tc>
          <w:tcPr>
            <w:tcW w:w="4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62921N 105</w:t>
            </w:r>
          </w:p>
        </w:tc>
      </w:tr>
      <w:tr>
        <w:trPr/>
        <w:tc>
          <w:tcPr>
            <w:tcW w:w="4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tc>
      </w:tr>
      <w:tr>
        <w:trPr/>
        <w:tc>
          <w:tcPr>
            <w:tcW w:w="45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5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James Evangelista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Column Group, LP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Letterman Drive,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D, Suite DM-900</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San Francisco, CA 94129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 865-2050</w:t>
            </w:r>
          </w:p>
        </w:tc>
      </w:tr>
      <w:tr>
        <w:trPr/>
        <w:tc>
          <w:tcPr>
            <w:tcW w:w="4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w:t>
              <w:br/>
              <w:t>Authorized to Receive Notices and Communications)</w:t>
            </w:r>
          </w:p>
        </w:tc>
      </w:tr>
      <w:tr>
        <w:trPr/>
        <w:tc>
          <w:tcPr>
            <w:tcW w:w="45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5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25, 2024</w:t>
            </w:r>
          </w:p>
        </w:tc>
      </w:tr>
      <w:tr>
        <w:trPr/>
        <w:tc>
          <w:tcPr>
            <w:tcW w:w="4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Schedules filed in paper format shall include a signed original and five copies of the schedule, including all exhibits. See §240.13d-7 for other parties to whom copies are to be sent.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as amended (“</w:t>
      </w:r>
      <w:r>
        <w:rPr>
          <w:rFonts w:ascii="Times New Roman;Times;Serif" w:hAnsi="Times New Roman;Times;Serif"/>
          <w:b w:val="false"/>
          <w:i w:val="false"/>
          <w:caps w:val="false"/>
          <w:smallCaps w:val="false"/>
          <w:sz w:val="20"/>
          <w:u w:val="single"/>
        </w:rPr>
        <w:t>Securities Exchange Act</w:t>
      </w:r>
      <w:r>
        <w:rPr>
          <w:rFonts w:ascii="Times New Roman;Times;Serif" w:hAnsi="Times New Roman;Times;Serif"/>
          <w:b w:val="false"/>
          <w:i w:val="false"/>
          <w:caps w:val="false"/>
          <w:smallCaps w:val="false"/>
          <w:sz w:val="20"/>
        </w:rPr>
        <w:t>”) or otherwise subject to the liabilities of that section of the Securities Exchange Act but shall be subject to all other provisions of the Securities Exchange Act (however, see the Notes).</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515" w:type="dxa"/>
        <w:jc w:val="left"/>
        <w:tblInd w:w="-15" w:type="dxa"/>
        <w:tblLayout w:type="fixed"/>
        <w:tblCellMar>
          <w:top w:w="28" w:type="dxa"/>
          <w:left w:w="28" w:type="dxa"/>
          <w:bottom w:w="28" w:type="dxa"/>
          <w:right w:w="28" w:type="dxa"/>
        </w:tblCellMar>
      </w:tblPr>
      <w:tblGrid>
        <w:gridCol w:w="2000"/>
        <w:gridCol w:w="1475"/>
        <w:gridCol w:w="1040"/>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0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11,103,333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11,103,333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11,103,333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TCG LP (as defined in Item 2(a) below). TCG GP (as defined in Item 2(a) below) is the general partner of TCG LP and may be deemed to have voting, investment and dispositive power with respect to these securities. Peter Svennilson and David Goeddel, a member of the Issuer’s board of directors, are the managing partners of TCG GP and may each be deemed to share voting, investment and dispositive power with respect to these securities.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Issuer’s Quarterly Report on Form 10-Q and filed with the Securities and Exchange Commission on November 2, 2023 (the “Form 10-Q”).</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515" w:type="dxa"/>
        <w:jc w:val="left"/>
        <w:tblInd w:w="-15" w:type="dxa"/>
        <w:tblLayout w:type="fixed"/>
        <w:tblCellMar>
          <w:top w:w="28" w:type="dxa"/>
          <w:left w:w="28" w:type="dxa"/>
          <w:bottom w:w="28" w:type="dxa"/>
          <w:right w:w="28" w:type="dxa"/>
        </w:tblCellMar>
      </w:tblPr>
      <w:tblGrid>
        <w:gridCol w:w="2000"/>
        <w:gridCol w:w="1475"/>
        <w:gridCol w:w="1040"/>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0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GP,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11,103,333 (2)</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11,103,333 (2)</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11,203,333 (1)(2)</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(3)</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TCG GP. Peter Svennilson and David Goeddel, a member of the Issuer’s board of directors, are the managing partners of TCG GP and may each be deemed to share voting, investment and dispositive power with respect to these securities. </w:t>
            </w:r>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TCG LP. TCG GP is the general partner of TCG LP and may be deemed to have voting, investment and dispositive power with respect to these securities. Peter Svennilson and David Goeddel, a member of the Issuer’s board of directors, are the managing partners of TCG GP and may each be deemed to share voting, investment and dispositive power with respect to these securities. </w:t>
            </w:r>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515" w:type="dxa"/>
        <w:jc w:val="left"/>
        <w:tblInd w:w="-15" w:type="dxa"/>
        <w:tblLayout w:type="fixed"/>
        <w:tblCellMar>
          <w:top w:w="28" w:type="dxa"/>
          <w:left w:w="28" w:type="dxa"/>
          <w:bottom w:w="28" w:type="dxa"/>
          <w:right w:w="28" w:type="dxa"/>
        </w:tblCellMar>
      </w:tblPr>
      <w:tblGrid>
        <w:gridCol w:w="2000"/>
        <w:gridCol w:w="1475"/>
        <w:gridCol w:w="1040"/>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0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II,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2,265,758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2,265,758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2,265,758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are held of record by TCG II LP (as defined in Item 2(a) below). TCG II GP (as defined in Item 2(a) below) is the general partner of TCG II LP and may be deemed to have voting, investment and dispositive power with respect to these securities. Peter Svennilson and David Goeddel, a member of the Issuer’s board of directors, are the managing partners of TCG II GP and may each be deemed to share voting, investment and dispositive power with respect to these securities.</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515" w:type="dxa"/>
        <w:jc w:val="left"/>
        <w:tblInd w:w="-15" w:type="dxa"/>
        <w:tblLayout w:type="fixed"/>
        <w:tblCellMar>
          <w:top w:w="28" w:type="dxa"/>
          <w:left w:w="28" w:type="dxa"/>
          <w:bottom w:w="28" w:type="dxa"/>
          <w:right w:w="28" w:type="dxa"/>
        </w:tblCellMar>
      </w:tblPr>
      <w:tblGrid>
        <w:gridCol w:w="2000"/>
        <w:gridCol w:w="1475"/>
        <w:gridCol w:w="1040"/>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0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II GP,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2,265,758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2,265,758 (1)</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2,265,758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TCG II LP. TCG II GP is the general partner of TCG II LP and may be deemed to have voting, investment and dispositive power with respect to these securities. Peter Svennilson and David Goeddel, a member of the Issuer’s board of directors, are the managing partners of TCG II GP and may each be deemed to share voting, investment and dispositive power with respect to these securities. </w:t>
            </w:r>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515" w:type="dxa"/>
        <w:jc w:val="left"/>
        <w:tblInd w:w="-15" w:type="dxa"/>
        <w:tblLayout w:type="fixed"/>
        <w:tblCellMar>
          <w:top w:w="28" w:type="dxa"/>
          <w:left w:w="28" w:type="dxa"/>
          <w:bottom w:w="28" w:type="dxa"/>
          <w:right w:w="28" w:type="dxa"/>
        </w:tblCellMar>
      </w:tblPr>
      <w:tblGrid>
        <w:gridCol w:w="2000"/>
        <w:gridCol w:w="1475"/>
        <w:gridCol w:w="1040"/>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0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Management,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TCGM LP (as defined in Item 2(a) below). Peter Svennilson, Timothy Kutzkey and David Goeddel, a member of the Issuer’s board of directors, are the managing partners of TCGM LP and may each be deemed to share voting, investment and dispositive power with respect to these securities. </w:t>
            </w:r>
          </w:p>
        </w:tc>
      </w:tr>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515" w:type="dxa"/>
        <w:jc w:val="left"/>
        <w:tblInd w:w="-15" w:type="dxa"/>
        <w:tblLayout w:type="fixed"/>
        <w:tblCellMar>
          <w:top w:w="28" w:type="dxa"/>
          <w:left w:w="28" w:type="dxa"/>
          <w:bottom w:w="28" w:type="dxa"/>
          <w:right w:w="28" w:type="dxa"/>
        </w:tblCellMar>
      </w:tblPr>
      <w:tblGrid>
        <w:gridCol w:w="2000"/>
        <w:gridCol w:w="1475"/>
        <w:gridCol w:w="1040"/>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0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Ponoi Capital,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Ponoi LP (as defined in Item 2(a) below). Ponoi LLC (as defined in Item 2(a) below) is the general partner of Ponoi LP and may be deemed to have voting, investment and dispositive power with respect to these securities. Peter Svennilson, Timothy Kutzkey and David Goeddel, a member of the Issuer’s board of directors, are the managing members of Ponoi LLC and may each be deemed to share voting, investment and dispositive power with respect to these securities. </w:t>
            </w:r>
          </w:p>
        </w:tc>
      </w:tr>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515" w:type="dxa"/>
        <w:jc w:val="left"/>
        <w:tblInd w:w="-15" w:type="dxa"/>
        <w:tblLayout w:type="fixed"/>
        <w:tblCellMar>
          <w:top w:w="28" w:type="dxa"/>
          <w:left w:w="28" w:type="dxa"/>
          <w:bottom w:w="28" w:type="dxa"/>
          <w:right w:w="28" w:type="dxa"/>
        </w:tblCellMar>
      </w:tblPr>
      <w:tblGrid>
        <w:gridCol w:w="2000"/>
        <w:gridCol w:w="1475"/>
        <w:gridCol w:w="1040"/>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0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Ponoi Management, LLC</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Ponoi LP. Ponoi LLC is the general partner of Ponoi LP and may be deemed to have voting, investment and dispositive power with respect to these securities. Peter Svennilson, Timothy Kutzkey and David Goeddel, a member of the Issuer’s board of directors, are the managing members of Ponoi LLC and may each be deemed to share voting, investment and dispositive power with respect to these securities.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515" w:type="dxa"/>
        <w:jc w:val="left"/>
        <w:tblInd w:w="-15" w:type="dxa"/>
        <w:tblLayout w:type="fixed"/>
        <w:tblCellMar>
          <w:top w:w="28" w:type="dxa"/>
          <w:left w:w="28" w:type="dxa"/>
          <w:bottom w:w="28" w:type="dxa"/>
          <w:right w:w="28" w:type="dxa"/>
        </w:tblCellMar>
      </w:tblPr>
      <w:tblGrid>
        <w:gridCol w:w="2000"/>
        <w:gridCol w:w="1475"/>
        <w:gridCol w:w="1040"/>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0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9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Ponoi Capital II,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Ponoi II LP (as defined in Item 2(a) below). Ponoi II LLC (as defined in Item 2(a) below) is the general partner of Ponoi II LP and may be deemed to have voting, investment and dispositive power with respect to these securities. Peter Svennilson, Timothy Kutzkey and David Goeddel, a member of the Issuer’s board of directors, are the managing members of Ponoi II LLC and may each be deemed to share voting, investment and dispositive power with respect to these securities. </w:t>
            </w:r>
          </w:p>
        </w:tc>
      </w:tr>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10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Ponoi II Management, LLC</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1,298,908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Ponoi II LP. Ponoi II LLC is the general partner of Ponoi II LP and may be deemed to have voting, investment and dispositive power with respect to these securities. Peter Svennilson, Timothy Kutzkey and David Goeddel, a member of the Issuer’s board of directors, are the managing members of Ponoi II LLC and may each be deemed to share voting, investment and dispositive power with respect to these securities.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11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III,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858,035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858,035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858,035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TCG III LP (as defined in Item 2(a) below). TCG III GP (as defined in Item 2(a) below) is the general partner of TCG III LP and may be deemed to have voting, investment and dispositive power with respect to these securities. Peter Svennilson, Timothy Kutzkey and David Goeddel, a member of the Issuer’s board of directors, are the managing partners of TCG III GP and may each be deemed to share voting, investment and dispositive power with respect to these securities. </w:t>
            </w:r>
          </w:p>
        </w:tc>
      </w:tr>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82,715,507 shares of Common Stock outstanding as of October 30, 2023, as reported in the Form 10-Q.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12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III-A,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968,990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968,990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968,990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TCG III-A LP (as defined in Item 2(a) below). TCG III GP is the general partner of TCG III-A LP and may be deemed to have voting, investment and dispositive power with respect to these securities. Peter Svennilson, Timothy Kutzkey and David Goeddel, a member of the Issuer’s board of directors, are the managing partners of TCG III GP and may each be deemed to share voting, investment and dispositive power with respect to these securities. </w:t>
            </w:r>
          </w:p>
        </w:tc>
      </w:tr>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13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III GP,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1,827,025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1,827,025 (1)</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1,827,025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858,035 shares held of record by TCG III LP and (ii) 968,990 shares held of record by TCG III-A LP. TCG III GP is the general partner of each of TCG III LP and TCG III-A LP and may be deemed to have voting, investment and dispositive power with respect to these securities. Peter Svennilson, Timothy Kutzkey and David Goeddel, a member of the Issuer’s board of directors, are the managing partners of TCG III GP and may each be deemed to share voting, investment and dispositive power with respect to these securities. </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14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IV,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2,650,177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2,650,177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2,650,177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TCG IV LP (as defined in Item 2(a) below). TCG IV GP LP (as defined in Item 2(a) below) is the general partner of TCG IV LP and may be deemed to have voting, investment and dispositive power with respect to these securities. TCG IV GP LLC (as defined in Item 2(a) below) is the general partner of TCG IV GP LP and the ultimate general partner of TCG IV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 </w:t>
            </w:r>
          </w:p>
        </w:tc>
      </w:tr>
    </w:tbl>
    <w:tbl>
      <w:tblPr>
        <w:tblW w:w="9460" w:type="dxa"/>
        <w:jc w:val="left"/>
        <w:tblInd w:w="0" w:type="dxa"/>
        <w:tblLayout w:type="fixed"/>
        <w:tblCellMar>
          <w:top w:w="0" w:type="dxa"/>
          <w:left w:w="0" w:type="dxa"/>
          <w:bottom w:w="0" w:type="dxa"/>
          <w:right w:w="0" w:type="dxa"/>
        </w:tblCellMar>
      </w:tblPr>
      <w:tblGrid>
        <w:gridCol w:w="260"/>
        <w:gridCol w:w="920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15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IV-A,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90,442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90,442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90,442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TCG IV-A LP (as defined in Item 2(a) below). TCG IV GP LP is the general partner of TCG IV-A LP and may be deemed to have voting, investment and dispositive power with respect to these securities. TCG IV GP LLC is the general partner of TCG IV GP LP and the ultimate general partner of TCG IV-A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 </w:t>
            </w:r>
          </w:p>
        </w:tc>
      </w:tr>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16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IV GP,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2,740,619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2,740,619 (1)</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2,740,619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2,650,177 shares held of record by TCG IV LP and (ii) 90,442 shares held of record by TCG IV-A LP. TCG IV GP LP is the general partner of each of TCG IV LP and TCG IV-A LP and may be deemed to have voting, investment and dispositive power with respect to these securities. TCG IV GP LLC is the general partner of TCG IV GP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 </w:t>
            </w:r>
          </w:p>
        </w:tc>
      </w:tr>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17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 IV GP, LLC</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2,740,619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2,740,619 (1)</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2,740,619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(i) 2,650,177 shares held of record by TCG IV LP and (ii) 90,442 shares held of record by TCG IV-A LP. TCG IV GP LP is the general partner of each of TCG IV LP and TCG IV-A LP and may be deemed to have voting, investment and dispositive power with respect to these securities. TCG IV GP LLC is the general partner of TCG IV GP LP and the ultimate general partner of each of TCG IV LP and TCG IV-A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 </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18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Opportunity III,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WC</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949,862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949,862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949,862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of record by TCG Opportunity III LP (as defined in Item 2(a) below). TCG Opportunity III GP LP (as defined in Item 2(a) below)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Timothy Kutzkey and David Goeddel, a member of the Issuer’s board of directors, are the managing members of TCG Opportunity III GP LLC and may each be deemed to share voting, investment and dispositive power with respect to these securities. </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19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Opportunity III GP, LP</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949,862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949,862 (1)</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949,862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are held of record by TCG Opportunity III LP. TCG Opportunity GP LP is the general partner of TCG Opportunity III LP and may be deemed to have voting, investment and dispositive power with respect to these securities. TCG Opportunity GP LLC is the general partner of TCG Opportunity GP LP and the ultimate general partner of TCG Opportunity III LP and may be deemed to have voting, investment and dispositive power with respect to these securities. Peter Svennilson, Timothy Kutzkey and David Goeddel, a member of the Issuer’s board of directors, are the managing members of TCG Opportunity III GP LLC and may each be deemed to share voting, investment and dispositive power with respect to these securities.</w:t>
            </w:r>
          </w:p>
        </w:tc>
      </w:tr>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20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 Opportunity III GP, LLC</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949,862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949,862 (1)</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949,862 (1)</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(2)</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are held of record by TCG Opportunity III LP. TCG Opportunity GP LP is the general partner of TCG Opportunity III LP and may be deemed to have voting, investment and dispositive power with respect to these securities. TCG Opportunity GP LLC is the general partner of TCG Opportunity GP LP and the ultimate general partner of TCG Opportunity III LP and may be deemed to have voting, investment and dispositive power with respect to these securities. Peter Svennilson, Timothy Kutzkey and David Goeddel, a member of the Issuer’s board of directors, are the managing members of TCG Opportunity III GP LLC and may each be deemed to share voting, investment and dispositive power with respect to these securities.</w:t>
            </w:r>
          </w:p>
        </w:tc>
      </w:tr>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21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Svennilson</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PF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44,000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21,684,413 (2)</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44,000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21,684,413 (2)</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21,728,413 (1)(2)</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 (3)</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are held directly by Peter Svennilson.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Peter Svennilson is a managing partner of TCG GP, TCG II GP, TCGM LP and TCG III GP, and a managing member of Ponoi LLC, Ponoi II LLC, TCG Opportunity III GP LLC and TCG IV GP LLC and may be deemed to share voting and dispositive control over the shares of Common Stock held by TCG LP, TCG GP, TCG II LP, TCGM LP, Ponoi LP, Ponoi II LP, TCG III LP, TCG III-A LP, TCG Opportunity III LP, TCG IV LP and TCG IV-A LP.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22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V. Goeddel</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PF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205,096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21,874,413 (2)</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205,096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21,874,413 (2)</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22,079,509 (1)(2)</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 (3)</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134,180 shares held directly by David Goeddel and (ii) 70,916 shares underlying stock options granted to David Goeddel for his service as a member of the Issuer’s board of directors, which vest within 60 days of this statement.</w:t>
            </w:r>
          </w:p>
        </w:tc>
      </w:tr>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David Goeddel, a member of the Issuer’s board of directors, is a managing partner of TCG GP, TCG II GP, TCGM LP and TCG III GP, and a managing member of Ponoi LLC, Ponoi II LLC, TCG Opportunity III GP LLC and TCG IV GP LLC and may be deemed to share voting and dispositive control over the shares of Common Stock held by TCG LP, TCG GP, TCG II LP, TCGM LP, Ponoi LP, Ponoi II LP, TCG III LP, TCG III-A LP, TCG Opportunity III LP, TCG IV LP and TCG IV-A LP. David Goeddel serves as co-trustee of the David V. Goeddel and Alena Z. Goeddel 2004 Trust (the “Goeddel Trust”) and shares voting and dispositive control over 190,000 shares of Common Stock held directly by the Goeddel Trust. </w:t>
            </w:r>
          </w:p>
        </w:tc>
      </w:tr>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82,786,423 shares of Common Stock outstanding, which consists of (a) 82,715,507 shares of Common Stock outstanding as of October 30, 2023, as reported in the Form 10-Q plus (b) 70,916 shares underlying stock options granted to David Goeddel for his service as a member of the Issuer's board of directors, which vest within 60 days of this statement.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23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720" w:type="dxa"/>
        <w:jc w:val="left"/>
        <w:tblInd w:w="-15" w:type="dxa"/>
        <w:tblLayout w:type="fixed"/>
        <w:tblCellMar>
          <w:top w:w="28" w:type="dxa"/>
          <w:left w:w="28" w:type="dxa"/>
          <w:bottom w:w="28" w:type="dxa"/>
          <w:right w:w="0" w:type="dxa"/>
        </w:tblCellMar>
      </w:tblPr>
      <w:tblGrid>
        <w:gridCol w:w="140"/>
        <w:gridCol w:w="9050"/>
        <w:gridCol w:w="530"/>
      </w:tblGrid>
      <w:tr>
        <w:trPr/>
        <w:tc>
          <w:tcPr>
            <w:tcW w:w="14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50"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Timothy Kutzkey</w:t>
            </w:r>
          </w:p>
        </w:tc>
        <w:tc>
          <w:tcPr>
            <w:tcW w:w="5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 PF</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050"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DISCLOSURE OF LEGAL PROCEEDINGS IS REQUIRED PURSUANT TO ITEMS 2(d) or 2(e)</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53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140" w:type="dxa"/>
            <w:tcBorders>
              <w:left w:val="single" w:sz="12" w:space="0" w:color="000000"/>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050" w:type="dxa"/>
            <w:tcBorders>
              <w:left w:val="single" w:sz="12" w:space="0" w:color="000000"/>
            </w:tcBorders>
            <w:tcMar>
              <w:top w:w="0" w:type="dxa"/>
              <w:bottom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w:t>
            </w:r>
          </w:p>
        </w:tc>
        <w:tc>
          <w:tcPr>
            <w:tcW w:w="530"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tbl>
      <w:tblPr>
        <w:tblW w:w="4830" w:type="dxa"/>
        <w:jc w:val="left"/>
        <w:tblInd w:w="-15" w:type="dxa"/>
        <w:tblLayout w:type="fixed"/>
        <w:tblCellMar>
          <w:top w:w="28" w:type="dxa"/>
          <w:left w:w="28" w:type="dxa"/>
          <w:bottom w:w="0" w:type="dxa"/>
          <w:right w:w="0" w:type="dxa"/>
        </w:tblCellMar>
      </w:tblPr>
      <w:tblGrid>
        <w:gridCol w:w="1895"/>
        <w:gridCol w:w="230"/>
        <w:gridCol w:w="2705"/>
      </w:tblGrid>
      <w:tr>
        <w:trPr/>
        <w:tc>
          <w:tcPr>
            <w:tcW w:w="1895" w:type="dxa"/>
            <w:vMerge w:val="restart"/>
            <w:tcBorders>
              <w:top w:val="single" w:sz="12" w:space="0" w:color="000000"/>
              <w:left w:val="single" w:sz="12"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 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23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70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8,215,322 (2)</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705" w:type="dxa"/>
            <w:tcBorders>
              <w:left w:val="single" w:sz="12" w:space="0" w:color="000000"/>
              <w:bottom w:val="single" w:sz="12" w:space="0" w:color="000000"/>
              <w:right w:val="single" w:sz="12" w:space="0" w:color="000000"/>
            </w:tcBorders>
            <w:tcMar>
              <w:top w:w="0" w:type="dxa"/>
              <w:bottom w:w="28"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 (1)</w:t>
            </w:r>
          </w:p>
        </w:tc>
      </w:tr>
      <w:tr>
        <w:trPr/>
        <w:tc>
          <w:tcPr>
            <w:tcW w:w="1895" w:type="dxa"/>
            <w:vMerge w:val="continue"/>
            <w:tcBorders>
              <w:top w:val="single" w:sz="12" w:space="0" w:color="000000"/>
              <w:left w:val="single" w:sz="12" w:space="0" w:color="000000"/>
            </w:tcBorders>
            <w:vAlign w:val="center"/>
          </w:tcPr>
          <w:p>
            <w:pPr>
              <w:pStyle w:val="Normal"/>
              <w:bidi w:val="0"/>
              <w:jc w:val="left"/>
              <w:rPr/>
            </w:pPr>
            <w:r>
              <w:rPr/>
            </w:r>
          </w:p>
        </w:tc>
        <w:tc>
          <w:tcPr>
            <w:tcW w:w="230" w:type="dxa"/>
            <w:tcBorders>
              <w:left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705" w:type="dxa"/>
            <w:tcBorders>
              <w:left w:val="single" w:sz="12" w:space="0" w:color="000000"/>
              <w:right w:val="single" w:sz="12" w:space="0" w:color="000000"/>
            </w:tcBorders>
            <w:tcMar>
              <w:top w:w="0" w:type="dxa"/>
              <w:right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8,215,322 (2)</w:t>
            </w:r>
          </w:p>
        </w:tc>
      </w:tr>
    </w:tbl>
    <w:tbl>
      <w:tblPr>
        <w:tblW w:w="8175" w:type="dxa"/>
        <w:jc w:val="left"/>
        <w:tblInd w:w="-15" w:type="dxa"/>
        <w:tblLayout w:type="fixed"/>
        <w:tblCellMar>
          <w:top w:w="28" w:type="dxa"/>
          <w:left w:w="28" w:type="dxa"/>
          <w:bottom w:w="28" w:type="dxa"/>
          <w:right w:w="0" w:type="dxa"/>
        </w:tblCellMar>
      </w:tblPr>
      <w:tblGrid>
        <w:gridCol w:w="245"/>
        <w:gridCol w:w="7685"/>
        <w:gridCol w:w="245"/>
      </w:tblGrid>
      <w:tr>
        <w:trPr/>
        <w:tc>
          <w:tcPr>
            <w:tcW w:w="24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685" w:type="dxa"/>
            <w:tcBorders>
              <w:top w:val="single" w:sz="12" w:space="0" w:color="000000"/>
              <w:left w:val="single" w:sz="12" w:space="0" w:color="000000"/>
              <w:bottom w:val="single" w:sz="12" w:space="0" w:color="000000"/>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8,230,322 (1)(2)</w:t>
            </w:r>
          </w:p>
        </w:tc>
        <w:tc>
          <w:tcPr>
            <w:tcW w:w="24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(11) EXCLUDES CERTAIN SHARES</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(3)</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685" w:type="dxa"/>
            <w:tcBorders>
              <w:left w:val="single" w:sz="12" w:space="0" w:color="000000"/>
              <w:bottom w:val="single" w:sz="12"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c>
          <w:tcPr>
            <w:tcW w:w="24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are held directly by Timothy Kutzkey.</w:t>
            </w:r>
          </w:p>
        </w:tc>
      </w:tr>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Timothy Kutzkey is a managing member of Ponoi LLC, Ponoi II LLC, TCG Opportunity III GP LLC and TCG IV GP LLC, and a managing partner of TCG III GP and TCGM LP and may be deemed to share voting and dispositive control over the shares of Common Stock held by Ponoi LP, Ponoi II LP, TCG III LP, TCG III-A LP, TCG Opportunity III LP, TCG IV LP, TCG IV-A LP and TCGM LP. </w:t>
            </w:r>
          </w:p>
        </w:tc>
      </w:tr>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82,715,507 shares of Common Stock outstanding as of October 30, 2023, as reported in the Form 10-Q.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24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Security and Issuer</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7 supplements and amends the Schedule 13D relating to shares of common stock, par value $0.001 per share (the “Common Stock”), of NGM Biopharmaceuticals, Inc., a Delaware corporation (the “Issuer”), that was filed with the Securities and Exchange Commission (the “SEC”) on April 12, 2019 as it has been amended by Amendment No. 1, Amendment No. 2, Amendment No. 3, Amendment No. 4, Amendment No. 5 and Amendment No. 6 that were filed with the SEC on May 17, 2019, October 18, 2019, April 2, 2020, February 3, 2022, June 10, 2022 and December 29, 2023, respectively (collectively, the “Amended Statement”). Only those items that are reported are hereby amended; all other items reported in the Amended Statement remain unchanged. Capitalized terms contained herein but not otherwise defined shall have the meanings ascribed to such terms in the Amended Statement. Information given in response to each item shall be deemed incorporated by reference in all other items as applicable.</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Source and Amount of Funds or Other Consideration</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4 hereof is hereby incorporated by reference into this Item 3, as applicable.</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Purpose of Transaction</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 of the Amended Statement is hereby amended and supplemented by adding the following:</w:t>
      </w:r>
    </w:p>
    <w:p>
      <w:pPr>
        <w:pStyle w:val="TextBody"/>
        <w:bidi w:val="0"/>
        <w:spacing w:before="0" w:after="20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and Plan of Merger</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2024, the Issuer entered into an Agreement and Plan of Merger (the “Merger Agreement”) with Atlas Neon Parent, Inc., a Delaware corporation (“Parent”), and Atlas Neon Merger Sub, Inc., a Delaware corporation and a wholly-owned subsidiary of Parent (“Merger Sub”). Parent and Merger Sub are affiliates of the Reporting Persons.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among other things, (i) the acquisition of the Issuer by Parent through a cash tender offer (the “Offer”) by Merger Sub for the Issuer’s outstanding shares of Common Stock for $1.55 per share (the “Offer Price”) and (ii) the merger of Merger Sub with and into the Issuer (the “Merger”) with the Issuer surviving the Merger. Subject to the terms of the Merger Agreement, the Offer Price will be paid subject to any applicable tax withholding and without interest.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unanimous recommendation of a Special Committee (the “Special Committee”) of the Issuer’s Board of Directors (the “Board”), the members of the Board (other than Messrs. Goeddel and Perlmutter, who recused themselves because of their relationship to the Reporting Persons, and Mr. Rieflin, who recused himself because he is party to the Stockholder Rollover Agreement (as defined below)) have unanimously determined that the terms of the Offer, the Merger and the other transactions contemplated by the Merger Agreement are fair to and in the best interests of the Issuer and its stockholders other than the Reporting Persons, Parent, Merger Sub, the Rollover Stockholders (as defined below), the members of the Board and the officers of the Issuer subject to Section 16 of the Exchange Act (the “Unaffiliated Stockholders”), authorized and approved the execution, delivery and performance by the Issuer of the Merger Agreement and, subject to the terms and conditions of the Merger Agreement, the consummation by the Issuer of the transactions contemplated by the Merger Agreement, declared the Merger Agreement and the transactions contemplated by the Merger Agreement advisable and recommended that the Unaffiliated Stockholders accept the Offer and tender their shares of Common Stock pursuant to the Offer. Under the Merger Agreement, Parent is required to commence the Offer no later than 10 business days after the date of the Merger Agreement. The Offer will expire at one minute after 11:59 p.m., Eastern time, on the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of the Offer, unless extended in accordance with the terms of the Offer and the Merger Agreement and the applicable rules and regulations of the SEC.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as of the effective time of the Merger (the “Effective Time”), by virtue of the Merger and without any action on the part of the holders, (i) each outstanding share of Common Stock of the Issuer (other than any shares of Common Stock (a) held in the treasury of the Issuer, (b) owned, directly or indirectly, by the Reporting Persons, Parent, Merger Sub, any other subsidiary of Parent, or the Rollover</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25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at the commencement of the Offer and immediately prior to the Effective Time (other than those otherwise tendered in the Offer by such stockholders), (c) irrevocably accepted for purchase in the Offer or (d) owned by any stockholders who are entitled to and who properly exercise appraisal rights under Delaware law) will be converted into the right to receive the Offer Price without interest, less any applicable tax withholding; (ii) the vesting of each option to purchase shares of Common Stock from the Issuer (“Company Stock Options”) shall be accelerated and (A) each Company Stock Option that has an exercise price per share that is less than the Offer Price (each, an “In-the-Money Option”) that is then outstanding will be cancelled and, in exchange therefor, the holder of such cancelled In-the-Money Option will be entitled to receive an amount in cash, without any interest thereon and subject to applicable tax withholding, equal to the product of (x) the total number of shares of Common Stock underlying such In-the-Money Option as of immediately prior to the Effective Time multiplied by (y) the excess of the Offer Price over the applicable exercise price per share of Common Stock underlying such In-the-Money Option, and (B) each Company Stock Option that is not an In-the-Money Option will be cancelled for no consideration; and (iii) each unvested restricted stock unit (“RSU”) of the Issuer that is then outstanding shall become immediately vested in full and cancelled, and, in exchange therefor, the holder of such cancelled RSU will be entitled to receive an amount in cash without interest, less any applicable tax withholding, equal to the Offer Price.</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Sub’s obligation to accept shares of Common Stock tendered in the Offer is subject to conditions, including: (i) that the number of shares of Common Stock validly tendered and not validly withdrawn, equals at least a majority of all shares of Common Stock then owned by the Unaffiliated Stockholders as of the expiration of the Offer; (ii) the accuracy of the Issuer’s representations and warranties contained in the Merger Agreement (subject to certain exceptions and qualifications described in the Merger Agreement and except, generally, for any inaccuracies that have not had a Company Material Adverse Effect (as defined in the Merger Agreement)), (iii) the Issuer’s performance in all material respects of its obligations under the Merger Agreement and (iv) the other conditions set forth in Exhibit A to the Merger Agreement. The obligations of Parent and Merger Sub to consummate the Offer and the Merger under the Merger Agreement are not subject to a financing condition.</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Offer, subject to the absence of injunctions or other legal restraints preventing or prohibiting the consummation of the Merger, Merger Sub will merge with and into the Issuer, with the Issuer surviving as a wholly-owned subsidiary of Parent, pursuant to the procedure provided for under Section 251(h) of the Delaware General Corporation Law, without any additional stockholder approvals. The Merger will be effected as soon as practicable following the time at which Merger Sub purchases the shares of Common Stock validly tendered and not withdrawn in the Offer.</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and warranties by Parent, Merger Sub and the Issuer. The Merger Agreement also contains customary covenants and agreements, including with respect to the operations of the business of the Issuer between signing and closing.</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non-solicitation restrictions prohibiting the Issuer’s solicitation of alternative business combination transactions and restricts the Issuer’s ability to furnish non-public information to, or participate in any discussions or negotiations with, any third party with respect to any such alternative business combination transaction, subject to customary exceptions in the event of an acquisition proposal that was not solicited in violation of these restrictions and that the Board (acting upon the recommendation of the Special Committee) or the Special Committee determines constitutes or could reasonably be expected to lead to a Superior Company Proposal (as defined in the Merger Agreement).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termination rights for both Parent and Merger Sub, on the one hand, and the Issuer, on the other hand, including, among others, for failure to consummate the Offer on or before June 15, 2024. If the Merger Agreement is terminated under certain circumstances specified in the Merger Agreement in connection with the Issuer’s entry into an agreement with respect to a Superior Company Proposal, the Issuer will be required to pay Parent a termination fee of $2.0 million.</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does not purport to be complete and is qualified in its entirety by reference to the Merger Agreement, a copy of which is filed as Exhibit 1 hereto. If the Merger is effected, the Issuer’s Common Stock will be delisted from The Nasdaq Stock Market LLC and the Issuer’s obligation to file periodic reports under the Exchange Act will terminate, and the Issuer will be privately held.</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26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Guaranty</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and as a condition and inducement to the Issuer’s willingness to enter into the Merger Agreement, The Column Group, LP, The Column Group GP, LP, The Column Group Management, LP, The Column Group II, LP, The Column Group III, LP, The Column Group III-A, LP, The Column Group IV, LP, The Column Group IV-A, LP, The Column Group Opportunity III, LP, Ponoi Capital, LP and Ponoi Capital II, LP executed and delivered to the Issuer a limited guaranty (the “Limited Guaranty”), dated as of the date of the Merger Agreement, in favor of the Issuer, in respect of certain of Parent and the Merger Sub’s obligations arising under, or in connection with, the Merger Agreement. The obligations under the Limited Guaranty are subject to a cap of $10 million, subject to certain other terms and conditions.</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terms of the Limited Guaranty does not purport to be complete and is qualified in its entirety by reference to the complete text of the Limited Guaranty, which is filed herewith as Exhibit 2.</w:t>
      </w:r>
    </w:p>
    <w:p>
      <w:pPr>
        <w:pStyle w:val="TextBody"/>
        <w:bidi w:val="0"/>
        <w:spacing w:before="0" w:after="20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Rollover Agreement</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certain of the Reporting Persons entered into a rollover agreement (the “TCG Rollover Agreement”) with Parent and Merger Sub, dated as of the date of the Merger Agreement. In addition, certain of the Issuer’s other stockholders, including the Chairman of the Issuer’s board (collectively, the “Rollover Stockholders”), who in the aggregate hold approximately 22% of the Issuer’s Common Stock, have entered into a rollover agreement (the “Stockholder Rollover Agreement” and, together with the TCG Rollover Agreement, the “Rollover Agreements”) with Parent and Merger Sub, dated as of the date of the Merger Agreement. Pursuant to the applicable Rollover Agreement, the Reporting Persons party thereto and each of the Rollover Stockholders have agreed, among other things, that they will not transfer or tender their shares of Common Stock subject to the applicable Rollover Agreement in the Offer and that instead (i) such shares of Common Stock will be contributed to Parent immediately prior to the closing of the Merger, and (ii) in consideration for such contribution, Parent will issue to the Reporting Persons and each Rollover Stockholder, as applicable, common shares of Parent. Each Rollover Agreement provides that it will terminate in the event the Merger Agreement is terminated in accordance with its terms. Each Rollover Agreement contains other representations, warranties, and covenants of the parties thereto, as applicable, and other terms in connection with the shares of Common Stock subject to each Rollover Agreement and matters related to Parent prior to and following the closing.</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terms of the Rollover Agreements does not purport to be complete and is qualified in its entirety by reference to the complete text of the Rollover Agreements, which are filed herewith as Exhibit 3 and 4, respectively.</w:t>
      </w:r>
    </w:p>
    <w:p>
      <w:pPr>
        <w:pStyle w:val="TextBody"/>
        <w:bidi w:val="0"/>
        <w:spacing w:before="0" w:after="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Contracts, Arrangements, Understandings or Relationships with Respect to Securities of the Issuer</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4 hereof is hereby incorporated by reference into this Item 6, as applicable.</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Material to be Filed as Exhibits.</w:t>
      </w:r>
    </w:p>
    <w:tbl>
      <w:tblPr>
        <w:tblW w:w="10205" w:type="dxa"/>
        <w:jc w:val="left"/>
        <w:tblInd w:w="0" w:type="dxa"/>
        <w:tblLayout w:type="fixed"/>
        <w:tblCellMar>
          <w:top w:w="0" w:type="dxa"/>
          <w:left w:w="0" w:type="dxa"/>
          <w:bottom w:w="28" w:type="dxa"/>
          <w:right w:w="0" w:type="dxa"/>
        </w:tblCellMar>
      </w:tblPr>
      <w:tblGrid>
        <w:gridCol w:w="822"/>
        <w:gridCol w:w="60"/>
        <w:gridCol w:w="9323"/>
      </w:tblGrid>
      <w:tr>
        <w:trPr/>
        <w:tc>
          <w:tcPr>
            <w:tcW w:w="822" w:type="dxa"/>
            <w:tcBorders>
              <w:bottom w:val="single" w:sz="8"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23"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822" w:type="dxa"/>
            <w:tcBorders/>
            <w:tcMar>
              <w:bottom w:w="0" w:type="dxa"/>
            </w:tcMar>
            <w:vAlign w:val="center"/>
          </w:tcPr>
          <w:p>
            <w:pPr>
              <w:pStyle w:val="TableContents"/>
              <w:bidi w:val="0"/>
              <w:spacing w:before="0" w:after="283"/>
              <w:jc w:val="center"/>
              <w:rPr>
                <w:sz w:val="20"/>
              </w:rPr>
            </w:pPr>
            <w:r>
              <w:rPr>
                <w:sz w:val="20"/>
              </w:rPr>
              <w:t>1</w:t>
            </w:r>
          </w:p>
        </w:tc>
        <w:tc>
          <w:tcPr>
            <w:tcW w:w="60" w:type="dxa"/>
            <w:tcBorders/>
            <w:tcMar>
              <w:bottom w:w="0" w:type="dxa"/>
            </w:tcMar>
            <w:vAlign w:val="center"/>
          </w:tcPr>
          <w:p>
            <w:pPr>
              <w:pStyle w:val="TableContents"/>
              <w:bidi w:val="0"/>
              <w:spacing w:before="0" w:after="283"/>
              <w:jc w:val="left"/>
              <w:rPr/>
            </w:pPr>
            <w:r>
              <w:rPr/>
              <w:t> </w:t>
            </w:r>
          </w:p>
        </w:tc>
        <w:tc>
          <w:tcPr>
            <w:tcW w:w="9323" w:type="dxa"/>
            <w:tcBorders/>
            <w:tcMar>
              <w:bottom w:w="0" w:type="dxa"/>
            </w:tcMar>
            <w:vAlign w:val="center"/>
          </w:tcPr>
          <w:p>
            <w:pPr>
              <w:pStyle w:val="TableContents"/>
              <w:bidi w:val="0"/>
              <w:spacing w:before="0" w:after="283"/>
              <w:jc w:val="left"/>
              <w:rPr/>
            </w:pPr>
            <w:hyperlink r:id="rId2">
              <w:r>
                <w:rPr>
                  <w:rStyle w:val="InternetLink"/>
                  <w:sz w:val="20"/>
                </w:rPr>
                <w:t>Agreement and Plan of Merger between the Issuer, Parent and Merger Sub, dated February 25, 2024 (incorporated by reference to Exhibit 2.1 to the Issuer’s Current Report on Form 8-K filed with the SEC on February 26, 2024)</w:t>
              </w:r>
            </w:hyperlink>
          </w:p>
        </w:tc>
      </w:tr>
      <w:tr>
        <w:trPr/>
        <w:tc>
          <w:tcPr>
            <w:tcW w:w="822" w:type="dxa"/>
            <w:tcBorders/>
            <w:tcMar>
              <w:bottom w:w="0" w:type="dxa"/>
            </w:tcMar>
            <w:vAlign w:val="center"/>
          </w:tcPr>
          <w:p>
            <w:pPr>
              <w:pStyle w:val="TableContents"/>
              <w:bidi w:val="0"/>
              <w:spacing w:before="0" w:after="283"/>
              <w:jc w:val="center"/>
              <w:rPr>
                <w:sz w:val="20"/>
              </w:rPr>
            </w:pPr>
            <w:r>
              <w:rPr>
                <w:sz w:val="20"/>
              </w:rPr>
              <w:t>2</w:t>
            </w:r>
          </w:p>
        </w:tc>
        <w:tc>
          <w:tcPr>
            <w:tcW w:w="60" w:type="dxa"/>
            <w:tcBorders/>
            <w:tcMar>
              <w:bottom w:w="0" w:type="dxa"/>
            </w:tcMar>
            <w:vAlign w:val="center"/>
          </w:tcPr>
          <w:p>
            <w:pPr>
              <w:pStyle w:val="TableContents"/>
              <w:bidi w:val="0"/>
              <w:spacing w:before="0" w:after="283"/>
              <w:jc w:val="left"/>
              <w:rPr/>
            </w:pPr>
            <w:r>
              <w:rPr/>
              <w:t> </w:t>
            </w:r>
          </w:p>
        </w:tc>
        <w:tc>
          <w:tcPr>
            <w:tcW w:w="9323" w:type="dxa"/>
            <w:tcBorders/>
            <w:tcMar>
              <w:bottom w:w="0" w:type="dxa"/>
            </w:tcMar>
            <w:vAlign w:val="center"/>
          </w:tcPr>
          <w:p>
            <w:pPr>
              <w:pStyle w:val="TableContents"/>
              <w:bidi w:val="0"/>
              <w:spacing w:before="0" w:after="283"/>
              <w:jc w:val="left"/>
              <w:rPr/>
            </w:pPr>
            <w:hyperlink r:id="rId3">
              <w:r>
                <w:rPr>
                  <w:rStyle w:val="InternetLink"/>
                  <w:sz w:val="20"/>
                </w:rPr>
                <w:t>Limited Guaranty, dated February 25, 2024 (incorporated by reference to Exhibit 10.1 to the Issuer’s Current Report on Form 8-K filed with the SEC on February 26, 2024)</w:t>
              </w:r>
            </w:hyperlink>
          </w:p>
        </w:tc>
      </w:tr>
      <w:tr>
        <w:trPr/>
        <w:tc>
          <w:tcPr>
            <w:tcW w:w="822" w:type="dxa"/>
            <w:tcBorders/>
            <w:tcMar>
              <w:bottom w:w="0" w:type="dxa"/>
            </w:tcMar>
            <w:vAlign w:val="center"/>
          </w:tcPr>
          <w:p>
            <w:pPr>
              <w:pStyle w:val="TableContents"/>
              <w:bidi w:val="0"/>
              <w:spacing w:before="0" w:after="283"/>
              <w:jc w:val="center"/>
              <w:rPr>
                <w:sz w:val="20"/>
              </w:rPr>
            </w:pPr>
            <w:r>
              <w:rPr>
                <w:sz w:val="20"/>
              </w:rPr>
              <w:t>3</w:t>
            </w:r>
          </w:p>
        </w:tc>
        <w:tc>
          <w:tcPr>
            <w:tcW w:w="60" w:type="dxa"/>
            <w:tcBorders/>
            <w:tcMar>
              <w:bottom w:w="0" w:type="dxa"/>
            </w:tcMar>
            <w:vAlign w:val="center"/>
          </w:tcPr>
          <w:p>
            <w:pPr>
              <w:pStyle w:val="TableContents"/>
              <w:bidi w:val="0"/>
              <w:spacing w:before="0" w:after="283"/>
              <w:jc w:val="left"/>
              <w:rPr/>
            </w:pPr>
            <w:r>
              <w:rPr/>
              <w:t> </w:t>
            </w:r>
          </w:p>
        </w:tc>
        <w:tc>
          <w:tcPr>
            <w:tcW w:w="9323" w:type="dxa"/>
            <w:tcBorders/>
            <w:tcMar>
              <w:bottom w:w="0" w:type="dxa"/>
            </w:tcMar>
            <w:vAlign w:val="center"/>
          </w:tcPr>
          <w:p>
            <w:pPr>
              <w:pStyle w:val="TableContents"/>
              <w:bidi w:val="0"/>
              <w:spacing w:before="0" w:after="283"/>
              <w:jc w:val="left"/>
              <w:rPr/>
            </w:pPr>
            <w:hyperlink w:anchor="eh240451717_ex03.htm">
              <w:r>
                <w:rPr>
                  <w:rStyle w:val="InternetLink"/>
                  <w:sz w:val="20"/>
                </w:rPr>
                <w:t>TCG Rollover Agreement, between certain of the Reporting Persons, Parent and Merger Sub, dated February 25, 2024.</w:t>
              </w:r>
            </w:hyperlink>
          </w:p>
        </w:tc>
      </w:tr>
      <w:tr>
        <w:trPr/>
        <w:tc>
          <w:tcPr>
            <w:tcW w:w="822" w:type="dxa"/>
            <w:tcBorders/>
            <w:tcMar>
              <w:bottom w:w="0" w:type="dxa"/>
            </w:tcMar>
            <w:vAlign w:val="center"/>
          </w:tcPr>
          <w:p>
            <w:pPr>
              <w:pStyle w:val="TableContents"/>
              <w:bidi w:val="0"/>
              <w:spacing w:before="0" w:after="283"/>
              <w:jc w:val="center"/>
              <w:rPr>
                <w:sz w:val="20"/>
              </w:rPr>
            </w:pPr>
            <w:r>
              <w:rPr>
                <w:sz w:val="20"/>
              </w:rPr>
              <w:t>4</w:t>
            </w:r>
          </w:p>
        </w:tc>
        <w:tc>
          <w:tcPr>
            <w:tcW w:w="60" w:type="dxa"/>
            <w:tcBorders/>
            <w:tcMar>
              <w:bottom w:w="0" w:type="dxa"/>
            </w:tcMar>
            <w:vAlign w:val="center"/>
          </w:tcPr>
          <w:p>
            <w:pPr>
              <w:pStyle w:val="TableContents"/>
              <w:bidi w:val="0"/>
              <w:spacing w:before="0" w:after="283"/>
              <w:jc w:val="left"/>
              <w:rPr/>
            </w:pPr>
            <w:r>
              <w:rPr/>
              <w:t> </w:t>
            </w:r>
          </w:p>
        </w:tc>
        <w:tc>
          <w:tcPr>
            <w:tcW w:w="9323" w:type="dxa"/>
            <w:tcBorders/>
            <w:tcMar>
              <w:bottom w:w="0" w:type="dxa"/>
            </w:tcMar>
            <w:vAlign w:val="center"/>
          </w:tcPr>
          <w:p>
            <w:pPr>
              <w:pStyle w:val="TableContents"/>
              <w:bidi w:val="0"/>
              <w:spacing w:before="0" w:after="283"/>
              <w:jc w:val="left"/>
              <w:rPr/>
            </w:pPr>
            <w:hyperlink w:anchor="eh240451717_ex04.htm">
              <w:r>
                <w:rPr>
                  <w:rStyle w:val="InternetLink"/>
                  <w:sz w:val="20"/>
                </w:rPr>
                <w:t>Stockholder Rollover Agreement, between certain stockholders, Parent and Merger Sub, dated February 25, 2024</w:t>
              </w:r>
            </w:hyperlink>
          </w:p>
        </w:tc>
      </w:tr>
    </w:tbl>
    <w:p>
      <w:pPr>
        <w:pStyle w:val="TextBody"/>
        <w:bidi w:val="0"/>
        <w:spacing w:before="0" w:after="283"/>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27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26, 2024</w:t>
      </w:r>
    </w:p>
    <w:tbl>
      <w:tblPr>
        <w:tblW w:w="10205" w:type="dxa"/>
        <w:jc w:val="left"/>
        <w:tblInd w:w="0" w:type="dxa"/>
        <w:tblLayout w:type="fixed"/>
        <w:tblCellMar>
          <w:top w:w="0" w:type="dxa"/>
          <w:left w:w="0" w:type="dxa"/>
          <w:bottom w:w="0" w:type="dxa"/>
          <w:right w:w="0" w:type="dxa"/>
        </w:tblCellMar>
      </w:tblPr>
      <w:tblGrid>
        <w:gridCol w:w="321"/>
        <w:gridCol w:w="60"/>
        <w:gridCol w:w="4583"/>
        <w:gridCol w:w="60"/>
        <w:gridCol w:w="60"/>
        <w:gridCol w:w="60"/>
        <w:gridCol w:w="341"/>
        <w:gridCol w:w="60"/>
        <w:gridCol w:w="4583"/>
        <w:gridCol w:w="77"/>
      </w:tblGrid>
      <w:tr>
        <w:trPr/>
        <w:tc>
          <w:tcPr>
            <w:tcW w:w="4964" w:type="dxa"/>
            <w:gridSpan w:val="3"/>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044" w:type="dxa"/>
            <w:gridSpan w:val="4"/>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GP, LP</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GP,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044" w:type="dxa"/>
            <w:gridSpan w:val="4"/>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II,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II GP, LP</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II GP,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044" w:type="dxa"/>
            <w:gridSpan w:val="4"/>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PONOI CAPITAL,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PONOI MANAGEMENT, LLC</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Ponoi Management,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044" w:type="dxa"/>
            <w:gridSpan w:val="4"/>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PONOI CAPITAL II,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PONOI II MANAGEMENT, LLC</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Ponoi II Management,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044" w:type="dxa"/>
            <w:gridSpan w:val="4"/>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MANAGEMENT,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III GP, LP</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5044" w:type="dxa"/>
            <w:gridSpan w:val="4"/>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III,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III-A, LP</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pBdr>
                <w:bottom w:val="single" w:sz="6" w:space="1" w:color="000000"/>
              </w:pBdr>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III GP,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pBdr>
                <w:bottom w:val="single" w:sz="6" w:space="1" w:color="000000"/>
              </w:pBdr>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III GP, LP</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Attorney-in-Fact on behalf of Timothy Kutzkey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Attorney-in-Fact on behalf of Timothy Kutzkey</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Attorney-in-Fact on behalf of Peter Svennilson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Attorney-in-Fact on behalf of Peter Svennilson</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Attorney-in-Fact on behalf of David V. Goeddel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pPr>
            <w:r>
              <w:rPr/>
              <w:t>/s/ James Evangelista, Attorney-in-Fact on behalf of David V. Goeddel</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96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IV,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IV GP, LP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01" w:type="dxa"/>
            <w:gridSpan w:val="2"/>
            <w:tcBorders/>
            <w:vAlign w:val="center"/>
          </w:tcPr>
          <w:p>
            <w:pPr>
              <w:pStyle w:val="TableContents"/>
              <w:bidi w:val="0"/>
              <w:spacing w:before="0" w:after="283"/>
              <w:jc w:val="left"/>
              <w:rPr/>
            </w:pPr>
            <w:r>
              <w:rPr/>
              <w:t> </w:t>
            </w:r>
          </w:p>
        </w:tc>
        <w:tc>
          <w:tcPr>
            <w:tcW w:w="4643"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 IV GP,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Evangelista, Partner &amp; 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620" w:type="dxa"/>
        <w:jc w:val="left"/>
        <w:tblInd w:w="-15" w:type="dxa"/>
        <w:tblLayout w:type="fixed"/>
        <w:tblCellMar>
          <w:top w:w="28" w:type="dxa"/>
          <w:left w:w="28" w:type="dxa"/>
          <w:bottom w:w="28" w:type="dxa"/>
          <w:right w:w="28" w:type="dxa"/>
        </w:tblCellMar>
      </w:tblPr>
      <w:tblGrid>
        <w:gridCol w:w="2000"/>
        <w:gridCol w:w="1475"/>
        <w:gridCol w:w="114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62921N 105</w:t>
            </w:r>
          </w:p>
        </w:tc>
        <w:tc>
          <w:tcPr>
            <w:tcW w:w="1475" w:type="dxa"/>
            <w:tcBorders/>
            <w:tcMar>
              <w:top w:w="0" w:type="dxa"/>
              <w:left w:w="0" w:type="dxa"/>
              <w:bottom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tc>
        <w:tc>
          <w:tcPr>
            <w:tcW w:w="114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28 of 28</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335"/>
        <w:gridCol w:w="60"/>
        <w:gridCol w:w="5300"/>
        <w:gridCol w:w="75"/>
      </w:tblGrid>
      <w:tr>
        <w:trPr/>
        <w:tc>
          <w:tcPr>
            <w:tcW w:w="56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IV-A, LP</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IV GP, LP</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 IV GP, LLC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IV GP, LP</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 IV GP, LLC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TCG IV GP, LLC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OPPORTUNITY III, LP</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Column Group Opportunity III GP, LP</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 Opportunity III GP, LLC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COLUMN GROUP OPPORTUNITY III GP, LP</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 Opportunity III GP, LLC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TCG OPPORTUNITY III GP, LLC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bottom w:val="single" w:sz="8" w:space="0" w:color="000000"/>
            </w:tcBorders>
            <w:tcMar>
              <w:bottom w:w="28" w:type="dxa"/>
            </w:tcMar>
            <w:vAlign w:val="center"/>
          </w:tcPr>
          <w:p>
            <w:pPr>
              <w:pStyle w:val="TableContents"/>
              <w:bidi w:val="0"/>
              <w:spacing w:before="0" w:after="283"/>
              <w:jc w:val="left"/>
              <w:rPr/>
            </w:pPr>
            <w:r>
              <w:rPr/>
              <w:t>/s/ James Evangelista, Partner &amp; Chief Financial Officer</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TIMOTHY KUTZKEY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Evangelista, Attorney-in-Fact</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 SVENNILSON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Evangelista, Attorney-in-Fact</w:t>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56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V. GOEDDEL</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Evangelista, Attorney-in-Fact</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0"/>
        </w:rPr>
      </w:pPr>
      <w:bookmarkStart w:id="2" w:name="eh240451717_ex03.htm"/>
      <w:bookmarkStart w:id="3" w:name="kseh240451717_ex03"/>
      <w:bookmarkEnd w:id="2"/>
      <w:bookmarkEnd w:id="3"/>
      <w:r>
        <w:rPr>
          <w:rFonts w:ascii="Times New Roman;Times;Serif" w:hAnsi="Times New Roman;Times;Serif"/>
          <w:b/>
          <w:i w:val="false"/>
          <w:caps w:val="false"/>
          <w:smallCaps w:val="false"/>
          <w:sz w:val="20"/>
        </w:rPr>
        <w:t>EXHIBIT 3</w:t>
      </w:r>
      <w:r>
        <w:br w:type="page"/>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ROLLOVER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ROLLOVER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February 25, 2024, by and among (i) Atlas Neon Parent,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(ii) Atlas Neon Merger Sub, Inc.,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(iii) the Persons listed on the signature pages hereto under the heading “Sponsors” (“</w:t>
      </w:r>
      <w:r>
        <w:rPr>
          <w:rFonts w:ascii="Times New Roman;Times;Serif" w:hAnsi="Times New Roman;Times;Serif"/>
          <w:b w:val="false"/>
          <w:i w:val="false"/>
          <w:caps w:val="false"/>
          <w:smallCaps w:val="false"/>
          <w:sz w:val="20"/>
          <w:u w:val="single"/>
        </w:rPr>
        <w:t>Sponsors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Capitalized terms used but not defined herein shall have the meanings given to them in the Merger Agreement (as defined below).</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Parent and Merger Sub are parties to the Agreement and Plan of Merger dated as of the date hereof (as amended, supplemented or modified from time to time in accordance with the terms thereof and in compliance with this Agreement,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NGM Biopharmaceuticals,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pursuant to which, upon the terms and subject to the conditions set forth therein, Parent has agreed to cause Merger Sub to commence a cash tender offer (as it may be amended from time to time in accordance with the terms of the Merger Agreement, the “</w:t>
      </w:r>
      <w:r>
        <w:rPr>
          <w:rFonts w:ascii="Times New Roman;Times;Serif" w:hAnsi="Times New Roman;Times;Serif"/>
          <w:b w:val="false"/>
          <w:i w:val="false"/>
          <w:caps w:val="false"/>
          <w:smallCaps w:val="false"/>
          <w:sz w:val="20"/>
          <w:u w:val="single"/>
        </w:rPr>
        <w:t>Offer</w:t>
      </w:r>
      <w:r>
        <w:rPr>
          <w:rFonts w:ascii="Times New Roman;Times;Serif" w:hAnsi="Times New Roman;Times;Serif"/>
          <w:b w:val="false"/>
          <w:i w:val="false"/>
          <w:caps w:val="false"/>
          <w:smallCaps w:val="false"/>
          <w:sz w:val="20"/>
        </w:rPr>
        <w:t>”) to purchase all the outstanding shares of common stock, par value $0.001 per share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of the Company for a price per share of $1.55, subject to applicable tax withholding and without interest (the “</w:t>
      </w:r>
      <w:r>
        <w:rPr>
          <w:rFonts w:ascii="Times New Roman;Times;Serif" w:hAnsi="Times New Roman;Times;Serif"/>
          <w:b w:val="false"/>
          <w:i w:val="false"/>
          <w:caps w:val="false"/>
          <w:smallCaps w:val="false"/>
          <w:sz w:val="20"/>
          <w:u w:val="single"/>
        </w:rPr>
        <w:t>Offer Price</w:t>
      </w:r>
      <w:r>
        <w:rPr>
          <w:rFonts w:ascii="Times New Roman;Times;Serif" w:hAnsi="Times New Roman;Times;Serif"/>
          <w:b w:val="false"/>
          <w:i w:val="false"/>
          <w:caps w:val="false"/>
          <w:smallCaps w:val="false"/>
          <w:sz w:val="20"/>
        </w:rPr>
        <w:t>”). On the terms and subject to the conditions set forth in the Merger Agreement, following the closing of the Offer, Parent will cause Merger Sub to merge with and into the Company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as a subsidiary of Parent.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Holder desires, in lieu of receiving the Offer Price and subject to the terms and conditions set forth herein, immediately prior to the Merger Closing, to contribute that number of Company Common Stock held by it that is set forth on such Holder’s signature page hereto (such Holder’s “</w:t>
      </w:r>
      <w:r>
        <w:rPr>
          <w:rFonts w:ascii="Times New Roman;Times;Serif" w:hAnsi="Times New Roman;Times;Serif"/>
          <w:b w:val="false"/>
          <w:i w:val="false"/>
          <w:caps w:val="false"/>
          <w:smallCaps w:val="false"/>
          <w:sz w:val="20"/>
          <w:u w:val="single"/>
        </w:rPr>
        <w:t>Rollover Shares</w:t>
      </w:r>
      <w:r>
        <w:rPr>
          <w:rFonts w:ascii="Times New Roman;Times;Serif" w:hAnsi="Times New Roman;Times;Serif"/>
          <w:b w:val="false"/>
          <w:i w:val="false"/>
          <w:caps w:val="false"/>
          <w:smallCaps w:val="false"/>
          <w:sz w:val="20"/>
        </w:rPr>
        <w:t>”) and in exchange for each such Rollover Share to receive 100 newly issued common shares of Parent, par value US$0.001 (“</w:t>
      </w:r>
      <w:r>
        <w:rPr>
          <w:rFonts w:ascii="Times New Roman;Times;Serif" w:hAnsi="Times New Roman;Times;Serif"/>
          <w:b w:val="false"/>
          <w:i w:val="false"/>
          <w:caps w:val="false"/>
          <w:smallCaps w:val="false"/>
          <w:sz w:val="20"/>
          <w:u w:val="single"/>
        </w:rPr>
        <w:t>Parent Shares</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Agreement governs the relationship of the parties hereto pending the Merger Closing (including in respect of the Merger Agreement, the Merger and the other Transactions) and with respect to Parent and the Parent Shares following the Merger Closing.</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br/>
        <w:t>ROLLOVER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Contribution and Subscription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Effective immediately prior to the Merger Closing and subject to and conditioned upon the satisfaction of the conditions set forth in ‎Section 1.3, (x) each Holder agrees to and hereby does contribute, assign, transfer and deliver to Parent, and Parent agrees to and hereby does acquire, assume and accept from each Holder, all of such Holder’s right, title and interest in, to and under the number of Rollover Shares as set forth on such Holder’s signature page hereto and (y) in consideration for such contribution and concurrently therewith, Parent shall and does issue to such Holder (or, if agreed in writing by such Holder and Parent, an Affiliate of such Holder), and such Holder shall, automatically and with no further action thereby, subscribe for, acquire and accept, that number of Parent Shares equal to 100 times the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Holder’s Rollover Shares so contributed hereunder (such contribution and subscription, the “</w:t>
      </w:r>
      <w:r>
        <w:rPr>
          <w:rFonts w:ascii="Times New Roman;Times;Serif" w:hAnsi="Times New Roman;Times;Serif"/>
          <w:b w:val="false"/>
          <w:i w:val="false"/>
          <w:caps w:val="false"/>
          <w:smallCaps w:val="false"/>
          <w:sz w:val="20"/>
          <w:u w:val="single"/>
        </w:rPr>
        <w:t>Rollover Closing</w:t>
      </w:r>
      <w:r>
        <w:rPr>
          <w:rFonts w:ascii="Times New Roman;Times;Serif" w:hAnsi="Times New Roman;Times;Serif"/>
          <w:b w:val="false"/>
          <w:i w:val="false"/>
          <w:caps w:val="false"/>
          <w:smallCaps w:val="false"/>
          <w:sz w:val="20"/>
        </w:rPr>
        <w:t>”). Each Holder hereby acknowledges and agrees that (i) delivery of the Parent Shares pursuant to and in accordance with the foregoing sentence shall constitute complete satisfaction of all obligations towards or sums due to such Holder by Parent and Merger Sub in respect of the Rollover Shares held by such Holder and cancelled at the Merger Closing as contemplated by the Merger Agreement, and (ii) such Holder shall have no right to the Offer Price pursuant to the Offer, the Merger or otherwise in respect of the Rollover Shares of such Holder.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Parent may determine in its sole discretion to reduce, in whole or in part, the amount of Rollover Shares of any Holder upon written notice given to such Holder at least three (3) Business Days prior to the Rollover Closing. Upon delivery of such notice, the number of Rollover Shares opposite such Holder’s name shall be reduced as provided in such notice (and for the avoidance of doubt the Company Common Stock so reduced shall thereupon cease to be Rollover Shares hereunder and shall instead have the right to the Offer Price in connection with the Offer and Merger).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Conditions to the Obligation of each Holder</w:t>
      </w:r>
      <w:r>
        <w:rPr>
          <w:rFonts w:ascii="Times New Roman;Times;Serif" w:hAnsi="Times New Roman;Times;Serif"/>
          <w:b w:val="false"/>
          <w:i w:val="false"/>
          <w:caps w:val="false"/>
          <w:smallCaps w:val="false"/>
          <w:sz w:val="20"/>
        </w:rPr>
        <w:t>. The obligation of each Holder under this Agreement to consummate the transactions of such Holder contemplated hereby is subject to the satisfaction of the following conditions prior to or concurrently with the Rollover Closing: (i) the representations and warranties made in this Agreement by Parent shall be true and correct in all material respects as of the Rollover Closing; (ii) each of the covenants and obligations that Parent is required to comply with or to perform pursuant to this Agreement shall have been complied with and performed in all material respects; (iii) the execution and delivery of this Agreement by Parent, Merger Sub and the Sponsors; and (iv) effective immediately following the Rollover Closing, the Merger Closing shall occur pursuant to and in accordance with the Merger Agreement as in effect on the date hereof.</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Conditions to the Obligation of Parent and Merger Sub</w:t>
      </w:r>
      <w:r>
        <w:rPr>
          <w:rFonts w:ascii="Times New Roman;Times;Serif" w:hAnsi="Times New Roman;Times;Serif"/>
          <w:b w:val="false"/>
          <w:i w:val="false"/>
          <w:caps w:val="false"/>
          <w:smallCaps w:val="false"/>
          <w:sz w:val="20"/>
        </w:rPr>
        <w:t xml:space="preserve">. The obligations of Parent and Merger Sub to consummate the transactions of Parent and Merger Sub contemplated hereby is subject to, in each case with respect to the applicable Holder, the satisfaction of the following conditions prior to or concurrently with the Rollover Closing: (i) the representations and warranties made in this Agreement by the applicable Holder shall be true and correct in all material respects as of the Rollover Closing; (ii) each of the covenants and obligations that the applicable Holder is required to comply with or to perform pursuant to this Agreement shall have been complied with and performed in all material respects; (iii) the execution and delivery of this Agreement and the accredited investor certificate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in each case by the applicable Holder; and (iv) effective immediately following the Rollover Closing, the Merger Closing shall occur pursuant to and in accordance with the Merger Agreement.</w:t>
      </w:r>
    </w:p>
    <w:p>
      <w:pPr>
        <w:pStyle w:val="TextBody"/>
        <w:bidi w:val="0"/>
        <w:jc w:val="left"/>
        <w:rPr>
          <w:caps w:val="false"/>
          <w:smallCaps w:val="false"/>
        </w:rPr>
      </w:pPr>
      <w:r>
        <w:rPr>
          <w:caps w:val="false"/>
          <w:smallCaps w:val="false"/>
        </w:rPr>
        <w:t> </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br/>
        <w:t>RESTRICTIONS ON TRANSFER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Agreement Not to Transfer</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the contribution to Parent of Rollover Shares pursuant to this Agreement or with the prior written consent of Parent, Holder hereby agrees, from the date hereof until the termination of this Agreement in accordance with its terms, such Holder shall not, and shall cause its Affiliates not to, directly or indirectly:</w:t>
      </w:r>
    </w:p>
    <w:p>
      <w:pPr>
        <w:pStyle w:val="TextBody"/>
        <w:bidi w:val="0"/>
        <w:spacing w:before="0" w:after="24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offer for sale, sell (constructively or otherwise), transfer, assign, tender in any tender or exchange offer (including the Offer), gift, hedge, pledge, charge, mortgage, grant, encumber, hypothecate or otherwise assign or dispose of (by merger, testamentary disposition, operation of Law or otherwise) (collectively,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or enter into any Contract, option or other arrangement or understanding with respect to the Transfer of any of its Rollover Shares or any interest therein, including, without limitation, any swap transaction, option, warrant, forward purchase or sale transaction, futures, derivative or any other similar transaction (including any option with respect to any such transaction) or combination of any such transactions, in each case involving any of its Rollover Shares which (x) has, or could reasonably be expected to have, the effect of reducing or limiting such person’s economic interest in such Rollover Shares and/or (y) with respect to its Rollover Shares, grants a third party the right to vote or direct the voting, tender, sale or Transfer of such Rollover Shares;</w:t>
      </w:r>
    </w:p>
    <w:p>
      <w:pPr>
        <w:pStyle w:val="TextBody"/>
        <w:bidi w:val="0"/>
        <w:spacing w:before="0" w:after="24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deposit any of its Rollover Shares into a voting trust or enter into a voting agreement or arrangement or grant any proxy or power of attorney with respect thereto that is inconsistent with this Agreement;</w:t>
      </w:r>
    </w:p>
    <w:p>
      <w:pPr>
        <w:pStyle w:val="TextBody"/>
        <w:bidi w:val="0"/>
        <w:spacing w:before="0" w:after="24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convert or exchange, or take any action which would result in the conversion or exchange of, any of its Rollover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apply to the conversion, exercise or settlement of any incentive units of the Company in accordance with the terms and conditions thereof; or</w:t>
      </w:r>
    </w:p>
    <w:p>
      <w:pPr>
        <w:pStyle w:val="TextBody"/>
        <w:bidi w:val="0"/>
        <w:spacing w:before="0" w:after="24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agree to take any of the actions referred to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involuntary Transfer of any Holder’s Rollover Shares shall occur, the transferee (which term, as used herein, shall include any and all transferees and subsequent transferees of the initial transferee) shall take and hold such Rollover Shares subject to all of the restrictions, obligations, liabilities and rights under this Agreement, which shall continue until this Agreement is terminated in accordance with its terms.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action taken in violation of this Section 2.1 shall, to the fullest extent permitted by law,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Holder hereby authorizes and instructs the Company to cause the Company’s transfer agent or other registrar to enter stop transfer instructions and implement stop transfer procedures with respect to all of the Rollover Shares or other capital stock or any securities convertible into or exercisable or exchangeable for Rollover Shares or other capital stock of the Company owned or held (of record or beneficially) by such Stockholder during the term of this Agreement.</w:t>
      </w:r>
    </w:p>
    <w:p>
      <w:pPr>
        <w:pStyle w:val="TextBody"/>
        <w:bidi w:val="0"/>
        <w:spacing w:before="240" w:after="240"/>
        <w:ind w:left="240" w:right="24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Agreement Not to Tender</w:t>
      </w:r>
      <w:r>
        <w:rPr>
          <w:rFonts w:ascii="Times New Roman;Times;Serif" w:hAnsi="Times New Roman;Times;Serif"/>
          <w:b w:val="false"/>
          <w:i w:val="false"/>
          <w:caps w:val="false"/>
          <w:smallCaps w:val="false"/>
          <w:sz w:val="20"/>
        </w:rPr>
        <w:t>. Holder hereby agrees that, from the date hereof until the termination of this Agreement in accordance with its terms, such Holder shall not, and shall cause its Affiliates not to, directly or indirectly, tender or agree or commit to tender any of</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Rollover Shares pursuant to the Offer, including in any “subsequent offering period” in accordance with Rule 14d-11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To the extent any Holder directly or indirectly tenders or purports to tender any of its Rollover Shares in the Offer in violation or contravention of this Agreement, such Holder acknowledges and agrees that, to the maximum extent permitted by applicable Law, such tender and any right to receive the Offer Price thereunder shall in each case be null and void in all respects and such Rollover Shares shall remain subject to the terms of this Agreement; provided, if at any time the Rollover Shares are required under applicable Law to be treated pursuant to and in accordance with the Offer and the Merger Agreement and/or to receive the Offer Price, then the contribution of such Rollover Shares to Parent and the issuance of Parent Shares to such Holder in consideration therefor in each case as contemplated by this Agreement shall be null and void in all respects and such Holder shall have no claim or right to any Parent Shares pursuant to this Agreement or otherwise in respect of any such Rollover Shares. For the avoidance of doubt, each Holder acknowledges and agrees that, with respect to any share of Company Common Stock, in no circumstances shall such Holder have the right to receive both the Offer Price and any Parent Shares. This Article II shall terminate in the event that the offered price in the Offer exceeds the Offer Price.</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br/>
        <w:t>[RESERVED]</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br/>
        <w:t>REPRESENTATIONS AND WARRANTIES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Representations and Warranties of each Holder</w:t>
      </w:r>
      <w:r>
        <w:rPr>
          <w:rFonts w:ascii="Times New Roman;Times;Serif" w:hAnsi="Times New Roman;Times;Serif"/>
          <w:b w:val="false"/>
          <w:i w:val="false"/>
          <w:caps w:val="false"/>
          <w:smallCaps w:val="false"/>
          <w:sz w:val="20"/>
        </w:rPr>
        <w:t>. Each Holder, severally and not jointly, represents and warrants to Parent that, as of the date hereof and as of the Rollover Closing:</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is the legal owner of the Rollover Shares set forth on its signature page hereto and has good and valid title to such Rollover Shares, free and clear of all Liens except as may be imposed by applicable securities Law;</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Holder has the requisite power and authority to execute and deliver this Agreement, to perform such Person’s obligations hereunder and to consummate the transactions contemplated hereby;</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Holder is not a natural person, such Holder is duly organized, validly existing and in good standing under the laws of the jurisdiction of its formation;</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duly executed and delivered by such Holder and, if such Holder is not a natural person, the execution, delivery and performance of this Agreement by such Holder, and the consummation of the transactions contemplated hereby have been duly authorized by all necessary corporate or similar action on the part of such Person and no other corporate or similar actions or proceedings on the part of such Person are necessary to authorize this Agreement or to consummate the transactions contemplated hereby;</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due authorization, execution and delivery by Parent, this Agreement constitutes a legal, valid and binding agreement of such Holder, enforceable against such Holder in accordance with its terms;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contemplated hereby or disclosed in a Schedule 13D filed with the SEC by a Holder, as amended as of the date hereof, there are no options, warrants or other rights or Contracts to which it is a party relating to the pledge, disposition or voting of any of such Holder’s Rollover Shares, and such Rollover Shares are not subject to any voting trust agreement or other Contract to which Holder or any of its Affiliates is a party restricting or otherwise relating to the voting or Transfer of such Rollover Shares (other than the express terms of this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the applicable requirements of the Exchange Act and Laws of the State of Delaware, (i) no filing with, and no permit, authorization, consent or approval of, any Governmental Entity is necessary on the part of such Holder for the execution, delivery and performance of this Agreement by such Holder or the consummation by such Holder of the transactions contemplated hereby, and (ii) neither the execution, delivery or performance of this Agreement by such Holder, nor the consummation by such Holder of the transactions contemplated hereby, nor compliance by such Person with any of the provisions hereof shall violate any Contract to which such Holder is a party or by which such Holder or any property or asset of such Holder is bound or affected, in each case which have, or could have, the effect of preventing, impeding or interfering with or adversely affecting the performance by such Holder of its obligations under this Agreement or violate any applicable Law;</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of the date hereof, there is no Proceeding pending or, to the knowledge of such Holder, threatened against such Holder or any of Affiliates that restrict, prohibit, or delay (or, if successful, would restrict or prohibit, restrict or delay) the performance by such Holder of its obligations under this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Holder (i) has been afforded the opportunity to ask such questions as it has deemed necessary of, and to receive answers from, representatives of Parent concerning the terms and conditions of the transactions contemplated hereby and the merits and risks of owning Parent Shares, (ii) is a sophisticated investor familiar with the risk and nature of transactions of the type contemplated by this Agreement and the Merger Agreement, (iii) acknowledges that it has been advised to discuss with its own legal, tax and financial advisors the meaning and legal, tax and financial consequences of this Agreement and the transactions contemplated hereby, (iv) acknowledges that the value of the Parent Shares is uncertain and subject to considerable risk and may be less than the Offer Price and that none of Parent, Merger Sub, the Sponsors, the other Holders, or any of their respective Affiliates or Representatives makes any representations or warranties as to the value or performance of the Parent Shares, and (v) acknowledges it must bear and is capable of bearing the economic risk of the Parent Shares for an indefinite period of time as such Parent Shares have not been registered for sale or Transfer under the Securities Act or otherwise and therefore cannot be sold or otherwise Transferred unless either the Parent Shares are subsequently registered thereunder or an exemption from such registration is available;</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such Holder is (i) acquiring the Parent Shares for such Holder’s own account, for investment only, and not with a view to any resale or public distribution thereof and (ii)</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 an “accredited investor” within the meaning of Rule 501 promulgated under the Securities Act (and, at the date hereof, such Holder has delivered to Parent an executed accredited investor certificate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such Holder is a married individual and such Holder’s Rollover Shares constitute community property or otherwise require spousal approval in order for this Agreement to be a legally valid and binding obligation of such Holder, this Agreement has been duly executed and delivered by such Holder’s spouse and constitutes a legally valid and binding obligation of such Holder’s spouse, enforceable against such Holder’s spouse in accordance with its terms;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such Holder understands and acknowledges that Parent and Merger Sub are entering into this Agreement and the Merger Agreement in reliance upon such Holder’s execution, delivery and performance of this Agreement and the accuracy of the representations and warranties of such Holder hereunder.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Representations and Warranties of Parent</w:t>
      </w:r>
      <w:r>
        <w:rPr>
          <w:rFonts w:ascii="Times New Roman;Times;Serif" w:hAnsi="Times New Roman;Times;Serif"/>
          <w:b w:val="false"/>
          <w:i w:val="false"/>
          <w:caps w:val="false"/>
          <w:smallCaps w:val="false"/>
          <w:sz w:val="20"/>
        </w:rPr>
        <w:t>. Parent represents and warrants to each Holder that as of the date hereof and as of immediately prior to the Rollover Closing:</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is a Delaware corporation, duly incorporated, validly existing and in good standing under the Laws of the State of Delaware and has all requisite corporate or similar power and authority to execute and deliver this Agreement, to perform its obligations hereunder and to consummate the transactions contemplated hereby. This Agreement has been duly and validly executed and delivered by Parent and the execution, delivery and performance of this Agreement by Parent and the consummation of the transactions contemplated hereby have been duly authorized by all necessary corporate action on the part of Parent and no other corporate actions or proceedings on the part of Parent are necessary to authorize this Agreement or to consummate the transactions contemplated hereby. Assuming due authorization, execution and delivery by the other parties, this Agreement constitutes a legal, valid and binding obligation of Parent, enforceable against Parent in accordance with its terms;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the applicable requirements of the Exchange Act and Laws of the State of Delaware and as set forth in the Merger Agreement, (i) no filing with, and no permit, authorization, consent or approval of, any Governmental Entity is necessary on the part of Parent for the execution, delivery and performance of this Agreement by Parent or the consummation by Parent of the transactions contemplated hereby, and (ii) neither the execution, delivery or performance of this Agreement by Parent, nor the consummation by Parent of the transactions contemplated hereby, nor compliance by Parent with any of the provisions hereof shall violate any material Contract to which Parent is a party or by which Parent or any of its property or asset is bound or affected, or violate any order, writ, injunction, decree, statute, rule or regulation applicable to Parent or any of its properties or assets;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Rollover Closing, the Parent Shares to be issued under this Agreement shall have been duly and validly authorized and when issued and delivered in accordance with the terms hereof, will be validly issued, fully paid and nonassessable, free and clear of all Liens,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restrictions arising under applicable securities Laws, the organizational documents of Parent or the Shareholder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after the Rollover Closing, the Parent Shares issued pursuant to this Agreement shall be all of the Parent Shares outstanding (other than any shares which may have been issued by Parent in connection with the formation thereof, which in any event shall be forfeited or cancelled promptly following the Rollover Closing for no consideration);</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shd w:fill="FFFFFF" w:val="clear"/>
        </w:rPr>
        <w:t xml:space="preserve">Parent and Merger Sub have no, and immediately prior to the Rollover Closing, will have no, assets (other than Parent’s equity </w:t>
      </w:r>
      <w:r>
        <w:rPr>
          <w:rFonts w:ascii="Times New Roman;Times;Serif" w:hAnsi="Times New Roman;Times;Serif"/>
          <w:b w:val="false"/>
          <w:i w:val="false"/>
          <w:caps w:val="false"/>
          <w:smallCaps w:val="false"/>
          <w:sz w:val="20"/>
        </w:rPr>
        <w:t xml:space="preserve">interests </w:t>
      </w:r>
      <w:r>
        <w:rPr>
          <w:rFonts w:ascii="Times New Roman;Times;Serif" w:hAnsi="Times New Roman;Times;Serif"/>
          <w:b w:val="false"/>
          <w:i w:val="false"/>
          <w:caps w:val="false"/>
          <w:smallCaps w:val="false"/>
          <w:sz w:val="20"/>
          <w:shd w:fill="FFFFFF" w:val="clear"/>
        </w:rPr>
        <w:t>in Merger Sub), liabilities or obligations of any nature other than those incident to its formation and capitalization pursuant to this Agreement, the Merger Agreement and the Transactions; and</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Merger Sub is wholly-owned by Parent.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br/>
        <w:t>GOVERNANCE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Interim Governance</w:t>
      </w:r>
      <w:r>
        <w:rPr>
          <w:rFonts w:ascii="Times New Roman;Times;Serif" w:hAnsi="Times New Roman;Times;Serif"/>
          <w:b w:val="false"/>
          <w:i w:val="false"/>
          <w:caps w:val="false"/>
          <w:smallCaps w:val="false"/>
          <w:sz w:val="20"/>
        </w:rPr>
        <w:t>. The Sponsors shall have the sole right to cause Parent or Merger Sub to take any action or refrain from taking any action (i) that is not in contravention of this Agreement or the Merger Agreement or (ii) in order for Parent or Merger Sub to comply with their respective obligations, satisfy their respective closing conditions or exercise their respective rights under the Merger Agreement, including (a) determining that any of the Offer Conditions or conditions to the closing of the Merger have been satisfied and, assuming such satisfaction, determining to close the Offer and/or the Merger, (b) waiving compliance with any covenants, agreements or the conditions contained in the Offer Documents and/or Merger Agreement or amending, supplementing or modifying any such agreement, (c) terminating the Offer or the Merger Agreement in accordance with its respective terms, (d) extending the expiration of the Offer and/or increasing the offer price in the Offer, (e) controlling, directing and settling any shareholder-related suit, claim or proceeding arising in connection with the transactions contemplated by the Merger Agreement or the Offer, (f) determining not to consummate the contribution and subscription contemplated by this Agreement, and/or (g) causing Parent and Merger Sub to initiate litigation or other legal action against the Company in connection with a breach or alleged breach of the Merger Agreement and to take any other necessary actions in connection thereto.</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Post-Closing Governance</w:t>
      </w:r>
      <w:r>
        <w:rPr>
          <w:rFonts w:ascii="Times New Roman;Times;Serif" w:hAnsi="Times New Roman;Times;Serif"/>
          <w:b w:val="false"/>
          <w:i w:val="false"/>
          <w:caps w:val="false"/>
          <w:smallCaps w:val="false"/>
          <w:sz w:val="20"/>
        </w:rPr>
        <w:t xml:space="preserve">. The Shareholder Agreement and such organizational and other relevant corporate documents shall be consistent with the terms and conditions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In the event that the Holders are unable to agree on the terms of the Shareholder Agreement prior to the Merger Closing, the Merger shall not be delayed and the terms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(along with such additional terms as shall have been agreed to among the parties) shall govern with respect to the matters set forth therein following the Merger until such time as the Holders enter into a Shareholder Agreement.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br/>
        <w:t>MISCELLANEOUS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Transaction Expenses</w:t>
      </w:r>
      <w:r>
        <w:rPr>
          <w:rFonts w:ascii="Times New Roman;Times;Serif" w:hAnsi="Times New Roman;Times;Serif"/>
          <w:b w:val="false"/>
          <w:i w:val="false"/>
          <w:caps w:val="false"/>
          <w:smallCaps w:val="false"/>
          <w:sz w:val="20"/>
        </w:rPr>
        <w:t>. The parties hereto expressly authorize Parent to incur, and hereby ratify any prior incurrence by Parent of, fees, costs and expenses of counsel, accountants, consultants and other advisors with respect to and that are customary for the transactions contemplated by this Agreement or the Merger Agreement (“</w:t>
      </w:r>
      <w:r>
        <w:rPr>
          <w:rFonts w:ascii="Times New Roman;Times;Serif" w:hAnsi="Times New Roman;Times;Serif"/>
          <w:b w:val="false"/>
          <w:i w:val="false"/>
          <w:caps w:val="false"/>
          <w:smallCaps w:val="false"/>
          <w:sz w:val="20"/>
          <w:u w:val="single"/>
        </w:rPr>
        <w:t>Parent Transaction Expenses</w:t>
      </w:r>
      <w:r>
        <w:rPr>
          <w:rFonts w:ascii="Times New Roman;Times;Serif" w:hAnsi="Times New Roman;Times;Serif"/>
          <w:b w:val="false"/>
          <w:i w:val="false"/>
          <w:caps w:val="false"/>
          <w:smallCaps w:val="false"/>
          <w:sz w:val="20"/>
        </w:rPr>
        <w:t>”). The parties hereto acknowledge that the Sponsors may have incurred Parent Transactions Expenses on behalf of Parent (whether at, prior to or after its formation), that such amounts shall be treated as Parent Transaction Expenses and that Parent shall directly or indirectly reimburse the Sponsors for any such Parent Transaction Expenses. To the extent Parent, any Sponsors or any of their respective Affiliates is required to or does, directly or indirectly, pay any Parent Transaction Expenses to any third party, each Holder shall, promptly and in any event within three (3) Business Days following written notice from Parent to the Holders and conditioned upon such payment, transfer by wire transfer of immediately available funds to the account designated by Parent in such notice such Holder’s pro rata portion of such payment (based on relative number of Rollover Shares), which pro rata amount shall be specified in such notice. Except as set forth in this paragraph, each party hereto shall bear its own expenses incurred in connection with this Agreement and the transactions contemplated hereby.</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In the event of a termination of the Merger Agreement in which a Company Termination Fee or any other amount, either as an expense reimbursement, damages or otherwise, is paid to Parent or Merger Sub by the Company or its subsidiaries or Affiliates, Parent or Merger Sub, as the case may be, shall first pay (or cause to be paid) all Parent Transaction Expense and discharge all of Parent’s and Merger Sub’s other liabilities and distribute the remainder to the Holders, pro rata based on the relative number of Rollover Shares held thereby.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Any provision of this Agreement may be amended or waived only in a writing signed (a) in the case of any amendment, by Parent and the Sponsors, and (b) in the case of a waiver, by the party or parties waiving rights hereunder. No waiver of any provision hereunder or any breach or default thereof shall extend to or affect in any way any other provision or prior or subsequent breach or default.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unenforceable term or provision, and this Agreement shall be enforceable as so modified after the expiration of the time within which the judgment may be appealed.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parties hereto agree that, except as provided herein, this Agreement will be enforceable by all parties hereto by all available remedies at Law or in equity (including, without limitation, specific performance, without bond or other security being required). Upon any breach or threatened breach of this Agreement by any party hereto, including if the Merger Agreement is breached or the Merger fails to be consummated in each case due (directly or indirectly) to any Holder’s breach of any of its obligations under this Agreement, Parent shall be entitled to (a) specific performance of this Agreement, (b) payment or reimbursement by the breaching Holder of all out-of-pocket damages or expenses incurred by Parent, Merger Sub or the non-breaching Holders (including recovery of all termination fee, expense reimbursement obligations or other amounts payable by Parent or Merger Sub under the Merger Agreement) relating to, or arising from, such breach, and/or (c) reimbursement by the breaching Holder for any costs of enforcement incurred by Parent and/or the Sponsors in seeking to enforce such remedies.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Notwithstanding any provision of this Agreement or otherwise, the parties to this Agreement agree on their own behalf and on behalf of their respective Affiliates that this Agreement may only be enforced against, and any litigation for breach of this Agreement may only be made against, the parties to this Agreement, and, with respect to each party to this Agreement, none of such party’s former, current or future equity holders, controlling persons, directors, officers, employees, agents, representatives, Affiliates, members, managers, general or limited partners, attorneys or assignees (or any Person itself in any such capacity of any of the foregoing) (each, a “</w:t>
      </w:r>
      <w:r>
        <w:rPr>
          <w:rFonts w:ascii="Times New Roman;Times;Serif" w:hAnsi="Times New Roman;Times;Serif"/>
          <w:b w:val="false"/>
          <w:i w:val="false"/>
          <w:caps w:val="false"/>
          <w:smallCaps w:val="false"/>
          <w:sz w:val="20"/>
          <w:u w:val="single"/>
        </w:rPr>
        <w:t>Non-Recourse Party</w:t>
      </w:r>
      <w:r>
        <w:rPr>
          <w:rFonts w:ascii="Times New Roman;Times;Serif" w:hAnsi="Times New Roman;Times;Serif"/>
          <w:b w:val="false"/>
          <w:i w:val="false"/>
          <w:caps w:val="false"/>
          <w:smallCaps w:val="false"/>
          <w:sz w:val="20"/>
        </w:rPr>
        <w:t>”) that is not a party to this Agreement shall have any liability or obligation relating to this Agreement or any of the transactions contemplated herein or in respect of any oral representations made or alleged to be made in connection herewith. None of the parties shall have any rights of recovery in respect hereof against any Non-Recourse Party and no personal liability shall attach to any Non-Recourse Party through any party hereto, or otherwise, whether by or through attempted piercing of the corporate veil, by or through a litigation (whether in tort, contract or otherwise), by the enforcement of any judgment, fine or penalty or by virtue of any Law, or otherwise.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Agreement, and all claims or causes of action (whether in contract, tort or otherwise) that may be based upon, arise out of or relating to this Agreement or the negotiation, execution or performance of this Agreement shall be governed by and construed in accordance with the Laws of the State of Delaware, without respect to its applicable principles of conflicts of laws that might require the application of the laws of another jurisdiction. Each of the Parties hereby irrevocably and unconditionally (i) submits, for itself and its property, to the exclusive jurisdiction and venue of the state courts of the State of Delaware in any action arising out of or relating to this Agreement, including the negotiation, execution or performance of this Agreement and agrees that all claims in respect of any such action shall be heard and determined in the Delaware Court of Chancery, and if such court does not have subject matter jurisdiction thereof, any other court of the State of Delaware or any federal court sitting in the State of Delaware, (ii) waives, to the fullest extent it may legally and effectively do so, any objection which it may now or hereafter have to the laying of venue of any action arising out of or relating to this Agreement or the negotiation, execution or performance of this Agreement in any such court, including any objection based on its place of incorporation or domicile, (iii) waives, to</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fullest extent permitted by law, the defense of an inconvenient forum to the maintenance of such action in any such court and (iv) agrees that a final judgment in any such action shall be conclusive and may be enforced in other jurisdictions by suit on the judgment or in any other manner provided by law. Each of the Parties consents and agrees that service of process, summons, notice or document for any action permitted hereunder may be delivered by registered mail or electronic mail addressed as set forth on the signature pages hereto or in any other manner permitted by applicable Law.</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ACKNOWLEDGES AND AGREES THAT ANY CONTROVERSY THAT MAY BE BASED UPON, ARISE OUT OF OR RELATED TO THIS AGREEMENT IS LIKELY TO INVOLVE COMPLICATED AND DIFFICULT ISSUES AND, THEREFORE, EACH SUCH PARTY HEREBY IRREVOCABLY AND UNCONDITIONALLY WAIVES ANY RIGHT SUCH PARTY MAY HAVE TO A TRIAL BY JURY FOR ANY DISPUTE BASED UPON, ARISING OUT OF OR RELATING TO THIS AGREEMENT OR THE BREACH, TERMINATION OR VALIDITY THEREOF. EACH PARTY CERTIFIES AND ACKNOWLEDGES THAT (A) NO OTHER PARTY NOR ITS REPRESENTATIVES, AGENTS OR ATTORNEYS HAVE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EACH PARTY HEREBY IRREVOCABLY AND UNCONDITIONALLY WAIVES ANY RIGHT SUCH PARTY MAY HAVE TO A TRIAL BY JURY IN RESPECT OF ANY LITIGATION DIRECTLY OR INDIRECTLY ARISING OUT OF OR RELATING TO THIS AGREEMENT OR THE TRANSACTIONS CONTEMPLATED HEREBY.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Exercise of Rights and Remedies</w:t>
      </w:r>
      <w:r>
        <w:rPr>
          <w:rFonts w:ascii="Times New Roman;Times;Serif" w:hAnsi="Times New Roman;Times;Serif"/>
          <w:b w:val="false"/>
          <w:i w:val="false"/>
          <w:caps w:val="false"/>
          <w:smallCaps w:val="false"/>
          <w:sz w:val="20"/>
        </w:rPr>
        <w:t>. No delay of or omission in the exercise of any right, power or 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or waiver of any single breach or default be deemed a waiver of any other breach or default occurring before or after that waiver.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Other Agreements; Assignment</w:t>
      </w:r>
      <w:r>
        <w:rPr>
          <w:rFonts w:ascii="Times New Roman;Times;Serif" w:hAnsi="Times New Roman;Times;Serif"/>
          <w:b w:val="false"/>
          <w:i w:val="false"/>
          <w:caps w:val="false"/>
          <w:smallCaps w:val="false"/>
          <w:sz w:val="20"/>
        </w:rPr>
        <w:t>. This Agreement, together with the agreements referenced herein, constitute the entire agreement, and supersede all prior agreements, understandings, negotiations and statements, both written and oral, among the parties or any of their Affiliates with respect to the transactions contemplated hereby (other than the Merger Agreement and the other agreements expressly referred to herein or therein as being entered into in connection with the Merger Agreement). This Agreement shall not be assigned by any party hereto without the prior written consent of Parent.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Each party hereto agrees that it shall not indirectly accomplish that which it is not permitted to accomplish directly under this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shall be binding on each party hereto solely for the benefit of each other party hereto and nothing set forth in this Agreement, express or implied, shall be construed to confer, directly or indirectly, upon or give to</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Person other than the parties hereto any benefits, rights or remedies under or by reason of, or any rights to enforce or cause the parties hereto to enforce, any provisions of this Agreement, except the Non-Recourse Parties shall have the right to enforce their rights pursuant to and in accordance with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(including by facsimile or electronic transmission in “portable document format”), each such counterpart when executed shall be deemed to be an original instrument, and all such counterparts shall together constitute one and the same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descriptive headings used herein are inserted for convenience of reference only and are not intended to be part of or to affect the meaning or interpretation of this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Except with respect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Representations and Warranties of each Holder</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xml:space="preserve">), this Agreement will terminate upon the earlier to occur of (a) the Merger Closing, (b) the termination of the Merger Agreement in accordance with its terms, and (c) September 30, 2024;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liability for any failure to comply with the terms of this Agreement prior to termination shall survive such termination.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6.18        </w:t>
      </w:r>
      <w:r>
        <w:rPr>
          <w:rFonts w:ascii="Times New Roman;Times;Serif" w:hAnsi="Times New Roman;Times;Serif"/>
          <w:b w:val="false"/>
          <w:i w:val="false"/>
          <w:caps w:val="false"/>
          <w:smallCaps w:val="false"/>
          <w:sz w:val="20"/>
          <w:u w:val="single"/>
        </w:rPr>
        <w:t>No Presumption Against Drafting Party</w:t>
      </w:r>
      <w:r>
        <w:rPr>
          <w:rFonts w:ascii="Times New Roman;Times;Serif" w:hAnsi="Times New Roman;Times;Serif"/>
          <w:b w:val="false"/>
          <w:i w:val="false"/>
          <w:caps w:val="false"/>
          <w:smallCaps w:val="false"/>
          <w:sz w:val="20"/>
        </w:rPr>
        <w:t>. Each of the Parties to this Agreement acknowledges that it has been represented by independent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6.19        </w:t>
      </w:r>
      <w:r>
        <w:rPr>
          <w:rFonts w:ascii="Times New Roman;Times;Serif" w:hAnsi="Times New Roman;Times;Serif"/>
          <w:b w:val="false"/>
          <w:i w:val="false"/>
          <w:caps w:val="false"/>
          <w:smallCaps w:val="false"/>
          <w:sz w:val="20"/>
          <w:u w:val="single"/>
        </w:rPr>
        <w:t>No Partnership</w:t>
      </w:r>
      <w:r>
        <w:rPr>
          <w:rFonts w:ascii="Times New Roman;Times;Serif" w:hAnsi="Times New Roman;Times;Serif"/>
          <w:b w:val="false"/>
          <w:i w:val="false"/>
          <w:caps w:val="false"/>
          <w:smallCaps w:val="false"/>
          <w:sz w:val="20"/>
        </w:rPr>
        <w:t>. Except as expressly contemplated herein, nothing in this Agreement is intended to, and this Agreement shall not, create a partnership between the parties hereto. Accordingly, (i) the rights, obligations and duties of each party hereto in relation to the other parties with respect to the subject matter of this Agreement shall be only those contractual rights, obligations and duties that are created by the express terms of this Agreement and shall not include any fiduciary or other implied rights, obligations or duties of any kind, (ii) no party hereto shall be authorized to act on behalf of the other parties except as otherwise expressly provided by the terms of this Agreement and (iii) no party hereto shall be obligated to any third party for the obligations or liabilities of any other party hereto.</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6.20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For U.S. federal, and applicable state and local income tax purposes each of the contributions of Rollover Shares hereunder, taken collectively, shall be treated as an integrated transaction qualifying under Section 351(a) of the Internal Revenue Code of 1986, as amended.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given when delivered in person or upon confirmation of receipt when transmitted by electronic mail or on the next Business Day if transmitted by international overnight courier,</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 or any Sponsor, to</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The Column Group</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Letterman Drive, Building D, Suite DM-900</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94129</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(415) 865-2050</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Peter Svennilson, Dave Goeddel, James Evangelista</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firstLine="72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2160" w:right="0" w:hanging="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 Mission Street, 24th Floor</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94105</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(628) 432-5100</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Austin S. Pollet</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apollet@paulweiss.com</w:t>
      </w:r>
    </w:p>
    <w:p>
      <w:pPr>
        <w:pStyle w:val="TextBody"/>
        <w:bidi w:val="0"/>
        <w:jc w:val="left"/>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duly executed this Agreement as of the date first above written.</w:t>
      </w:r>
    </w:p>
    <w:tbl>
      <w:tblPr>
        <w:tblW w:w="3874" w:type="dxa"/>
        <w:jc w:val="left"/>
        <w:tblInd w:w="0" w:type="dxa"/>
        <w:tblLayout w:type="fixed"/>
        <w:tblCellMar>
          <w:top w:w="0" w:type="dxa"/>
          <w:left w:w="0" w:type="dxa"/>
          <w:bottom w:w="0" w:type="dxa"/>
          <w:right w:w="0" w:type="dxa"/>
        </w:tblCellMar>
      </w:tblPr>
      <w:tblGrid>
        <w:gridCol w:w="869"/>
        <w:gridCol w:w="2930"/>
        <w:gridCol w:w="75"/>
      </w:tblGrid>
      <w:tr>
        <w:trPr/>
        <w:tc>
          <w:tcPr>
            <w:tcW w:w="3799" w:type="dxa"/>
            <w:gridSpan w:val="2"/>
            <w:tcBorders/>
            <w:vAlign w:val="center"/>
          </w:tcPr>
          <w:p>
            <w:pPr>
              <w:pStyle w:val="TableContents"/>
              <w:bidi w:val="0"/>
              <w:spacing w:before="0" w:after="283"/>
              <w:ind w:left="0" w:right="0" w:hanging="0"/>
              <w:jc w:val="both"/>
              <w:rPr>
                <w:b/>
              </w:rPr>
            </w:pPr>
            <w:r>
              <w:rPr>
                <w:b/>
              </w:rPr>
              <w:t>PARENT:</w:t>
            </w:r>
          </w:p>
        </w:tc>
        <w:tc>
          <w:tcPr>
            <w:tcW w:w="75" w:type="dxa"/>
            <w:tcBorders/>
            <w:vAlign w:val="center"/>
          </w:tcPr>
          <w:p>
            <w:pPr>
              <w:pStyle w:val="TableContents"/>
              <w:bidi w:val="0"/>
              <w:spacing w:before="0" w:after="283"/>
              <w:ind w:left="0" w:right="0" w:hanging="0"/>
              <w:jc w:val="both"/>
              <w:rPr/>
            </w:pPr>
            <w:r>
              <w:rPr/>
              <w:t> </w:t>
            </w:r>
          </w:p>
        </w:tc>
      </w:tr>
      <w:tr>
        <w:trPr/>
        <w:tc>
          <w:tcPr>
            <w:tcW w:w="869" w:type="dxa"/>
            <w:tcBorders/>
            <w:vAlign w:val="center"/>
          </w:tcPr>
          <w:p>
            <w:pPr>
              <w:pStyle w:val="TableContents"/>
              <w:bidi w:val="0"/>
              <w:spacing w:before="0" w:after="283"/>
              <w:ind w:left="0" w:right="0" w:hanging="0"/>
              <w:jc w:val="both"/>
              <w:rPr/>
            </w:pPr>
            <w:r>
              <w:rPr/>
              <w:t> </w:t>
            </w:r>
          </w:p>
        </w:tc>
        <w:tc>
          <w:tcPr>
            <w:tcW w:w="2930" w:type="dxa"/>
            <w:tcBorders/>
            <w:vAlign w:val="center"/>
          </w:tcPr>
          <w:p>
            <w:pPr>
              <w:pStyle w:val="TableContents"/>
              <w:bidi w:val="0"/>
              <w:spacing w:before="0" w:after="283"/>
              <w:ind w:left="0" w:right="0" w:hanging="0"/>
              <w:jc w:val="both"/>
              <w:rPr/>
            </w:pPr>
            <w:r>
              <w:rPr/>
              <w:t> </w:t>
            </w:r>
          </w:p>
        </w:tc>
        <w:tc>
          <w:tcPr>
            <w:tcW w:w="75" w:type="dxa"/>
            <w:tcBorders/>
            <w:vAlign w:val="center"/>
          </w:tcPr>
          <w:p>
            <w:pPr>
              <w:pStyle w:val="TableContents"/>
              <w:bidi w:val="0"/>
              <w:spacing w:before="0" w:after="283"/>
              <w:ind w:left="0" w:right="0" w:hanging="0"/>
              <w:jc w:val="both"/>
              <w:rPr/>
            </w:pPr>
            <w:r>
              <w:rPr/>
              <w:t> </w:t>
            </w:r>
          </w:p>
        </w:tc>
      </w:tr>
      <w:tr>
        <w:trPr/>
        <w:tc>
          <w:tcPr>
            <w:tcW w:w="3799" w:type="dxa"/>
            <w:gridSpan w:val="2"/>
            <w:tcBorders/>
            <w:vAlign w:val="center"/>
          </w:tcPr>
          <w:p>
            <w:pPr>
              <w:pStyle w:val="TableContents"/>
              <w:bidi w:val="0"/>
              <w:spacing w:before="0" w:after="283"/>
              <w:ind w:left="0" w:right="0" w:hanging="0"/>
              <w:jc w:val="both"/>
              <w:rPr/>
            </w:pPr>
            <w:r>
              <w:rPr/>
              <w:t>ATLAS NEON PARENT, INC.</w:t>
            </w:r>
          </w:p>
        </w:tc>
        <w:tc>
          <w:tcPr>
            <w:tcW w:w="75" w:type="dxa"/>
            <w:tcBorders/>
            <w:vAlign w:val="center"/>
          </w:tcPr>
          <w:p>
            <w:pPr>
              <w:pStyle w:val="TableContents"/>
              <w:bidi w:val="0"/>
              <w:spacing w:before="0" w:after="283"/>
              <w:ind w:left="0" w:right="0" w:hanging="0"/>
              <w:jc w:val="both"/>
              <w:rPr/>
            </w:pPr>
            <w:r>
              <w:rPr/>
              <w:t> </w:t>
            </w:r>
          </w:p>
        </w:tc>
      </w:tr>
      <w:tr>
        <w:trPr/>
        <w:tc>
          <w:tcPr>
            <w:tcW w:w="869"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By:</w:t>
            </w:r>
          </w:p>
        </w:tc>
        <w:tc>
          <w:tcPr>
            <w:tcW w:w="2930" w:type="dxa"/>
            <w:tcBorders>
              <w:bottom w:val="single" w:sz="8" w:space="0" w:color="000000"/>
            </w:tcBorders>
            <w:tcMar>
              <w:bottom w:w="28" w:type="dxa"/>
            </w:tcMar>
            <w:vAlign w:val="center"/>
          </w:tcPr>
          <w:p>
            <w:pPr>
              <w:pStyle w:val="TableContents"/>
              <w:bidi w:val="0"/>
              <w:spacing w:before="0" w:after="283"/>
              <w:ind w:left="0" w:right="0" w:hanging="0"/>
              <w:jc w:val="left"/>
              <w:rPr/>
            </w:pPr>
            <w:r>
              <w:rPr/>
              <w:t>/s/ Peter Svennilson</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Name:</w:t>
            </w:r>
          </w:p>
        </w:tc>
        <w:tc>
          <w:tcPr>
            <w:tcW w:w="2930" w:type="dxa"/>
            <w:tcBorders/>
            <w:vAlign w:val="center"/>
          </w:tcPr>
          <w:p>
            <w:pPr>
              <w:pStyle w:val="TableContents"/>
              <w:bidi w:val="0"/>
              <w:spacing w:before="0" w:after="283"/>
              <w:ind w:left="0" w:right="0" w:hanging="0"/>
              <w:jc w:val="left"/>
              <w:rPr/>
            </w:pPr>
            <w:r>
              <w:rPr/>
              <w:t>Peter Svennilson</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Title:</w:t>
            </w:r>
          </w:p>
        </w:tc>
        <w:tc>
          <w:tcPr>
            <w:tcW w:w="2930" w:type="dxa"/>
            <w:tcBorders/>
            <w:vAlign w:val="center"/>
          </w:tcPr>
          <w:p>
            <w:pPr>
              <w:pStyle w:val="TableContents"/>
              <w:bidi w:val="0"/>
              <w:spacing w:before="0" w:after="283"/>
              <w:ind w:left="0" w:right="0" w:hanging="0"/>
              <w:jc w:val="left"/>
              <w:rPr/>
            </w:pPr>
            <w:r>
              <w:rPr/>
              <w:t>President and Secretary</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both"/>
              <w:rPr/>
            </w:pPr>
            <w:r>
              <w:rPr/>
              <w:t> </w:t>
            </w:r>
          </w:p>
        </w:tc>
        <w:tc>
          <w:tcPr>
            <w:tcW w:w="2930" w:type="dxa"/>
            <w:tcBorders/>
            <w:vAlign w:val="center"/>
          </w:tcPr>
          <w:p>
            <w:pPr>
              <w:pStyle w:val="TableContents"/>
              <w:bidi w:val="0"/>
              <w:spacing w:before="0" w:after="283"/>
              <w:ind w:left="0" w:right="0" w:hanging="0"/>
              <w:jc w:val="both"/>
              <w:rPr/>
            </w:pPr>
            <w:r>
              <w:rPr/>
              <w:t> </w:t>
            </w:r>
          </w:p>
        </w:tc>
        <w:tc>
          <w:tcPr>
            <w:tcW w:w="75" w:type="dxa"/>
            <w:tcBorders/>
            <w:vAlign w:val="center"/>
          </w:tcPr>
          <w:p>
            <w:pPr>
              <w:pStyle w:val="TableContents"/>
              <w:bidi w:val="0"/>
              <w:spacing w:before="0" w:after="283"/>
              <w:ind w:left="0" w:right="0" w:hanging="0"/>
              <w:jc w:val="both"/>
              <w:rPr/>
            </w:pPr>
            <w:r>
              <w:rPr/>
              <w:t> </w:t>
            </w:r>
          </w:p>
        </w:tc>
      </w:tr>
      <w:tr>
        <w:trPr/>
        <w:tc>
          <w:tcPr>
            <w:tcW w:w="3799" w:type="dxa"/>
            <w:gridSpan w:val="2"/>
            <w:tcBorders/>
            <w:vAlign w:val="center"/>
          </w:tcPr>
          <w:p>
            <w:pPr>
              <w:pStyle w:val="TableContents"/>
              <w:bidi w:val="0"/>
              <w:spacing w:before="0" w:after="283"/>
              <w:ind w:left="0" w:right="0" w:hanging="0"/>
              <w:jc w:val="both"/>
              <w:rPr>
                <w:b/>
              </w:rPr>
            </w:pPr>
            <w:r>
              <w:rPr>
                <w:b/>
              </w:rPr>
              <w:t>MERGER SUB:</w:t>
            </w:r>
          </w:p>
        </w:tc>
        <w:tc>
          <w:tcPr>
            <w:tcW w:w="75" w:type="dxa"/>
            <w:tcBorders/>
            <w:vAlign w:val="center"/>
          </w:tcPr>
          <w:p>
            <w:pPr>
              <w:pStyle w:val="TableContents"/>
              <w:bidi w:val="0"/>
              <w:spacing w:before="0" w:after="283"/>
              <w:ind w:left="0" w:right="0" w:hanging="0"/>
              <w:jc w:val="both"/>
              <w:rPr/>
            </w:pPr>
            <w:r>
              <w:rPr/>
              <w:t> </w:t>
            </w:r>
          </w:p>
        </w:tc>
      </w:tr>
      <w:tr>
        <w:trPr/>
        <w:tc>
          <w:tcPr>
            <w:tcW w:w="869" w:type="dxa"/>
            <w:tcBorders/>
            <w:vAlign w:val="center"/>
          </w:tcPr>
          <w:p>
            <w:pPr>
              <w:pStyle w:val="TableContents"/>
              <w:bidi w:val="0"/>
              <w:spacing w:before="0" w:after="283"/>
              <w:ind w:left="0" w:right="0" w:hanging="0"/>
              <w:jc w:val="both"/>
              <w:rPr/>
            </w:pPr>
            <w:r>
              <w:rPr/>
              <w:t> </w:t>
            </w:r>
          </w:p>
        </w:tc>
        <w:tc>
          <w:tcPr>
            <w:tcW w:w="2930" w:type="dxa"/>
            <w:tcBorders/>
            <w:vAlign w:val="center"/>
          </w:tcPr>
          <w:p>
            <w:pPr>
              <w:pStyle w:val="TableContents"/>
              <w:bidi w:val="0"/>
              <w:spacing w:before="0" w:after="283"/>
              <w:ind w:left="0" w:right="0" w:hanging="0"/>
              <w:jc w:val="both"/>
              <w:rPr/>
            </w:pPr>
            <w:r>
              <w:rPr/>
              <w:t> </w:t>
            </w:r>
          </w:p>
        </w:tc>
        <w:tc>
          <w:tcPr>
            <w:tcW w:w="75" w:type="dxa"/>
            <w:tcBorders/>
            <w:vAlign w:val="center"/>
          </w:tcPr>
          <w:p>
            <w:pPr>
              <w:pStyle w:val="TableContents"/>
              <w:bidi w:val="0"/>
              <w:spacing w:before="0" w:after="283"/>
              <w:ind w:left="0" w:right="0" w:hanging="0"/>
              <w:jc w:val="both"/>
              <w:rPr/>
            </w:pPr>
            <w:r>
              <w:rPr/>
              <w:t> </w:t>
            </w:r>
          </w:p>
        </w:tc>
      </w:tr>
      <w:tr>
        <w:trPr/>
        <w:tc>
          <w:tcPr>
            <w:tcW w:w="3799" w:type="dxa"/>
            <w:gridSpan w:val="2"/>
            <w:tcBorders/>
            <w:vAlign w:val="center"/>
          </w:tcPr>
          <w:p>
            <w:pPr>
              <w:pStyle w:val="TableContents"/>
              <w:bidi w:val="0"/>
              <w:spacing w:before="0" w:after="283"/>
              <w:ind w:left="0" w:right="0" w:hanging="0"/>
              <w:jc w:val="both"/>
              <w:rPr/>
            </w:pPr>
            <w:r>
              <w:rPr/>
              <w:t>ATLAS NEON MERGER SUB, INC.</w:t>
            </w:r>
          </w:p>
        </w:tc>
        <w:tc>
          <w:tcPr>
            <w:tcW w:w="75" w:type="dxa"/>
            <w:tcBorders/>
            <w:vAlign w:val="center"/>
          </w:tcPr>
          <w:p>
            <w:pPr>
              <w:pStyle w:val="TableContents"/>
              <w:bidi w:val="0"/>
              <w:spacing w:before="0" w:after="283"/>
              <w:ind w:left="0" w:right="0" w:hanging="0"/>
              <w:jc w:val="both"/>
              <w:rPr/>
            </w:pPr>
            <w:r>
              <w:rPr/>
              <w:t> </w:t>
            </w:r>
          </w:p>
        </w:tc>
      </w:tr>
      <w:tr>
        <w:trPr/>
        <w:tc>
          <w:tcPr>
            <w:tcW w:w="869"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By:</w:t>
            </w:r>
          </w:p>
        </w:tc>
        <w:tc>
          <w:tcPr>
            <w:tcW w:w="2930" w:type="dxa"/>
            <w:tcBorders>
              <w:bottom w:val="single" w:sz="8" w:space="0" w:color="000000"/>
            </w:tcBorders>
            <w:tcMar>
              <w:bottom w:w="28" w:type="dxa"/>
            </w:tcMar>
            <w:vAlign w:val="center"/>
          </w:tcPr>
          <w:p>
            <w:pPr>
              <w:pStyle w:val="TableContents"/>
              <w:bidi w:val="0"/>
              <w:spacing w:before="0" w:after="283"/>
              <w:ind w:left="0" w:right="0" w:hanging="0"/>
              <w:jc w:val="left"/>
              <w:rPr/>
            </w:pPr>
            <w:r>
              <w:rPr/>
              <w:t>/s/ Peter Svennilson</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Name:</w:t>
            </w:r>
          </w:p>
        </w:tc>
        <w:tc>
          <w:tcPr>
            <w:tcW w:w="2930" w:type="dxa"/>
            <w:tcBorders/>
            <w:vAlign w:val="center"/>
          </w:tcPr>
          <w:p>
            <w:pPr>
              <w:pStyle w:val="TableContents"/>
              <w:bidi w:val="0"/>
              <w:spacing w:before="0" w:after="283"/>
              <w:ind w:left="0" w:right="0" w:hanging="0"/>
              <w:jc w:val="left"/>
              <w:rPr/>
            </w:pPr>
            <w:r>
              <w:rPr/>
              <w:t>Peter Svennilson</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Title:</w:t>
            </w:r>
          </w:p>
        </w:tc>
        <w:tc>
          <w:tcPr>
            <w:tcW w:w="2930" w:type="dxa"/>
            <w:tcBorders/>
            <w:vAlign w:val="center"/>
          </w:tcPr>
          <w:p>
            <w:pPr>
              <w:pStyle w:val="TableContents"/>
              <w:bidi w:val="0"/>
              <w:spacing w:before="0" w:after="283"/>
              <w:ind w:left="0" w:right="0" w:hanging="0"/>
              <w:jc w:val="left"/>
              <w:rPr/>
            </w:pPr>
            <w:r>
              <w:rPr/>
              <w:t>President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794" w:type="dxa"/>
        <w:jc w:val="left"/>
        <w:tblInd w:w="0" w:type="dxa"/>
        <w:tblLayout w:type="fixed"/>
        <w:tblCellMar>
          <w:top w:w="0" w:type="dxa"/>
          <w:left w:w="0" w:type="dxa"/>
          <w:bottom w:w="0" w:type="dxa"/>
          <w:right w:w="0" w:type="dxa"/>
        </w:tblCellMar>
      </w:tblPr>
      <w:tblGrid>
        <w:gridCol w:w="700"/>
        <w:gridCol w:w="2019"/>
        <w:gridCol w:w="75"/>
      </w:tblGrid>
      <w:tr>
        <w:trPr/>
        <w:tc>
          <w:tcPr>
            <w:tcW w:w="27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II, LP</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II GP, LP</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 </w:t>
            </w:r>
          </w:p>
        </w:tc>
        <w:tc>
          <w:tcPr>
            <w:tcW w:w="20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1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2,265,758</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15"/>
        <w:gridCol w:w="2064"/>
        <w:gridCol w:w="75"/>
      </w:tblGrid>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III,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III GP,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0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717,698</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15"/>
        <w:gridCol w:w="2064"/>
        <w:gridCol w:w="75"/>
      </w:tblGrid>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III,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III GP,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0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140,337</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15"/>
        <w:gridCol w:w="2064"/>
        <w:gridCol w:w="75"/>
      </w:tblGrid>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IIIA,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III GP,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0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810,505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15"/>
        <w:gridCol w:w="2064"/>
        <w:gridCol w:w="75"/>
      </w:tblGrid>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IIIA,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III GP,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0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158,485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7"/>
        <w:gridCol w:w="2187"/>
        <w:gridCol w:w="75"/>
      </w:tblGrid>
      <w:tr>
        <w:trPr/>
        <w:tc>
          <w:tcPr>
            <w:tcW w:w="29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IV, LP</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IV GP, LP</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IV GP, LLC</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57" w:type="dxa"/>
            <w:tcBorders/>
            <w:vAlign w:val="center"/>
          </w:tcPr>
          <w:p>
            <w:pPr>
              <w:pStyle w:val="TableContents"/>
              <w:bidi w:val="0"/>
              <w:spacing w:before="0" w:after="283"/>
              <w:jc w:val="left"/>
              <w:rPr/>
            </w:pPr>
            <w:r>
              <w:rPr/>
              <w:t> </w:t>
            </w:r>
          </w:p>
        </w:tc>
        <w:tc>
          <w:tcPr>
            <w:tcW w:w="21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2,650,177</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19"/>
        <w:gridCol w:w="2075"/>
        <w:gridCol w:w="75"/>
      </w:tblGrid>
      <w:tr>
        <w:trPr/>
        <w:tc>
          <w:tcPr>
            <w:tcW w:w="27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IVA, LP</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IV GP, LP</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TCG IV GP, LLC</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19"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90,442</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781"/>
        <w:gridCol w:w="2253"/>
        <w:gridCol w:w="75"/>
      </w:tblGrid>
      <w:tr>
        <w:trPr/>
        <w:tc>
          <w:tcPr>
            <w:tcW w:w="30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Management, LP</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2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5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100,000</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1001"/>
        <w:gridCol w:w="2888"/>
        <w:gridCol w:w="75"/>
      </w:tblGrid>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OPPORTUNITY III, LP</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Opportunity III GP, LP</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TCG Opportunity III GP, LLC</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927,231</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1001"/>
        <w:gridCol w:w="2888"/>
        <w:gridCol w:w="75"/>
      </w:tblGrid>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OPPORTUNITY III, LP</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Opportunity III GP, LP</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TCG Opportunity III GP, LLC</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22,631</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509" w:type="dxa"/>
        <w:jc w:val="left"/>
        <w:tblInd w:w="0" w:type="dxa"/>
        <w:tblLayout w:type="fixed"/>
        <w:tblCellMar>
          <w:top w:w="0" w:type="dxa"/>
          <w:left w:w="0" w:type="dxa"/>
          <w:bottom w:w="0" w:type="dxa"/>
          <w:right w:w="0" w:type="dxa"/>
        </w:tblCellMar>
      </w:tblPr>
      <w:tblGrid>
        <w:gridCol w:w="626"/>
        <w:gridCol w:w="1808"/>
        <w:gridCol w:w="75"/>
      </w:tblGrid>
      <w:tr>
        <w:trPr/>
        <w:tc>
          <w:tcPr>
            <w:tcW w:w="24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Ponoi Capital, LP</w:t>
            </w:r>
          </w:p>
        </w:tc>
        <w:tc>
          <w:tcPr>
            <w:tcW w:w="75" w:type="dxa"/>
            <w:tcBorders/>
            <w:vAlign w:val="center"/>
          </w:tcPr>
          <w:p>
            <w:pPr>
              <w:pStyle w:val="TableContents"/>
              <w:bidi w:val="0"/>
              <w:spacing w:before="0" w:after="283"/>
              <w:jc w:val="left"/>
              <w:rPr/>
            </w:pPr>
            <w:r>
              <w:rPr/>
              <w:t> </w:t>
            </w:r>
          </w:p>
        </w:tc>
      </w:tr>
      <w:tr>
        <w:trPr/>
        <w:tc>
          <w:tcPr>
            <w:tcW w:w="24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Ponoi Management, LLC</w:t>
            </w:r>
          </w:p>
        </w:tc>
        <w:tc>
          <w:tcPr>
            <w:tcW w:w="75" w:type="dxa"/>
            <w:tcBorders/>
            <w:vAlign w:val="center"/>
          </w:tcPr>
          <w:p>
            <w:pPr>
              <w:pStyle w:val="TableContents"/>
              <w:bidi w:val="0"/>
              <w:spacing w:before="0" w:after="283"/>
              <w:jc w:val="left"/>
              <w:rPr/>
            </w:pPr>
            <w:r>
              <w:rPr/>
              <w:t> </w:t>
            </w:r>
          </w:p>
        </w:tc>
      </w:tr>
      <w:tr>
        <w:trPr/>
        <w:tc>
          <w:tcPr>
            <w:tcW w:w="24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626"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1,298,908</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74" w:type="dxa"/>
        <w:jc w:val="left"/>
        <w:tblInd w:w="0" w:type="dxa"/>
        <w:tblLayout w:type="fixed"/>
        <w:tblCellMar>
          <w:top w:w="0" w:type="dxa"/>
          <w:left w:w="0" w:type="dxa"/>
          <w:bottom w:w="0" w:type="dxa"/>
          <w:right w:w="0" w:type="dxa"/>
        </w:tblCellMar>
      </w:tblPr>
      <w:tblGrid>
        <w:gridCol w:w="669"/>
        <w:gridCol w:w="1930"/>
        <w:gridCol w:w="75"/>
      </w:tblGrid>
      <w:tr>
        <w:trPr/>
        <w:tc>
          <w:tcPr>
            <w:tcW w:w="25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Ponoi Capital II, LP</w:t>
            </w:r>
          </w:p>
        </w:tc>
        <w:tc>
          <w:tcPr>
            <w:tcW w:w="75" w:type="dxa"/>
            <w:tcBorders/>
            <w:vAlign w:val="center"/>
          </w:tcPr>
          <w:p>
            <w:pPr>
              <w:pStyle w:val="TableContents"/>
              <w:bidi w:val="0"/>
              <w:spacing w:before="0" w:after="283"/>
              <w:jc w:val="left"/>
              <w:rPr/>
            </w:pPr>
            <w:r>
              <w:rPr/>
              <w:t> </w:t>
            </w:r>
          </w:p>
        </w:tc>
      </w:tr>
      <w:tr>
        <w:trPr/>
        <w:tc>
          <w:tcPr>
            <w:tcW w:w="25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Ponoi II Management, LLC</w:t>
            </w:r>
          </w:p>
        </w:tc>
        <w:tc>
          <w:tcPr>
            <w:tcW w:w="75" w:type="dxa"/>
            <w:tcBorders/>
            <w:vAlign w:val="center"/>
          </w:tcPr>
          <w:p>
            <w:pPr>
              <w:pStyle w:val="TableContents"/>
              <w:bidi w:val="0"/>
              <w:spacing w:before="0" w:after="283"/>
              <w:jc w:val="left"/>
              <w:rPr/>
            </w:pPr>
            <w:r>
              <w:rPr/>
              <w:t> </w:t>
            </w:r>
          </w:p>
        </w:tc>
      </w:tr>
      <w:tr>
        <w:trPr/>
        <w:tc>
          <w:tcPr>
            <w:tcW w:w="25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669" w:type="dxa"/>
            <w:tcBorders/>
            <w:vAlign w:val="center"/>
          </w:tcPr>
          <w:p>
            <w:pPr>
              <w:pStyle w:val="TableContents"/>
              <w:bidi w:val="0"/>
              <w:spacing w:before="0" w:after="283"/>
              <w:jc w:val="left"/>
              <w:rPr/>
            </w:pPr>
            <w:r>
              <w:rPr/>
              <w:t> </w:t>
            </w:r>
          </w:p>
        </w:tc>
        <w:tc>
          <w:tcPr>
            <w:tcW w:w="19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1,298,908</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623"/>
        <w:gridCol w:w="1796"/>
        <w:gridCol w:w="75"/>
      </w:tblGrid>
      <w:tr>
        <w:trPr/>
        <w:tc>
          <w:tcPr>
            <w:tcW w:w="24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GP, LP</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r>
              <w:rPr/>
              <w:t> </w:t>
            </w:r>
          </w:p>
        </w:tc>
        <w:tc>
          <w:tcPr>
            <w:tcW w:w="17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100,000</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657"/>
        <w:gridCol w:w="1897"/>
        <w:gridCol w:w="75"/>
      </w:tblGrid>
      <w:tr>
        <w:trPr/>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LP</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GP, LP</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657"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11,103,333</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Agreement Term Sheet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3"/>
        <w:gridCol w:w="8542"/>
      </w:tblGrid>
      <w:tr>
        <w:trPr/>
        <w:tc>
          <w:tcPr>
            <w:tcW w:w="1663" w:type="dxa"/>
            <w:tcBorders/>
            <w:vAlign w:val="center"/>
          </w:tcPr>
          <w:p>
            <w:pPr>
              <w:pStyle w:val="TableContents"/>
              <w:bidi w:val="0"/>
              <w:spacing w:before="0" w:after="283"/>
              <w:jc w:val="left"/>
              <w:rPr>
                <w:b/>
              </w:rPr>
            </w:pPr>
            <w:r>
              <w:rPr>
                <w:b/>
              </w:rPr>
              <w:t>Documentation:</w:t>
            </w:r>
          </w:p>
        </w:tc>
        <w:tc>
          <w:tcPr>
            <w:tcW w:w="8542" w:type="dxa"/>
            <w:tcBorders/>
            <w:vAlign w:val="center"/>
          </w:tcPr>
          <w:p>
            <w:pPr>
              <w:pStyle w:val="TableContents"/>
              <w:bidi w:val="0"/>
              <w:spacing w:before="0" w:after="283"/>
              <w:jc w:val="left"/>
              <w:rPr/>
            </w:pPr>
            <w:r>
              <w:rPr/>
              <w:t>At closing, Parent and the Holders will enter into a Shareholder Agreement containing the terms summarized below.</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Security:</w:t>
            </w:r>
          </w:p>
        </w:tc>
        <w:tc>
          <w:tcPr>
            <w:tcW w:w="8542" w:type="dxa"/>
            <w:tcBorders/>
            <w:vAlign w:val="center"/>
          </w:tcPr>
          <w:p>
            <w:pPr>
              <w:pStyle w:val="TableContents"/>
              <w:bidi w:val="0"/>
              <w:spacing w:before="0" w:after="283"/>
              <w:jc w:val="left"/>
              <w:rPr/>
            </w:pPr>
            <w:r>
              <w:rPr/>
              <w:t>The Holders will all hold equity interests (“</w:t>
            </w:r>
            <w:r>
              <w:rPr>
                <w:u w:val="single"/>
              </w:rPr>
              <w:t>Shares</w:t>
            </w:r>
            <w:r>
              <w:rPr/>
              <w:t>”) in Parent of the same class, type and preference, and at the same price per Share.  The parties intend for the Shares to be common stock and for Parent to be a Delaware corporation.</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Board:</w:t>
            </w:r>
          </w:p>
        </w:tc>
        <w:tc>
          <w:tcPr>
            <w:tcW w:w="8542" w:type="dxa"/>
            <w:tcBorders/>
            <w:vAlign w:val="center"/>
          </w:tcPr>
          <w:p>
            <w:pPr>
              <w:pStyle w:val="TableContents"/>
              <w:bidi w:val="0"/>
              <w:spacing w:before="0" w:after="283"/>
              <w:jc w:val="left"/>
              <w:rPr/>
            </w:pPr>
            <w:r>
              <w:rPr/>
              <w:t>The board of directors of Parent (the “</w:t>
            </w:r>
            <w:r>
              <w:rPr>
                <w:u w:val="single"/>
              </w:rPr>
              <w:t>Board</w:t>
            </w:r>
            <w:r>
              <w:rPr/>
              <w:t>”) will be elected by Holders holding a majority of Parent’s then-outstanding Shares.  Subject to the foregoing, the parties desire for the members of the Board to be substantially similar to those in effect prior to the Transactions.</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Tag-Along:</w:t>
            </w:r>
          </w:p>
        </w:tc>
        <w:tc>
          <w:tcPr>
            <w:tcW w:w="8542" w:type="dxa"/>
            <w:tcBorders/>
            <w:vAlign w:val="center"/>
          </w:tcPr>
          <w:p>
            <w:pPr>
              <w:pStyle w:val="TableContents"/>
              <w:bidi w:val="0"/>
              <w:spacing w:before="0" w:after="283"/>
              <w:jc w:val="left"/>
              <w:rPr/>
            </w:pPr>
            <w:r>
              <w:rPr/>
              <w:t>Each Holder will have customary tag-along rights in connection with Transfers by a Holder to non-affiliates, subject to customary exceptions.</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Drag-Along:</w:t>
            </w:r>
          </w:p>
        </w:tc>
        <w:tc>
          <w:tcPr>
            <w:tcW w:w="8542" w:type="dxa"/>
            <w:tcBorders/>
            <w:vAlign w:val="center"/>
          </w:tcPr>
          <w:p>
            <w:pPr>
              <w:pStyle w:val="TableContents"/>
              <w:bidi w:val="0"/>
              <w:spacing w:before="0" w:after="283"/>
              <w:jc w:val="left"/>
              <w:rPr/>
            </w:pPr>
            <w:r>
              <w:rPr/>
              <w:t>If the Board proposes to Transfer to a non-affiliate all or any portion of the outstanding Shares or all or substantially all of the assets or business of Parent and its subsidiaries (in each case including in connection with an initial public offering), the Board will have the right to cause each Holder, to the extent applicable, to vote in favor of, reasonably cooperate with, waive any appraisal rights in respect of, and not oppose such transaction, in each case subject to customary limitations for the Holders being dragged.</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Preemptive Rights:</w:t>
            </w:r>
          </w:p>
        </w:tc>
        <w:tc>
          <w:tcPr>
            <w:tcW w:w="8542" w:type="dxa"/>
            <w:tcBorders/>
            <w:vAlign w:val="center"/>
          </w:tcPr>
          <w:p>
            <w:pPr>
              <w:pStyle w:val="TableContents"/>
              <w:bidi w:val="0"/>
              <w:spacing w:before="0" w:after="283"/>
              <w:jc w:val="left"/>
              <w:rPr/>
            </w:pPr>
            <w:r>
              <w:rPr/>
              <w:t xml:space="preserve">If Parent wishes to issue any equity of Parent or its subsidiaries, each Holder holding at least 1% of Parent’s then-outstanding Shares will have preemptive rights to its pro rata portion of such Shares (or equivalents), subject to customary exceptions. </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Information Rights:</w:t>
            </w:r>
          </w:p>
        </w:tc>
        <w:tc>
          <w:tcPr>
            <w:tcW w:w="8542" w:type="dxa"/>
            <w:tcBorders/>
            <w:vAlign w:val="center"/>
          </w:tcPr>
          <w:p>
            <w:pPr>
              <w:pStyle w:val="TableContents"/>
              <w:bidi w:val="0"/>
              <w:spacing w:before="0" w:after="283"/>
              <w:jc w:val="left"/>
              <w:rPr/>
            </w:pPr>
            <w:r>
              <w:rPr/>
              <w:t>Parent will provide to each Holder holding at least 5% of Parent’s then-outstanding Shares quarterly unaudited financial reports and annual audited financial reports, subject to customary limitations.</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2340" w:right="0" w:hanging="234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7"/>
        <w:gridCol w:w="8808"/>
      </w:tblGrid>
      <w:tr>
        <w:trPr/>
        <w:tc>
          <w:tcPr>
            <w:tcW w:w="1397" w:type="dxa"/>
            <w:tcBorders/>
            <w:vAlign w:val="center"/>
          </w:tcPr>
          <w:p>
            <w:pPr>
              <w:pStyle w:val="TableContents"/>
              <w:bidi w:val="0"/>
              <w:spacing w:before="0" w:after="283"/>
              <w:jc w:val="left"/>
              <w:rPr>
                <w:b/>
              </w:rPr>
            </w:pPr>
            <w:r>
              <w:rPr>
                <w:b/>
              </w:rPr>
              <w:t>Management:</w:t>
            </w:r>
          </w:p>
        </w:tc>
        <w:tc>
          <w:tcPr>
            <w:tcW w:w="8808" w:type="dxa"/>
            <w:tcBorders/>
            <w:vAlign w:val="center"/>
          </w:tcPr>
          <w:p>
            <w:pPr>
              <w:pStyle w:val="TableContents"/>
              <w:bidi w:val="0"/>
              <w:spacing w:before="0" w:after="283"/>
              <w:jc w:val="left"/>
              <w:rPr/>
            </w:pPr>
            <w:r>
              <w:rPr/>
              <w:t>Parent will have the right to repurchase Shares held by employees or service providers who are terminated or voluntarily terminate employment with the Company on terms customary for transactions of this nature (including satisfaction of all or a portion of the purchase price with a subordinated note on customary terms).  </w:t>
            </w:r>
          </w:p>
        </w:tc>
      </w:tr>
      <w:tr>
        <w:trPr/>
        <w:tc>
          <w:tcPr>
            <w:tcW w:w="1397" w:type="dxa"/>
            <w:tcBorders/>
            <w:vAlign w:val="center"/>
          </w:tcPr>
          <w:p>
            <w:pPr>
              <w:pStyle w:val="TableContents"/>
              <w:bidi w:val="0"/>
              <w:spacing w:before="0" w:after="283"/>
              <w:jc w:val="left"/>
              <w:rPr/>
            </w:pPr>
            <w:r>
              <w:rPr/>
              <w:t> </w:t>
            </w:r>
          </w:p>
        </w:tc>
        <w:tc>
          <w:tcPr>
            <w:tcW w:w="8808" w:type="dxa"/>
            <w:tcBorders/>
            <w:vAlign w:val="center"/>
          </w:tcPr>
          <w:p>
            <w:pPr>
              <w:pStyle w:val="TableContents"/>
              <w:bidi w:val="0"/>
              <w:spacing w:before="0" w:after="283"/>
              <w:jc w:val="left"/>
              <w:rPr/>
            </w:pPr>
            <w:r>
              <w:rPr/>
              <w:t> </w:t>
            </w:r>
          </w:p>
        </w:tc>
      </w:tr>
      <w:tr>
        <w:trPr/>
        <w:tc>
          <w:tcPr>
            <w:tcW w:w="1397" w:type="dxa"/>
            <w:tcBorders/>
            <w:vAlign w:val="center"/>
          </w:tcPr>
          <w:p>
            <w:pPr>
              <w:pStyle w:val="TableContents"/>
              <w:bidi w:val="0"/>
              <w:spacing w:before="0" w:after="283"/>
              <w:jc w:val="left"/>
              <w:rPr>
                <w:b/>
              </w:rPr>
            </w:pPr>
            <w:r>
              <w:rPr>
                <w:b/>
              </w:rPr>
              <w:t>Amendments:</w:t>
            </w:r>
          </w:p>
        </w:tc>
        <w:tc>
          <w:tcPr>
            <w:tcW w:w="8808" w:type="dxa"/>
            <w:tcBorders/>
            <w:vAlign w:val="center"/>
          </w:tcPr>
          <w:p>
            <w:pPr>
              <w:pStyle w:val="TableContents"/>
              <w:bidi w:val="0"/>
              <w:spacing w:before="0" w:after="283"/>
              <w:jc w:val="left"/>
              <w:rPr/>
            </w:pPr>
            <w:r>
              <w:rPr/>
              <w:t>The Shareholder Agreement may be amended or waived by Holders holding a majority of the then-outstanding Shares, provided, subject to customary exceptions, no amendment or waiver will apply to any Holders disproportionately adversely effected thereby, relative to the Holders approving such amendment or waiver, without the prior written consent of the Holders holdings of a majority of the Shares held by such disproportionately adversely effected Holders.</w:t>
            </w:r>
          </w:p>
        </w:tc>
      </w:tr>
      <w:tr>
        <w:trPr/>
        <w:tc>
          <w:tcPr>
            <w:tcW w:w="1397" w:type="dxa"/>
            <w:tcBorders/>
            <w:vAlign w:val="center"/>
          </w:tcPr>
          <w:p>
            <w:pPr>
              <w:pStyle w:val="TableContents"/>
              <w:bidi w:val="0"/>
              <w:spacing w:before="0" w:after="283"/>
              <w:jc w:val="left"/>
              <w:rPr/>
            </w:pPr>
            <w:r>
              <w:rPr/>
              <w:t> </w:t>
            </w:r>
          </w:p>
        </w:tc>
        <w:tc>
          <w:tcPr>
            <w:tcW w:w="8808" w:type="dxa"/>
            <w:tcBorders/>
            <w:vAlign w:val="center"/>
          </w:tcPr>
          <w:p>
            <w:pPr>
              <w:pStyle w:val="TableContents"/>
              <w:bidi w:val="0"/>
              <w:spacing w:before="0" w:after="283"/>
              <w:jc w:val="left"/>
              <w:rPr/>
            </w:pPr>
            <w:r>
              <w:rPr/>
              <w:t> </w:t>
            </w:r>
          </w:p>
        </w:tc>
      </w:tr>
      <w:tr>
        <w:trPr/>
        <w:tc>
          <w:tcPr>
            <w:tcW w:w="1397" w:type="dxa"/>
            <w:tcBorders/>
            <w:vAlign w:val="center"/>
          </w:tcPr>
          <w:p>
            <w:pPr>
              <w:pStyle w:val="TableContents"/>
              <w:bidi w:val="0"/>
              <w:spacing w:before="0" w:after="283"/>
              <w:jc w:val="left"/>
              <w:rPr>
                <w:b/>
              </w:rPr>
            </w:pPr>
            <w:r>
              <w:rPr>
                <w:b/>
              </w:rPr>
              <w:t>Expenses:</w:t>
            </w:r>
          </w:p>
        </w:tc>
        <w:tc>
          <w:tcPr>
            <w:tcW w:w="8808" w:type="dxa"/>
            <w:tcBorders/>
            <w:vAlign w:val="center"/>
          </w:tcPr>
          <w:p>
            <w:pPr>
              <w:pStyle w:val="TableContents"/>
              <w:bidi w:val="0"/>
              <w:spacing w:before="0" w:after="283"/>
              <w:jc w:val="left"/>
              <w:rPr/>
            </w:pPr>
            <w:r>
              <w:rPr/>
              <w:t>Parent will be responsible for the payment or reimbursement of fees, costs and expenses incurred by the Sponsors in connection with the Transactions.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Accredited Investor Certificate</w: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Accredited Investor Certificate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represents and warrants that the Holder is an “accredited investor” (an “</w:t>
      </w:r>
      <w:r>
        <w:rPr>
          <w:rFonts w:ascii="Times New Roman;Times;Serif" w:hAnsi="Times New Roman;Times;Serif"/>
          <w:b/>
          <w:i w:val="false"/>
          <w:caps w:val="false"/>
          <w:smallCaps w:val="false"/>
          <w:sz w:val="20"/>
        </w:rPr>
        <w:t>Accredited Investor</w:t>
      </w:r>
      <w:r>
        <w:rPr>
          <w:rFonts w:ascii="Times New Roman;Times;Serif" w:hAnsi="Times New Roman;Times;Serif"/>
          <w:b w:val="false"/>
          <w:i w:val="false"/>
          <w:caps w:val="false"/>
          <w:smallCaps w:val="false"/>
          <w:sz w:val="20"/>
        </w:rPr>
        <w:t>”) as such term is defined in Rule 501(a) of Regulation D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for </w:t>
      </w:r>
      <w:r>
        <w:rPr>
          <w:rFonts w:ascii="Times New Roman;Times;Serif" w:hAnsi="Times New Roman;Times;Serif"/>
          <w:b w:val="false"/>
          <w:i/>
          <w:caps w:val="false"/>
          <w:smallCaps w:val="false"/>
          <w:sz w:val="20"/>
          <w:u w:val="single"/>
        </w:rPr>
        <w:t>one or more</w:t>
      </w:r>
      <w:r>
        <w:rPr>
          <w:rFonts w:ascii="Times New Roman;Times;Serif" w:hAnsi="Times New Roman;Times;Serif"/>
          <w:b w:val="false"/>
          <w:i w:val="false"/>
          <w:caps w:val="false"/>
          <w:smallCaps w:val="false"/>
          <w:sz w:val="20"/>
        </w:rPr>
        <w:t xml:space="preserve"> of the reasons specified below (please check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boxes that apply):</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 Natural Persons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 is a </w:t>
      </w:r>
      <w:r>
        <w:rPr>
          <w:rFonts w:ascii="Times New Roman;Times;Serif" w:hAnsi="Times New Roman;Times;Serif"/>
          <w:b/>
          <w:i w:val="false"/>
          <w:caps w:val="false"/>
          <w:smallCaps w:val="false"/>
          <w:sz w:val="20"/>
          <w:u w:val="single"/>
        </w:rPr>
        <w:t>natural person</w:t>
      </w:r>
      <w:r>
        <w:rPr>
          <w:rFonts w:ascii="Times New Roman;Times;Serif" w:hAnsi="Times New Roman;Times;Serif"/>
          <w:b w:val="false"/>
          <w:i w:val="false"/>
          <w:caps w:val="false"/>
          <w:smallCaps w:val="false"/>
          <w:sz w:val="20"/>
        </w:rPr>
        <w:t xml:space="preserve"> and (please check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boxes that apply):</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has an individual net worth or a joint net worth with the Holder’s Spousal Equivalent</w:t>
            </w:r>
            <w:r>
              <w:rPr>
                <w:position w:val="7"/>
                <w:sz w:val="16"/>
                <w:sz w:val="20"/>
              </w:rPr>
              <w:t>1</w:t>
            </w:r>
            <w:r>
              <w:rPr>
                <w:sz w:val="20"/>
              </w:rPr>
              <w:t xml:space="preserve"> in excess of $1,000,000 (determined by subtracting total liabilities from total assets)</w:t>
            </w:r>
            <w:r>
              <w:rPr>
                <w:position w:val="7"/>
                <w:sz w:val="16"/>
                <w:sz w:val="20"/>
              </w:rPr>
              <w:t>2</w:t>
            </w:r>
            <w:r>
              <w:rPr>
                <w:sz w:val="20"/>
              </w:rPr>
              <w: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had an individual income in excess of $200,000 (or a joint income together with the Holder’s spouse or Spousal Equivalent in excess of $300,000) in each of the two most recently completed calendar years, and reasonably expects to have an individual income in excess of $200,000 (or a joint income together with the Holder’s spouse or Spousal Equivalent in excess of $300,000) in the current calendar year;</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holds in good standing one or more of the following professional certifications: General Securities Representative license (Series 7), Private Securities Offerings Representative license (Series 82), or Investment Adviser Representative license (Series 65); and/or</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“family client,” as defined in Rule 202(a)(11)(G)-1 under the U.S. Investment Advisers Act of 1940, as amended (the “</w:t>
            </w:r>
            <w:r>
              <w:rPr>
                <w:b/>
                <w:sz w:val="20"/>
              </w:rPr>
              <w:t>Advisers Act</w:t>
            </w:r>
            <w:r>
              <w:rPr>
                <w:sz w:val="20"/>
              </w:rPr>
              <w:t>”), whose prospective investment in the Partnership is directed by that person’s Qualified Family Office (as defined below).</w:t>
            </w:r>
          </w:p>
        </w:tc>
      </w:tr>
    </w:tbl>
    <w:p>
      <w:pPr>
        <w:pStyle w:val="TextBody"/>
        <w:bidi w:val="0"/>
        <w:spacing w:before="0" w:after="240"/>
        <w:ind w:left="54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 Entities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 is an </w:t>
      </w:r>
      <w:r>
        <w:rPr>
          <w:rFonts w:ascii="Times New Roman;Times;Serif" w:hAnsi="Times New Roman;Times;Serif"/>
          <w:b/>
          <w:i w:val="false"/>
          <w:caps w:val="false"/>
          <w:smallCaps w:val="false"/>
          <w:sz w:val="20"/>
          <w:u w:val="single"/>
        </w:rPr>
        <w:t>entity</w:t>
      </w:r>
      <w:r>
        <w:rPr>
          <w:rFonts w:ascii="Times New Roman;Times;Serif" w:hAnsi="Times New Roman;Times;Serif"/>
          <w:b w:val="false"/>
          <w:i w:val="false"/>
          <w:caps w:val="false"/>
          <w:smallCaps w:val="false"/>
          <w:sz w:val="20"/>
        </w:rPr>
        <w:t xml:space="preserve"> and (please check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boxes that apply):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corporation, partnership, limited liability company, Massachusetts or similar business trust or organization described in Section 501(c)(3) of the U.S. Internal</w:t>
            </w:r>
          </w:p>
        </w:tc>
      </w:tr>
    </w:tbl>
    <w:p>
      <w:pPr>
        <w:pStyle w:val="TextBody"/>
        <w:bidi w:val="0"/>
        <w:spacing w:before="0" w:after="283"/>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spacing w:before="60" w:after="60"/>
        <w:ind w:left="54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8" w:type="dxa"/>
            <w:tcBorders/>
            <w:vAlign w:val="center"/>
          </w:tcPr>
          <w:p>
            <w:pPr>
              <w:pStyle w:val="TableContents"/>
              <w:bidi w:val="0"/>
              <w:spacing w:before="0" w:after="283"/>
              <w:jc w:val="left"/>
              <w:rPr/>
            </w:pPr>
            <w:r>
              <w:rPr/>
              <w:t>“</w:t>
            </w:r>
            <w:r>
              <w:rPr>
                <w:b/>
              </w:rPr>
              <w:t>Spousal Equivalent</w:t>
            </w:r>
            <w:r>
              <w:rPr/>
              <w:t>” means the Holder’s spouse or a cohabitant occupying a relationship generally equivalent to that of a spouse.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58" w:type="dxa"/>
            <w:tcBorders/>
            <w:vAlign w:val="center"/>
          </w:tcPr>
          <w:p>
            <w:pPr>
              <w:pStyle w:val="TableContents"/>
              <w:bidi w:val="0"/>
              <w:spacing w:before="0" w:after="283"/>
              <w:jc w:val="left"/>
              <w:rPr/>
            </w:pPr>
            <w:r>
              <w:rPr/>
              <w:t xml:space="preserve">For purposes of calculating the Holder’s net worth or joint net worth with the Holder’s Spousal Equivalent, the calculation should exclude the Holder’s primary residence and indebtedness thereon up to the gross value of such residence; </w:t>
            </w:r>
            <w:r>
              <w:rPr>
                <w:i/>
              </w:rPr>
              <w:t>provided</w:t>
            </w:r>
            <w:r>
              <w:rPr/>
              <w:t>, that if the amount of such indebtedness outstanding at the time of Holder’s admission to the Partnership would exceed the amount of such indebtedness outstanding 60 days before such time, other than as a result of the acquisition of the primary residence, the amount of such excess shall be included as a liability in the determination of Holder’s net worth. Further, for purposes of calculating the joint net worth of the Holder and the Holder’s Spousal Equivalent, the assets of the Holder and Spousal Equivalent need not be held jointly.</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Revenue Code of 1986, as amended, not formed for the specific purpose of acquiring interests in the Partnership that has total assets in excess of $5,000,000;</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bank as defined in Section 3(a)(2) of the Securities Act, a savings and loan association, or other institution defined in Section 3(a)(5)(A) of the Securities Act acting in either its individual or fiduciary capacity (this includes a trust for which a bank acts as trustee and exercises investment discretion with respect to the trust’s decision to invest in the Partnership);</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broker dealer registered pursuant to Section 15 of the U.S. Securities Exchange Act of 1934, as amended (the “</w:t>
            </w:r>
            <w:r>
              <w:rPr>
                <w:b/>
                <w:sz w:val="20"/>
              </w:rPr>
              <w:t>Exchange Act</w:t>
            </w:r>
            <w:r>
              <w:rPr>
                <w:sz w:val="20"/>
              </w:rPr>
              <w: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investment adviser registered pursuant to Section 203 of the Advisers Act, or registered pursuant to the laws of a U.S. state;</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investment adviser relying on the exemption from registering with the U.S. Securities and Exchange Commission under Section 203(l) or (m) of the Advisers Act;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insurance company as defined in Section 2(a)(13) of the Securities Act;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investment company registered under the U.S. Investment Company Act of 1940, as amended (the “</w:t>
            </w:r>
            <w:r>
              <w:rPr>
                <w:b/>
                <w:sz w:val="20"/>
              </w:rPr>
              <w:t>Investment Company Act</w:t>
            </w:r>
            <w:r>
              <w:rPr>
                <w:sz w:val="20"/>
              </w:rPr>
              <w:t>”), or a business development company as defined in Section 2(a)(48) of the Investment Company Act;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Small Business Investment Company licensed by the U.S. Small Business Administration under Section 301(c) or (d) of the U.S. Small Business Investment Act of 1958, as amended;</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Rural Business Investment Company as defined in Section 384A of the Consolidated Farm and Rural Development Act of 1972, as amended;</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plan established and maintained by a state, its political subdivisions, or an agency or instrumentality of a state or its political subdivisions, for the benefit of employees, having total assets in excess of $5,000,000;</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employee benefit plan within the meaning of the U.S. Employee Retirement Income Security Act of 1974, as amended (“</w:t>
            </w:r>
            <w:r>
              <w:rPr>
                <w:b/>
                <w:sz w:val="20"/>
              </w:rPr>
              <w:t>ERISA</w:t>
            </w:r>
            <w:r>
              <w:rPr>
                <w:sz w:val="20"/>
              </w:rPr>
              <w:t>”), (a) for which the investment decision to acquire an interest in the Partnership is being made by a plan fiduciary, as defined in Section 3(21) of ERISA, that is either a bank, savings and loan association, insurance company, or registered investment adviser, (b) which has total assets in excess of $5,000,000, or (c) which is self-directed, with the investment decisions made solely by persons who are Accredited Investors;</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private business development company as defined in Section 202(a)(22) of the Advisers Act;</w:t>
            </w:r>
          </w:p>
        </w:tc>
      </w:tr>
    </w:tbl>
    <w:p>
      <w:pPr>
        <w:pStyle w:val="TextBody"/>
        <w:bidi w:val="0"/>
        <w:ind w:left="54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trust not formed for the specific purpose of acquiring interests in the Partnership with total assets in excess of $5,000,000 and directed by a person who has such knowledge and experience in financial and business matters as to be capable of evaluating the merits and risks of investing in the Partnership;</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revocable trust (including a revocable trust formed for the specific purpose of acquiring an interest in the Partnership) and the grantor or settlor of such trust is an Accredited Investor;</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“family office” as defined in Rule 202(a)(11)(G)-1 under the Advisers Act, (a) with assets under management in excess of $5,000,000, (b) that was not formed for the specific purpose of acquiring interests in the Partnership, and (c) whose prospective investment in the Partnership is directed by a person who has such knowledge and experience in financial and business matters that such family office is capable of evaluating the merits and risks of an investment in the Partnership (such a family office, a “</w:t>
            </w:r>
            <w:r>
              <w:rPr>
                <w:b/>
                <w:sz w:val="20"/>
              </w:rPr>
              <w:t>Qualified Family Office</w:t>
            </w:r>
            <w:r>
              <w:rPr>
                <w:sz w:val="20"/>
              </w:rPr>
              <w: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“family client,” as defined in Rule 202(a)(11)(G)-1 under the Advisers Act, whose prospective investment in the Partnership is directed by its Qualified Family Office;</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entity of a type not listed above that (i) was not formed for the specific purpose of acquiring interests in the Partnership and (ii) that owns “investments” (as defined in Rule 2a51-1(b) under the Investment Company Act) in excess of $5,000,000; and/or</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entity in which each equity owner is an Accredited Investor.</w:t>
            </w:r>
            <w:r>
              <w:rPr>
                <w:position w:val="7"/>
                <w:sz w:val="16"/>
                <w:sz w:val="20"/>
              </w:rPr>
              <w:t>3</w:t>
            </w:r>
          </w:p>
        </w:tc>
      </w:tr>
    </w:tbl>
    <w:p>
      <w:pPr>
        <w:pStyle w:val="TextBody"/>
        <w:bidi w:val="0"/>
        <w:spacing w:before="0" w:after="240"/>
        <w:ind w:left="540" w:right="0" w:hanging="0"/>
        <w:jc w:val="left"/>
        <w:rPr>
          <w:caps w:val="false"/>
          <w:smallCaps w:val="false"/>
          <w:color w:val="44546A"/>
        </w:rPr>
      </w:pPr>
      <w:r>
        <w:rPr>
          <w:caps w:val="false"/>
          <w:smallCaps w:val="false"/>
          <w:color w:val="44546A"/>
        </w:rPr>
        <w:t> </w:t>
      </w:r>
    </w:p>
    <w:p>
      <w:pPr>
        <w:pStyle w:val="TextBody"/>
        <w:bidi w:val="0"/>
        <w:ind w:left="540" w:right="0" w:hanging="540"/>
        <w:jc w:val="left"/>
        <w:rPr>
          <w:caps w:val="false"/>
          <w:smallCaps w:val="false"/>
        </w:rPr>
      </w:pPr>
      <w:r>
        <w:rPr>
          <w:caps w:val="false"/>
          <w:smallCaps w:val="false"/>
        </w:rPr>
        <w:t> </w:t>
      </w:r>
    </w:p>
    <w:p>
      <w:pPr>
        <w:pStyle w:val="TextBody"/>
        <w:bidi w:val="0"/>
        <w:ind w:left="540" w:right="0" w:hanging="54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24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58" w:type="dxa"/>
            <w:tcBorders/>
            <w:vAlign w:val="center"/>
          </w:tcPr>
          <w:p>
            <w:pPr>
              <w:pStyle w:val="TableContents"/>
              <w:bidi w:val="0"/>
              <w:spacing w:before="0" w:after="283"/>
              <w:jc w:val="left"/>
              <w:rPr/>
            </w:pPr>
            <w:r>
              <w:rPr/>
              <w:t>For purposes of selecting this response, it is permissible to look through various forms of equity ownership to natural persons. Those natural persons and all other equity owners of the entity seeking Accredited Investor status must be Accredited Investors.</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certification as of the date first written above.</w:t>
      </w:r>
    </w:p>
    <w:tbl>
      <w:tblPr>
        <w:tblW w:w="949" w:type="dxa"/>
        <w:jc w:val="left"/>
        <w:tblInd w:w="0" w:type="dxa"/>
        <w:tblLayout w:type="fixed"/>
        <w:tblCellMar>
          <w:top w:w="0" w:type="dxa"/>
          <w:left w:w="0" w:type="dxa"/>
          <w:bottom w:w="0" w:type="dxa"/>
          <w:right w:w="0" w:type="dxa"/>
        </w:tblCellMar>
      </w:tblPr>
      <w:tblGrid>
        <w:gridCol w:w="75"/>
        <w:gridCol w:w="737"/>
        <w:gridCol w:w="62"/>
        <w:gridCol w:w="75"/>
      </w:tblGrid>
      <w:tr>
        <w:trPr/>
        <w:tc>
          <w:tcPr>
            <w:tcW w:w="75"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left"/>
              <w:rPr>
                <w:b/>
              </w:rPr>
            </w:pPr>
            <w:r>
              <w:rPr>
                <w:b/>
              </w:rPr>
              <w:t>Holder: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By:</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xml:space="preserve">Name: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Title:</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ind w:left="504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0"/>
        </w:rPr>
      </w:pPr>
      <w:bookmarkStart w:id="4" w:name="eh240451717_ex04.htm"/>
      <w:bookmarkStart w:id="5" w:name="kseh240451717_ex04"/>
      <w:bookmarkEnd w:id="4"/>
      <w:bookmarkEnd w:id="5"/>
      <w:r>
        <w:rPr>
          <w:rFonts w:ascii="Times New Roman;Times;Serif" w:hAnsi="Times New Roman;Times;Serif"/>
          <w:b/>
          <w:i w:val="false"/>
          <w:caps w:val="false"/>
          <w:smallCaps w:val="false"/>
          <w:sz w:val="20"/>
        </w:rPr>
        <w:t>EXHIBIT 4</w:t>
      </w:r>
      <w:r>
        <w:br w:type="page"/>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ROLLOVER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ROLLOVER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February 25, 2024, by and among (i) Atlas Neon Parent,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(ii) Atlas Neon Merger Sub, Inc.,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(iii) the Persons listed on the signature pages hereto under the heading “Sponsors” (“</w:t>
      </w:r>
      <w:r>
        <w:rPr>
          <w:rFonts w:ascii="Times New Roman;Times;Serif" w:hAnsi="Times New Roman;Times;Serif"/>
          <w:b w:val="false"/>
          <w:i w:val="false"/>
          <w:caps w:val="false"/>
          <w:smallCaps w:val="false"/>
          <w:sz w:val="20"/>
          <w:u w:val="single"/>
        </w:rPr>
        <w:t>Sponsors</w:t>
      </w:r>
      <w:r>
        <w:rPr>
          <w:rFonts w:ascii="Times New Roman;Times;Serif" w:hAnsi="Times New Roman;Times;Serif"/>
          <w:b w:val="false"/>
          <w:i w:val="false"/>
          <w:caps w:val="false"/>
          <w:smallCaps w:val="false"/>
          <w:sz w:val="20"/>
        </w:rPr>
        <w:t>”) and (iv) the Persons listed on the signature pages hereto under the heading “</w:t>
      </w:r>
      <w:r>
        <w:rPr>
          <w:rFonts w:ascii="Times New Roman;Times;Serif" w:hAnsi="Times New Roman;Times;Serif"/>
          <w:b w:val="false"/>
          <w:i w:val="false"/>
          <w:caps w:val="false"/>
          <w:smallCaps w:val="false"/>
          <w:sz w:val="20"/>
          <w:u w:val="single"/>
        </w:rPr>
        <w:t>Additional Rollover Holders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Additional Holders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Capitalized terms used but not defined herein shall have the meanings given to them in the Merger Agreement (as defined below).</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Parent and Merger Sub are parties to the Agreement and Plan of Merger dated as of the date hereof (as amended, supplemented or modified from time to time in accordance with the terms thereof and in compliance with this Agreement,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NGM Biopharmaceuticals,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pursuant to which, upon the terms and subject to the conditions set forth therein, Parent has agreed to cause Merger Sub to commence a cash tender offer (as it may be amended from time to time in accordance with the terms of the Merger Agreement, the “</w:t>
      </w:r>
      <w:r>
        <w:rPr>
          <w:rFonts w:ascii="Times New Roman;Times;Serif" w:hAnsi="Times New Roman;Times;Serif"/>
          <w:b w:val="false"/>
          <w:i w:val="false"/>
          <w:caps w:val="false"/>
          <w:smallCaps w:val="false"/>
          <w:sz w:val="20"/>
          <w:u w:val="single"/>
        </w:rPr>
        <w:t>Offer</w:t>
      </w:r>
      <w:r>
        <w:rPr>
          <w:rFonts w:ascii="Times New Roman;Times;Serif" w:hAnsi="Times New Roman;Times;Serif"/>
          <w:b w:val="false"/>
          <w:i w:val="false"/>
          <w:caps w:val="false"/>
          <w:smallCaps w:val="false"/>
          <w:sz w:val="20"/>
        </w:rPr>
        <w:t>”) to purchase all the outstanding shares of common stock, par value $0.001 per share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of the Company for a price per share of $1.55, subject to applicable tax withholding and without interest (the “</w:t>
      </w:r>
      <w:r>
        <w:rPr>
          <w:rFonts w:ascii="Times New Roman;Times;Serif" w:hAnsi="Times New Roman;Times;Serif"/>
          <w:b w:val="false"/>
          <w:i w:val="false"/>
          <w:caps w:val="false"/>
          <w:smallCaps w:val="false"/>
          <w:sz w:val="20"/>
          <w:u w:val="single"/>
        </w:rPr>
        <w:t>Offer Price</w:t>
      </w:r>
      <w:r>
        <w:rPr>
          <w:rFonts w:ascii="Times New Roman;Times;Serif" w:hAnsi="Times New Roman;Times;Serif"/>
          <w:b w:val="false"/>
          <w:i w:val="false"/>
          <w:caps w:val="false"/>
          <w:smallCaps w:val="false"/>
          <w:sz w:val="20"/>
        </w:rPr>
        <w:t>”). On the terms and subject to the conditions set forth in the Merger Agreement, following the closing of the Offer, Parent will cause Merger Sub to merge with and into the Company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as a subsidiary of Parent.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Sponsors are party to the Rollover Agreement with Parent and Merger Sub, dated as of the date hereof (the “</w:t>
      </w:r>
      <w:r>
        <w:rPr>
          <w:rFonts w:ascii="Times New Roman;Times;Serif" w:hAnsi="Times New Roman;Times;Serif"/>
          <w:b w:val="false"/>
          <w:i w:val="false"/>
          <w:caps w:val="false"/>
          <w:smallCaps w:val="false"/>
          <w:sz w:val="20"/>
          <w:u w:val="single"/>
        </w:rPr>
        <w:t>Sponsor Rollover Agreement</w:t>
      </w:r>
      <w:r>
        <w:rPr>
          <w:rFonts w:ascii="Times New Roman;Times;Serif" w:hAnsi="Times New Roman;Times;Serif"/>
          <w:b w:val="false"/>
          <w:i w:val="false"/>
          <w:caps w:val="false"/>
          <w:smallCaps w:val="false"/>
          <w:sz w:val="20"/>
        </w:rPr>
        <w:t>”), pursuant to which Sponsors desire, in lieu of receiving the Offer Price and subject to the terms and conditions set forth therein, immediately prior to the Merger Closing, to contribute that number of Company Common Stock held by it that is set forth on the signature pages thereto (the “</w:t>
      </w:r>
      <w:r>
        <w:rPr>
          <w:rFonts w:ascii="Times New Roman;Times;Serif" w:hAnsi="Times New Roman;Times;Serif"/>
          <w:b w:val="false"/>
          <w:i w:val="false"/>
          <w:caps w:val="false"/>
          <w:smallCaps w:val="false"/>
          <w:sz w:val="20"/>
          <w:u w:val="single"/>
        </w:rPr>
        <w:t>Sponsor Rollover Shares</w:t>
      </w:r>
      <w:r>
        <w:rPr>
          <w:rFonts w:ascii="Times New Roman;Times;Serif" w:hAnsi="Times New Roman;Times;Serif"/>
          <w:b w:val="false"/>
          <w:i w:val="false"/>
          <w:caps w:val="false"/>
          <w:smallCaps w:val="false"/>
          <w:sz w:val="20"/>
        </w:rPr>
        <w:t>”) and in exchange for each such Sponsor Rollover Share to receive 100 newly issued common shares of Parent, par value US$0.001 (“</w:t>
      </w:r>
      <w:r>
        <w:rPr>
          <w:rFonts w:ascii="Times New Roman;Times;Serif" w:hAnsi="Times New Roman;Times;Serif"/>
          <w:b w:val="false"/>
          <w:i w:val="false"/>
          <w:caps w:val="false"/>
          <w:smallCaps w:val="false"/>
          <w:sz w:val="20"/>
          <w:u w:val="single"/>
        </w:rPr>
        <w:t>Parent Shares</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Each Holder desires, in lieu of receiving the Offer Price and subject to the terms and conditions set forth herein, immediately prior to the Merger Closing, to contribute that number of Company Common Stock held by it that is set forth on such Holder’s signature page hereto (such Holder’s “</w:t>
      </w:r>
      <w:r>
        <w:rPr>
          <w:rFonts w:ascii="Times New Roman;Times;Serif" w:hAnsi="Times New Roman;Times;Serif"/>
          <w:b w:val="false"/>
          <w:i w:val="false"/>
          <w:caps w:val="false"/>
          <w:smallCaps w:val="false"/>
          <w:sz w:val="20"/>
          <w:u w:val="single"/>
        </w:rPr>
        <w:t>Rollover Shares</w:t>
      </w:r>
      <w:r>
        <w:rPr>
          <w:rFonts w:ascii="Times New Roman;Times;Serif" w:hAnsi="Times New Roman;Times;Serif"/>
          <w:b w:val="false"/>
          <w:i w:val="false"/>
          <w:caps w:val="false"/>
          <w:smallCaps w:val="false"/>
          <w:sz w:val="20"/>
        </w:rPr>
        <w:t>”) and in exchange for each such Rollover Share to receive 100 newly issued Parent Shares.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Agreement governs the relationship of the parties hereto pending the Merger Closing (including in respect of the Merger Agreement, the Merger and the other Transactions) and with respect to Parent and the Parent Shares following the Merger Closing.</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w:t>
        <w:br/>
        <w:br/>
        <w:t>ROLLOVER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Contribution and Subscription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Effective immediately prior to the Merger Closing and subject to and conditioned upon the satisfaction of the conditions set forth in ‎Section 1.3, (x) each Holder agrees to and hereby does contribute, assign, transfer and deliver to Parent, and Parent agrees to and hereby does acquire, assume and accept from each Holder, all of such Holder’s right, title and interest in, to and under the number of Rollover Shares as set forth on such Holder’s signature page hereto and (y) in consideration for such contribution and concurrently therewith, Parent shall and does issue to such Holder (or, if agreed in writing by such Holder and Parent, an Affiliate of such Holder), and such Holder shall, automatically and with no further action thereby, subscribe for, acquire and accept, that number of Parent Shares equal to 100 times the number of Holder’s Rollover Shares so contributed hereunder (such contribution and subscription, the “</w:t>
      </w:r>
      <w:r>
        <w:rPr>
          <w:rFonts w:ascii="Times New Roman;Times;Serif" w:hAnsi="Times New Roman;Times;Serif"/>
          <w:b w:val="false"/>
          <w:i w:val="false"/>
          <w:caps w:val="false"/>
          <w:smallCaps w:val="false"/>
          <w:sz w:val="20"/>
          <w:u w:val="single"/>
        </w:rPr>
        <w:t>Rollover Closing</w:t>
      </w:r>
      <w:r>
        <w:rPr>
          <w:rFonts w:ascii="Times New Roman;Times;Serif" w:hAnsi="Times New Roman;Times;Serif"/>
          <w:b w:val="false"/>
          <w:i w:val="false"/>
          <w:caps w:val="false"/>
          <w:smallCaps w:val="false"/>
          <w:sz w:val="20"/>
        </w:rPr>
        <w:t>”). Each Holder hereby acknowledges and agrees that (i) delivery of the Parent Shares pursuant to and in accordance with the foregoing sentence shall constitute complete satisfaction of all obligations towards or sums due to such Holder by Parent and Merger Sub in respect of the Rollover Shares held by such Holder and cancelled at the Merger Closing as contemplated by the Merger Agreement, and (ii) such Holder shall have no right to the Offer Price pursuant to the Offer, the Merger or otherwise in respect of the Rollover Shares of such Holder.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Parent may determine in its sole discretion to reduce, in whole or in part, the amount of Rollover Shares of any Holder upon written notice given to such Holder at least three (3) Business Days prior to the Rollover Closing. Upon delivery of such notice, the number of Rollover Shares opposite such Holder’s name shall be reduced as provided in such notice (and for the avoidance of doubt the Company Common Stock so reduced shall thereupon cease to be Rollover Shares hereunder and shall instead have the right to the Offer Price in connection with the Offer and Merger).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Conditions to the Obligation of each Holder</w:t>
      </w:r>
      <w:r>
        <w:rPr>
          <w:rFonts w:ascii="Times New Roman;Times;Serif" w:hAnsi="Times New Roman;Times;Serif"/>
          <w:b w:val="false"/>
          <w:i w:val="false"/>
          <w:caps w:val="false"/>
          <w:smallCaps w:val="false"/>
          <w:sz w:val="20"/>
        </w:rPr>
        <w:t>. The obligation of each Holder under this Agreement to consummate the transactions of such Holder contemplated hereby is subject to the satisfaction of the following conditions prior to or concurrently with the Rollover Closing: (i) the representations and warranties made in this Agreement by Parent shall be true and correct in all material respects as of the Rollover Closing; (ii) each of the covenants and obligations that Parent is required to comply with or to perform pursuant to this Agreement shall have been complied with and performed in all material respects; (iii) the execution and delivery of this Agreement by Parent, Merger Sub and the Sponsors; (iv) the contribution of the Sponsor Rollover Shares to Parent pursuant to the Sponsor Rollover Agreement; and (v) effective immediately following the Rollover Closing, the Merger Closing shall occur pursuant to and in accordance with the Merger Agreement as in effect on the date hereof.</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Conditions to the Obligation of Parent and Merger Sub</w:t>
      </w:r>
      <w:r>
        <w:rPr>
          <w:rFonts w:ascii="Times New Roman;Times;Serif" w:hAnsi="Times New Roman;Times;Serif"/>
          <w:b w:val="false"/>
          <w:i w:val="false"/>
          <w:caps w:val="false"/>
          <w:smallCaps w:val="false"/>
          <w:sz w:val="20"/>
        </w:rPr>
        <w:t>. The obligations of Parent and Merger Sub to consummate the transactions of Parent and Merger Sub contemplated hereby is subject to, in each case with respect to the applicable Holder, the satisfaction of the following conditions prior to or concurrently with the Rollover Closing: (i) the representations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warranties made in this Agreement by the applicable Holder shall be true and correct in all material respects as of the Rollover Closing; (ii) each of the covenants and obligations that the applicable Holder is required to comply with or to perform pursuant to this Agreement shall have been complied with and performed in all material respects; (iii) the execution and delivery of this Agreement and the accredited investor certificate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in each case by the applicable Holder; and (iv) effective immediately following the Rollover Closing, the Merger Closing shall occur pursuant to and in accordance with the Merger Agreement.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br/>
        <w:t>RESTRICTIONS ON TRANSFER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Agreement Not to Transfer</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the contribution to Parent of Rollover Shares pursuant to this Agreement or with the prior written consent of Parent, Holder hereby agrees, from the date hereof until the termination of this Agreement in accordance with its terms, such Holder shall not, and shall cause its Affiliates not to, directly or indirectly:</w:t>
      </w:r>
    </w:p>
    <w:p>
      <w:pPr>
        <w:pStyle w:val="TextBody"/>
        <w:bidi w:val="0"/>
        <w:spacing w:before="0" w:after="24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offer for sale, sell (constructively or otherwise), transfer, assign, tender in any tender or exchange offer (including the Offer), gift, hedge, pledge, charge, mortgage, grant, encumber, hypothecate or otherwise assign or dispose of (by merger, testamentary disposition, operation of Law or otherwise) (collectively,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or enter into any Contract, option or other arrangement or understanding with respect to the Transfer of any of its Rollover Shares or any interest therein, including, without limitation, any swap transaction, option, warrant, forward purchase or sale transaction, futures, derivative or any other similar transaction (including any option with respect to any such transaction) or combination of any such transactions, in each case involving any of its Rollover Shares which (x) has, or could reasonably be expected to have, the effect of reducing or limiting such person’s economic interest in such Rollover Shares and/or (y) with respect to its Rollover Shares, grants a third party the right to vote or direct the voting, tender, sale or Transfer of such Rollover Shares;</w:t>
      </w:r>
    </w:p>
    <w:p>
      <w:pPr>
        <w:pStyle w:val="TextBody"/>
        <w:bidi w:val="0"/>
        <w:spacing w:before="0" w:after="24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deposit any of its Rollover Shares into a voting trust or enter into a voting agreement or arrangement or grant any proxy or power of attorney with respect thereto that is inconsistent with this Agreement;</w:t>
      </w:r>
    </w:p>
    <w:p>
      <w:pPr>
        <w:pStyle w:val="TextBody"/>
        <w:bidi w:val="0"/>
        <w:spacing w:before="0" w:after="24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convert or exchange, or take any action which would result in the conversion or exchange of, any of its Rollover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apply to the conversion, exercise or settlement of any incentive units of the Company in accordance with the terms and conditions thereof; or</w:t>
      </w:r>
    </w:p>
    <w:p>
      <w:pPr>
        <w:pStyle w:val="TextBody"/>
        <w:bidi w:val="0"/>
        <w:spacing w:before="0" w:after="24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agree to take any of the actions referred to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involuntary Transfer of any Holder’s Rollover Shares shall occur, the transferee (which term, as used herein, shall include any and all transferees and subsequent transferees of the initial transferee) shall take and hold such Rollover Shares subject to all of the</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obligations, liabilities and rights under this Agreement, which shall continue until this Agreement is terminated in accordance with its terms.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action taken in violation of this Section 2.1 shall, to the fullest extent permitted by law,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Holder hereby authorizes and instructs the Company to cause the Company’s transfer agent or other registrar to enter stop transfer instructions and implement stop transfer procedures with respect to all of the Rollover Shares or other capital stock or any securities convertible into or exercisable or exchangeable for Rollover Shares or other capital stock of the Company owned or held (of record or beneficially) by such Stockholder during the term of this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Agreement Not to Tender</w:t>
      </w:r>
      <w:r>
        <w:rPr>
          <w:rFonts w:ascii="Times New Roman;Times;Serif" w:hAnsi="Times New Roman;Times;Serif"/>
          <w:b w:val="false"/>
          <w:i w:val="false"/>
          <w:caps w:val="false"/>
          <w:smallCaps w:val="false"/>
          <w:sz w:val="20"/>
        </w:rPr>
        <w:t>. Holder hereby agrees that, from the date hereof until the termination of this Agreement in accordance with its terms, such Holder shall not, and shall cause its Affiliates not to, directly or indirectly, tender or agree or commit to tender any of its Rollover Shares pursuant to the Offer, including in any “subsequent offering period” in accordance with Rule 14d-11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To the extent any Holder directly or indirectly tenders or purports to tender any of its Rollover Shares in the Offer in violation or contravention of this Agreement, such Holder acknowledges and agrees that, to the maximum extent permitted by applicable Law, such tender and any right to receive the Offer Price thereunder shall in each case be null and void in all respects and such Rollover Shares shall remain subject to the terms of this Agreement; provided, if at any time the Rollover Shares are required under applicable Law to be treated pursuant to and in accordance with the Offer and the Merger Agreement and/or to receive the Offer Price, then the contribution of such Rollover Shares to Parent and the issuance of Parent Shares to such Holder in consideration therefor in each case as contemplated by this Agreement shall be null and void in all respects and such Holder shall have no claim or right to any Parent Shares pursuant to this Agreement or otherwise in respect of any such Rollover Shares. For the avoidance of doubt, each Holder acknowledges and agrees that, with respect to any share of Company Common Stock, in no circumstances shall such Holder have the right to receive both the Offer Price and any Parent Shares. This Article II shall terminate in the event that the offered price in the Offer exceeds the Offer Price.</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br/>
        <w:t>COVENANTS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From the date hereof until this Agreement is terminated in accordance with its terms, each Additional Holder, severally and not jointly:</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agrees to not, and to cause its Affiliates and Representatives (in their respective capacities as such) to not, without the prior written consent of Parent, (i) solicit, initiate, knowingly encourage or knowingly facilitate any inquiry, discussion offer or request that constitutes, or would reasonably be expected to lead to, any Company Takeover Proposal, (ii) enter into, continue or maintain discussions or negotiations with, or provide any non-public information relating to the Company or any of its subsidiaries to, any Person in connection with any Company Takeover Proposal, (iii) approve, agree to, accept, endorse, vote its Rollover Shares against and to</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recommend rejecting any Company Takeover Proposal or (iv) enter into any agreement, arrangement or understanding or have discussions with any other potential Holder or acquirer, group of Holders or acquirors, or the Company or any of its representatives with respect to the subject matter of this Agreement and the Merger Agreement or any other similar transaction involving the Company including any Company Takeover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the foregoing shall not limit or restrict any Holders or any representatives thereof in their capacity as a director or officer of the Company (and not in its capacity as a representative of a shareholder or its Affiliate) from exercising any fiduciary duties and responsibilities solely in such capacity in accordance with the Merger Agreement and applicable Law;</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agrees, prior to the termination of this Agreement in accordance with its terms, not to knowingly take any action that would make any representation or warranty of such Person contained herein untrue or incorrect or have or could have the effect of preventing, impeding or interfering with or adversely affecting the performance by such Person of its obligations under this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irrevocably waives, and agrees not to exercise, any rights of appraisal or rights of dissent from the Merger that such Person may have with respect to such Person’s shares of Company Common Stock (including, without limitation, any rights under Section 262 of the DGCL);</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agrees not to initiate any action seeking to enjoin, prevent or delay the Merger or any of the transactions contemplated thereby or claiming that the Offer Price or issuance of Parent Shares, as applicable, are not fair to the Company or any of its shareholders or that is intended, or would reasonably be expected, to impede, frustrate, interfere with, delay, postpone, adversely affect or prevent the consummation of the Merger or the other transactions contemplated by the Merger Agreement or this Agreement or the performance by the Company of its obligations under the Merger Agreement or by such Rollover Shareholder of its or his obligations under this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agrees to permit the Company to publish and disclose in a Rule 13e-3 Transaction Statement on Schedule 13E-3, Schedule 14D-9 or any other publicly filed document related to the Transactions, such Person’s identity and beneficial ownership of Shares or other equity securities of the Company and the nature of such Person’s commitments, arrangements and understandings under this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agrees that such Person shall not, without the prior written consent of Parent, acquire any new shares of Company Common Stock or any other securities of the Company, including, without limitation, by purchase, exchange or change of such shares, combination, reclassification or upon exercise or conversion of any securities of the Company after the date hereof, but excluding any such shares issued as a result of a share dividend, share split or recapitalization;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apply to the issuance of such shares upon conversion, exercise or settlement of any incentive units of the Company in accordance with the terms and conditions thereof or any issuance of new shares by the Company;</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agrees that such Holder or any of its respective Affiliates has not and shall not enter into any material agreement, arrangement or transaction with any Holder relating to</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without the prior written consent of Parent, except for non-reliance letters, access letters and other agreements related to diligence reports and agreements of similar nature;</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agrees, subject to the limitations in the Merger Agreement, to use reasonable best efforts and provide all cooperation as may be reasonably requested by Parent to obtain all applicable governmental, statutory, regulatory or other approvals, licenses, waivers or exemptions required or, in the reasonable opinion of the Sponsors, desirable for the consummation of the Transactions;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agrees, following the date hereof any in any event at least ten (10) Business Days prior to the Rollover Closing, with respect to any Rollover Shares of which such Holder is not the holder of record, to transfer or cause to be transferred such Rollover Shares to (at Holder’s election) (x) such Holder as the holder of record thereof or (y) to such broker or exchange agent as Parent may designate to such Holder in writing; and</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agrees that, upon request of Parent, such Person shall execute and deliver any additional documents, consents or instruments and take such further actions as may reasonably be necessary to carry out the provisions of this Agreement.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br/>
        <w:t>REPRESENTATIONS AND WARRANTIES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Representations and Warranties of each Holder</w:t>
      </w:r>
      <w:r>
        <w:rPr>
          <w:rFonts w:ascii="Times New Roman;Times;Serif" w:hAnsi="Times New Roman;Times;Serif"/>
          <w:b w:val="false"/>
          <w:i w:val="false"/>
          <w:caps w:val="false"/>
          <w:smallCaps w:val="false"/>
          <w:sz w:val="20"/>
        </w:rPr>
        <w:t>. Each Holder, severally and not jointly, represents and warrants to Parent that, as of the date hereof and as of the Rollover Closing:</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is the legal owner of the Rollover Shares set forth on its signature page hereto and has good and valid title to such Rollover Shares, free and clear of all Liens except as may be imposed by applicable securities Law;</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Holder has the requisite power and authority to execute and deliver this Agreement, to perform such Person’s obligations hereunder and to consummate the transactions contemplated hereby;</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Holder is not a natural person, such Holder is duly organized, validly existing and in good standing under the laws of the jurisdiction of its formation;</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duly executed and delivered by such Holder and, if such Holder is not a natural person, the execution, delivery and performance of this Agreement by such Holder, and the consummation of the transactions contemplated hereby have been duly authorized by all necessary corporate or similar action on the part of such Person and no other corporate or similar actions or proceedings on the part of such Person are necessary to authorize this Agreement or to consummate the transactions contemplated hereby;</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assuming due authorization, execution and delivery by Parent, this Agreement constitutes a legal, valid and binding agreement of such Holder, enforceable against such Holder in accordance with its terms;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contemplated hereby or disclosed in a Schedule 13D filed with the SEC by a Holder, as amended as of the date hereof, there are no options, warrants or other rights or Contracts to which it is a party relating to the pledge, disposition or voting of any of such Holder’s Rollover Shares, and such Rollover Shares are not subject to any voting trust agreement or other Contract to which Holder or any of its Affiliates is a party restricting or otherwise relating to the voting or Transfer of such Rollover Shares (other than the express terms of this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for the applicable requirements of the Exchange Act and Laws of the State of Delaware, (i) no filing with, and no permit, authorization, consent or approval of, any Governmental Entity is necessary on the part of such Holder for the execution, delivery and performance of this Agreement by such Holder or the consummation by such Holder of the transactions contemplated hereby, and (ii) neither the execution, delivery or performance of this Agreement by such Holder, nor the consummation by such Holder of the transactions contemplated hereby, nor compliance by such Person with any of the provisions hereof shall violate any Contract to which such Holder is a party or by which such Holder or any property or asset of such Holder is bound or affected, in each case which have, or could have, the effect of preventing, impeding or interfering with or adversely affecting the performance by such Holder of its obligations under this Agreement or violate any applicable Law;</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of the date hereof, there is no Proceeding pending or, to the knowledge of such Holder, threatened against such Holder or any of Affiliates that restrict, prohibit, or delay (or, if successful, would restrict or prohibit, restrict or delay) the performance by such Holder of its obligations under this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Holder (i) has been afforded the opportunity to ask such questions as it has deemed necessary of, and to receive answers from, representatives of Parent concerning the terms and conditions of the transactions contemplated hereby and the merits and risks of owning Parent Shares, (ii) is a sophisticated investor familiar with the risk and nature of transactions of the type contemplated by this Agreement and the Merger Agreement, (iii) acknowledges that it has been advised to discuss with its own legal, tax and financial advisors the meaning and legal, tax and financial consequences of this Agreement and the transactions contemplated hereby, (iv) acknowledges that the value of the Parent Shares is uncertain and subject to considerable risk and may be less than the Offer Price and that none of Parent, Merger Sub, the Sponsors, the other Holders, or any of their respective Affiliates or Representatives makes any representations or warranties as to the value or performance of the Parent Shares, and (v) acknowledges it must bear and is capable of bearing the economic risk of the Parent Shares for an indefinite period of time as such Parent Shares have not been registered for sale or Transfer under the Securities Act or otherwise and therefore cannot be sold or otherwise Transferred unless either the Parent Shares are subsequently registered thereunder or an exemption from such registration is available;</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such Holder is (i) acquiring the Parent Shares for such Holder’s own account, for investment only, and not with a view to any resale or public distribution thereof and (ii) is an “accredited investor” within the meaning of Rule 501 promulgated under the Securities Act (and, at the date hereof, such Holder has delivered to Parent an executed accredited investor certificate in the form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such Holder is a married individual and such Holder’s Rollover Shares constitute community property or otherwise require spousal approval in order for this Agreement to be a legally valid and binding obligation of such Holder, this Agreement has been duly executed and delivered by such Holder’s spouse and constitutes a legally valid and binding obligation of such Holder’s spouse, enforceable against such Holder’s spouse in accordance with its terms;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such Holder understands and acknowledges that Parent and Merger Sub are entering into this Agreement and the Merger Agreement in reliance upon such Holder’s execution, delivery and performance of this Agreement and the accuracy of the representations and warranties of such Holder hereunder.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Representations and Warranties of Parent</w:t>
      </w:r>
      <w:r>
        <w:rPr>
          <w:rFonts w:ascii="Times New Roman;Times;Serif" w:hAnsi="Times New Roman;Times;Serif"/>
          <w:b w:val="false"/>
          <w:i w:val="false"/>
          <w:caps w:val="false"/>
          <w:smallCaps w:val="false"/>
          <w:sz w:val="20"/>
        </w:rPr>
        <w:t>. Parent represents and warrants to each Holder that as of the date hereof and as of immediately prior to the Rollover Closing:</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is a Delaware corporation, duly incorporated, validly existing and in good standing under the Laws of the State of Delaware and has all requisite corporate or similar power and authority to execute and deliver this Agreement, to perform its obligations hereunder and to consummate the transactions contemplated hereby. This Agreement has been duly and validly executed and delivered by Parent and the execution, delivery and performance of this Agreement by Parent and the consummation of the transactions contemplated hereby have been duly authorized by all necessary corporate action on the part of Parent and no other corporate actions or proceedings on the part of Parent are necessary to authorize this Agreement or to consummate the transactions contemplated hereby. Assuming due authorization, execution and delivery by the other parties, this Agreement constitutes a legal, valid and binding obligation of Parent, enforceable against Parent in accordance with its terms;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the applicable requirements of the Exchange Act and Laws of the State of Delaware and as set forth in the Merger Agreement, (i) no filing with, and no permit, authorization, consent or approval of, any Governmental Entity is necessary on the part of Parent for the execution, delivery and performance of this Agreement by Parent or the consummation by Parent of the transactions contemplated hereby, and (ii) neither the execution, delivery or performance of this Agreement by Parent, nor the consummation by Parent of the transactions contemplated hereby, nor compliance by Parent with any of the provisions hereof shall violate any material Contract to which Parent is a party or by which Parent or any of its property or asset is bound or affected, or violate any order, writ, injunction, decree, statute, rule or regulation applicable to Parent or any of its properties or assets;</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Rollover Closing, the Parent Shares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the organizational documents of Parent or the Shareholder Agreement;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after the Rollover Closing, the Parent Shares issued pursuant to this Agreement shall be all of the Parent Shares outstanding (other than any shares which</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have been issued by Parent in connection with the formation thereof, which in any event shall be forfeited or cancelled promptly following the Rollover Closing for no consideration);</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shd w:fill="FFFFFF" w:val="clear"/>
        </w:rPr>
        <w:t xml:space="preserve">Parent and Merger Sub have no, and immediately prior to the Rollover Closing, will have no, assets (other than Parent’s equity </w:t>
      </w:r>
      <w:r>
        <w:rPr>
          <w:rFonts w:ascii="Times New Roman;Times;Serif" w:hAnsi="Times New Roman;Times;Serif"/>
          <w:b w:val="false"/>
          <w:i w:val="false"/>
          <w:caps w:val="false"/>
          <w:smallCaps w:val="false"/>
          <w:sz w:val="20"/>
        </w:rPr>
        <w:t xml:space="preserve">interests </w:t>
      </w:r>
      <w:r>
        <w:rPr>
          <w:rFonts w:ascii="Times New Roman;Times;Serif" w:hAnsi="Times New Roman;Times;Serif"/>
          <w:b w:val="false"/>
          <w:i w:val="false"/>
          <w:caps w:val="false"/>
          <w:smallCaps w:val="false"/>
          <w:sz w:val="20"/>
          <w:shd w:fill="FFFFFF" w:val="clear"/>
        </w:rPr>
        <w:t>in Merger Sub), liabilities or obligations of any nature other than those incident to its formation and capitalization pursuant to this Agreement, the Merger Agreement and the Transactions; and</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Merger Sub is wholly-owned by Parent.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br/>
        <w:t>GOVERNANCE</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Interim Governance</w:t>
      </w:r>
      <w:r>
        <w:rPr>
          <w:rFonts w:ascii="Times New Roman;Times;Serif" w:hAnsi="Times New Roman;Times;Serif"/>
          <w:b w:val="false"/>
          <w:i w:val="false"/>
          <w:caps w:val="false"/>
          <w:smallCaps w:val="false"/>
          <w:sz w:val="20"/>
        </w:rPr>
        <w:t>. The Sponsors shall have the sole right to (and the Additional Holders shall not have any right or ability to) cause Parent or Merger Sub to take any action or refrain from taking any action (i) that is not in contravention of this Agreement or the Merger Agreement or (ii) in order for Parent or Merger Sub to comply with their respective obligations, satisfy their respective closing conditions or exercise their respective rights under the Merger Agreement, including (a) determining that any of the Offer Conditions or conditions to the closing of the Merger have been satisfied and, assuming such satisfaction, determining to close the Offer and/or the Merger, (b) waiving compliance with any covenants, agreements or the conditions contained in the Offer Documents and/or Merger Agreement or amending, supplementing or modifying any such agreement, (c) terminating the Offer or the Merger Agreement in accordance with its respective terms, (d) extending the expiration of the Offer and/or increasing the offer price in the Offer, (e) controlling, directing and settling any shareholder-related suit, claim or proceeding arising in connection with the transactions contemplated by the Merger Agreement or the Offer, (f) determining not to consummate the contribution and subscription contemplated by this Agreement, and/or (g) causing Parent and Merger Sub to initiate litigation or other legal action against the Company in connection with a breach or alleged breach of the Merger Agreement and to take any other necessary actions in connection thereto.</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Post-Closing Governance</w:t>
      </w:r>
      <w:r>
        <w:rPr>
          <w:rFonts w:ascii="Times New Roman;Times;Serif" w:hAnsi="Times New Roman;Times;Serif"/>
          <w:b w:val="false"/>
          <w:i w:val="false"/>
          <w:caps w:val="false"/>
          <w:smallCaps w:val="false"/>
          <w:sz w:val="20"/>
        </w:rPr>
        <w:t xml:space="preserve">. Each Additional Holder acknowledges and agrees that it is obligated to execute and deliver, prior to the consummation of the Merger, (i) one or more definitive agreements with respect to the matters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Shareholder Agreement</w:t>
      </w:r>
      <w:r>
        <w:rPr>
          <w:rFonts w:ascii="Times New Roman;Times;Serif" w:hAnsi="Times New Roman;Times;Serif"/>
          <w:b w:val="false"/>
          <w:i w:val="false"/>
          <w:caps w:val="false"/>
          <w:smallCaps w:val="false"/>
          <w:sz w:val="20"/>
        </w:rPr>
        <w:t xml:space="preserve">”) and (ii) amend the organizational and other relevant corporate documents of Parent or its applicable Affiliate as the Sponsors may determine is required to give effect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Shareholder Agreement and such organizational and other relevant corporate documents shall be consistent with the terms and conditions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 any event no less favorable to each Additional Holder as set forth therein. Each Additional Holder agrees to promptly execute the Shareholder Agreement and such organizational and other relevant corporate documents promptly following a request by Parent for execution prior to the Rollover Closing, which request will include the execution version of the Shareholder Agreement. In the event that the Holders are unable to agree on the terms of the Shareholder Agreement prior to the Merger Closing, the Merger shall not be delayed and the terms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(along with such additional terms as shall have been agreed to among the parties) shall govern with respect to</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set forth therein following the Merger until such time as the Holders enter into a Shareholder Agreement.</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br/>
        <w:t>MISCELLANEOUS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Transaction Expenses</w:t>
      </w:r>
      <w:r>
        <w:rPr>
          <w:rFonts w:ascii="Times New Roman;Times;Serif" w:hAnsi="Times New Roman;Times;Serif"/>
          <w:b w:val="false"/>
          <w:i w:val="false"/>
          <w:caps w:val="false"/>
          <w:smallCaps w:val="false"/>
          <w:sz w:val="20"/>
        </w:rPr>
        <w:t>. The parties hereto expressly authorize Parent to incur, and hereby ratify any prior incurrence by Parent of, fees, costs and expenses of counsel, accountants, consultants and other advisors with respect to and that are customary for the transactions contemplated by this Agreement or the Merger Agreement (“</w:t>
      </w:r>
      <w:r>
        <w:rPr>
          <w:rFonts w:ascii="Times New Roman;Times;Serif" w:hAnsi="Times New Roman;Times;Serif"/>
          <w:b w:val="false"/>
          <w:i w:val="false"/>
          <w:caps w:val="false"/>
          <w:smallCaps w:val="false"/>
          <w:sz w:val="20"/>
          <w:u w:val="single"/>
        </w:rPr>
        <w:t>Parent Transaction Expenses</w:t>
      </w:r>
      <w:r>
        <w:rPr>
          <w:rFonts w:ascii="Times New Roman;Times;Serif" w:hAnsi="Times New Roman;Times;Serif"/>
          <w:b w:val="false"/>
          <w:i w:val="false"/>
          <w:caps w:val="false"/>
          <w:smallCaps w:val="false"/>
          <w:sz w:val="20"/>
        </w:rPr>
        <w:t>”). The parties hereto acknowledge that the Sponsors may have incurred Parent Transactions Expenses on behalf of Parent (whether at, prior to or after its formation), that such amounts shall be treated as Parent Transaction Expenses and that Parent shall directly or indirectly reimburse the Sponsors for any such Parent Transaction Expenses. To the extent Parent, any Sponsors or any of their respective Affiliates is required to or does, directly or indirectly, pay any Parent Transaction Expenses to any third party, each Holder shall, promptly and in any event within three (3) Business Days following written notice from Parent to the Holders and conditioned upon such payment, transfer by wire transfer of immediately available funds to the account designated by Parent in such notice such Holder’s pro rata portion of such payment (based on relative number of Rollover Shares), which pro rata amount shall be specified in such notice. Except as set forth in this paragraph, each party hereto shall bear its own expenses incurred in connection with this Agreement and the transactions contemplated hereby.</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In the event of a termination of the Merger Agreement in which a Company Termination Fee or any other amount, either as an expense reimbursement, damages or otherwise, is paid to Parent or Merger Sub by the Company or its subsidiaries or Affiliates, Parent or Merger Sub, as the case may be, shall first pay (or cause to be paid) all Parent Transaction Expense and discharge all of Parent’s and Merger Sub’s other liabilities and distribute the remainder to the Holders, pro rata based on the relative number of Rollover Shares held thereby.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Any provision of this Agreement may be amended or waived only in a writing signed (a) in the case of any amendment, by Parent and the Sponsors; provided, that any amendment that would be materially adverse and disproportionate to an Additional Holder as compared to any other Holder must be signed by such Additional Holder, and (b) in the case of a waiver, by the party or parties waiving rights hereunder. No waiver of any provision hereunder or any breach or default thereof shall extend to or affect in any way any other provision or prior or subsequent breach or default.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parties hereto agree that, except as provided herein, this Agreement will be enforceable by all parties hereto by all available remedies at Law or in equity (including, without limitation, specific performance, without bond or other security being required). Upon any breach or threatened breach of this Agreement by any party hereto, including if the Merger Agreement is breached or the Merger fails to be consummated in each case due (directly or indirectly) to any Holder’s breach of any of its obligations under this Agreement, Parent shall be entitled to (a) specific performance of this Agreement, (b) payment or reimbursement by the breaching Holder of all out-of-pocket damages or expenses incurred by Parent, Merger Sub or the non-breaching Holders (including recovery of all termination fee, expense reimbursement obligations or other amounts payable by Parent or Merger Sub under the Merger Agreement) relating to, or arising from, such breach, and/or (c) reimbursement by the breaching Holder for any costs of enforcement incurred by Parent and/or the Sponsors in seeking to enforce such remedies.</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Notwithstanding any provision of this Agreement or otherwise, the parties to this Agreement agree on their own behalf and on behalf of their respective Affiliates that this Agreement may only be enforced against, and any litigation for breach of this Agreement may only be made against, the parties to this Agreement, and, with respect to each party to this Agreement, none of such party’s former, current or future equity holders, controlling persons, directors, officers, employees, agents, representatives, Affiliates, members, managers, general or limited partners, attorneys or assignees (or any Person itself in any such capacity of any of the foregoing) (each, a “</w:t>
      </w:r>
      <w:r>
        <w:rPr>
          <w:rFonts w:ascii="Times New Roman;Times;Serif" w:hAnsi="Times New Roman;Times;Serif"/>
          <w:b w:val="false"/>
          <w:i w:val="false"/>
          <w:caps w:val="false"/>
          <w:smallCaps w:val="false"/>
          <w:sz w:val="20"/>
          <w:u w:val="single"/>
        </w:rPr>
        <w:t>Non-Recourse Party</w:t>
      </w:r>
      <w:r>
        <w:rPr>
          <w:rFonts w:ascii="Times New Roman;Times;Serif" w:hAnsi="Times New Roman;Times;Serif"/>
          <w:b w:val="false"/>
          <w:i w:val="false"/>
          <w:caps w:val="false"/>
          <w:smallCaps w:val="false"/>
          <w:sz w:val="20"/>
        </w:rPr>
        <w:t>”) that is not a party to this Agreement shall have any liability or obligation relating to this Agreement or any of the transactions contemplated herein or in respect of any oral representations made or alleged to be made in connection herewith. None of the parties shall have any rights of recovery in respect hereof against any Non-Recourse Party and no personal liability shall attach to any Non-Recourse Party through any party hereto, or otherwise, whether by or through attempted piercing of the corporate veil, by or through a litigation (whether in tort, contract or otherwise), by the enforcement of any judgment, fine or penalty or by virtue of any Law, or otherwise. No Additional Holder may bring any Action against Parent or any Sponsor except to specifically enforce its rights that are specifically granted to such Additional Holder hereunder.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Agreement, and all claims or causes of action (whether in contract, tort or otherwise) that may be based upon, arise out of or relating to this Agreement or the negotiation, execution or performance of this Agreement shall be governed by and construed in accordance with the Laws of the State of Delaware, without respect to its applicable principles of conflicts of laws that might require the application of the laws of another jurisdiction. Each of the Parties hereby irrevocably and unconditionally (i) submits, for itself and its property, to the exclusive jurisdiction and venue of the state courts of the State of Delaware in any action arising out of or relating to this Agreement, including the negotiation, execution or performance of this Agreement and agrees that all claims in respect of any such action</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heard and determined in the Delaware Court of Chancery, and if such court does not have subject matter jurisdiction thereof, any other court of the State of Delaware or any federal court sitting in the State of Delaware, (ii) waives, to the fullest extent it may legally and effectively do so, any objection which it may now or hereafter have to the laying of venue of any action arising out of or relating to this Agreement or the negotiation, execution or performance of this Agreement in any such court, including any objection based on its place of incorporation or domicile, (iii) waives, to the fullest extent permitted by law, the defense of an inconvenient forum to the maintenance of such action in any such court and (iv) agrees that a final judgment in any such action shall be conclusive and may be enforced in other jurisdictions by suit on the judgment or in any other manner provided by law. Each of the Parties consents and agrees that service of process, summons, notice or document for any action permitted hereunder may be delivered by registered mail or electronic mail addressed as set forth on the signature pages hereto or in any other manner permitted by applicable Law.</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ACKNOWLEDGES AND AGREES THAT ANY CONTROVERSY THAT MAY BE BASED UPON, ARISE OUT OF OR RELATED TO THIS AGREEMENT IS LIKELY TO INVOLVE COMPLICATED AND DIFFICULT ISSUES AND, THEREFORE, EACH SUCH PARTY HEREBY IRREVOCABLY AND UNCONDITIONALLY WAIVES ANY RIGHT SUCH PARTY MAY HAVE TO A TRIAL BY JURY FOR ANY DISPUTE BASED UPON, ARISING OUT OF OR RELATING TO THIS AGREEMENT OR THE BREACH, TERMINATION OR VALIDITY THEREOF. EACH PARTY CERTIFIES AND ACKNOWLEDGES THAT (A) NO OTHER PARTY NOR ITS REPRESENTATIVES, AGENTS OR ATTORNEYS HAVE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EACH PARTY HEREBY IRREVOCABLY AND UNCONDITIONALLY WAIVES ANY RIGHT SUCH PARTY MAY HAVE TO A TRIAL BY JURY IN RESPECT OF ANY LITIGATION DIRECTLY OR INDIRECTLY ARISING OUT OF OR RELATING TO THIS AGREEMENT OR THE TRANSACTIONS CONTEMPLATED HEREBY.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Exercise of Rights and Remedies</w:t>
      </w:r>
      <w:r>
        <w:rPr>
          <w:rFonts w:ascii="Times New Roman;Times;Serif" w:hAnsi="Times New Roman;Times;Serif"/>
          <w:b w:val="false"/>
          <w:i w:val="false"/>
          <w:caps w:val="false"/>
          <w:smallCaps w:val="false"/>
          <w:sz w:val="20"/>
        </w:rPr>
        <w:t>. No delay of or omission in the exercise of any right, power or 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or waiver of any single breach or default be deemed a waiver of any other breach or default occurring before or after that waiver.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Other Agreements; Assignment</w:t>
      </w:r>
      <w:r>
        <w:rPr>
          <w:rFonts w:ascii="Times New Roman;Times;Serif" w:hAnsi="Times New Roman;Times;Serif"/>
          <w:b w:val="false"/>
          <w:i w:val="false"/>
          <w:caps w:val="false"/>
          <w:smallCaps w:val="false"/>
          <w:sz w:val="20"/>
        </w:rPr>
        <w:t>. This Agreement, together with the agreements referenced herein, constitute the entire agreement, and supersede all prior agreements, understandings, negotiations and statements, both written and oral, among the parties or any of their Affiliates with respect to the transactions contemplated hereby (other than the Merger Agreement and the other agreements expressly referred to herein or therein as being entered into in connection with the Merger Agreement). This Agreement shall not be assigned by any party hereto without the prior written consent of Parent.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Each party hereto agrees that it shall not indirectly accomplish that which it is not permitted to accomplish directly under this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This Agreement shall be binding on each party hereto solely for the benefit of each other party hereto and nothing set forth in this Agreement, express or implied, shall be construed to confer, directly or indirectly, upon or give to any Person other than the parties hereto any benefits, rights or remedies under or by reason of, or any rights to enforce or cause the parties hereto to enforce, any provisions of this Agreement, except the Non-Recourse Parties shall have the right to enforce their rights pursuant to and in accordance with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Except as permitted under this paragraph, each Additional Holder (the “</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xml:space="preserve">”) shall not, and shall direct its Affiliates and Representatives to not, disclose any Confidential Information obtained in connection with this Agreement or the transactions contemplated hereby without the prior written consent of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Recipient may disclose any Confidential Information (i) to any of its Affiliates and Representatives who need to know such Confidential Information in connection with advising such Holder with respect to this Agreement, the Merger Agreement or the transactions contemplated hereby and, in each case, (prior to such disclosure) have agreed, or are bound by obligations at least as stringent as the obligations herein, to maintain the confidentiality of such Confidential Information as set out herein or (ii) to the extent required by applicable Law, provided Recipient shall, to the extent permitted by applicable Law, inform Parent of such required disclosure, request confidential treatment of any such disclosure and reasonably cooperate with Parent at Parent’s expense to minimize any such disclosure.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refers to all information obtained in confidence by one Holder from any other Holder, Parent, the Company or any of their respective Affiliates or Representatives in connection with this Agreement or the Transactions (including the identity of the Holders and the beneficial owners thereof), unless such information (a) is already or becomes known to the receiving Holder prior to the disclosure thereof, (b) is provided to the receiving Holder by a third party which is not known by such receiving Holder to be bound by a duty of confidentiality with respect to such information, (c) is or becomes publicly available other than through a breach of this Agreement by such receiving Holder, or (d) is developed independently by or for the receiving Holder without using any Confidential Information.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Public Disclosures</w:t>
      </w:r>
      <w:r>
        <w:rPr>
          <w:rFonts w:ascii="Times New Roman;Times;Serif" w:hAnsi="Times New Roman;Times;Serif"/>
          <w:b w:val="false"/>
          <w:i w:val="false"/>
          <w:caps w:val="false"/>
          <w:smallCaps w:val="false"/>
          <w:sz w:val="20"/>
        </w:rPr>
        <w:t>. Except with the prior written consent of Parent or solely to the extent required by applicable Law, no Additional Holder shall issue any press release or otherwise make any public statement with respect to this Agreement, the Merger Agreement or the transactions contemplated hereby and thereby without the prior written consent of each of the other Holders. In the event that an Holder becomes obligated to issue a press release or otherwise make a public statement as described in the preceding sentence, it shall, to the extent permitted by law, (x) notify as promptly as possible Parent and the Sponsors of the existence, terms and circumstances surrounding such obligation; (y) consult with Parent and the Sponsors on the content of such press release or other public statement; and (z) include the name of any other Holders in such press release or other public statement only to the extent legally compelled to do so. Notwithstanding the foregoing, each Holder may make any beneficial ownership filings or other filings with the SEC, or amendments thereto, in respect of the Company and its securities, that such Holder reasonably believes is required under applicable law without the prior written consent of Parent, provided that each such Holder shall coordinate with the other Holders in good faith</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content and timing of such filings or amendments in connection with this Agreement, the Merger Agreement or the transactions contemplated hereby and thereby.</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Power of Attorney</w:t>
      </w:r>
      <w:r>
        <w:rPr>
          <w:rFonts w:ascii="Times New Roman;Times;Serif" w:hAnsi="Times New Roman;Times;Serif"/>
          <w:b w:val="false"/>
          <w:i w:val="false"/>
          <w:caps w:val="false"/>
          <w:smallCaps w:val="false"/>
          <w:sz w:val="20"/>
        </w:rPr>
        <w:t xml:space="preserve">. Each Additional Holder, by its execution of this Agreement, hereby irrevocably </w:t>
      </w:r>
      <w:r>
        <w:rPr>
          <w:rFonts w:ascii="Times New Roman;Times;Serif" w:hAnsi="Times New Roman;Times;Serif"/>
          <w:b w:val="false"/>
          <w:i w:val="false"/>
          <w:caps w:val="false"/>
          <w:smallCaps w:val="false"/>
          <w:sz w:val="20"/>
          <w:shd w:fill="FFFFFF" w:val="clear"/>
        </w:rPr>
        <w:t xml:space="preserve">makes, constitutes and appoints Parent (and such other Persons as may from time to time be designated by Parent) with full power of substitution and resubstitution, such Additional Holder’s true and lawful proxy, agent and attorney-in-fact, with full power and authority in such Additional Holder’s name, place and stead, to execute, swear to, acknowledge, deliver, file and record all instruments and other documents and do such other acts which Parent reasonably deems appropriate or necessary to effect or evidence contribution and deposit of the Rollover Shares in accordance with </w:t>
      </w:r>
      <w:r>
        <w:rPr>
          <w:rFonts w:ascii="Times New Roman;Times;Serif" w:hAnsi="Times New Roman;Times;Serif"/>
          <w:b w:val="false"/>
          <w:i w:val="false"/>
          <w:caps w:val="false"/>
          <w:smallCaps w:val="false"/>
          <w:sz w:val="20"/>
          <w:u w:val="single"/>
          <w:shd w:fill="FFFFFF" w:val="clear"/>
        </w:rPr>
        <w:t>Article I</w:t>
      </w:r>
      <w:r>
        <w:rPr>
          <w:rFonts w:ascii="Times New Roman;Times;Serif" w:hAnsi="Times New Roman;Times;Serif"/>
          <w:b w:val="false"/>
          <w:i w:val="false"/>
          <w:caps w:val="false"/>
          <w:smallCaps w:val="false"/>
          <w:sz w:val="20"/>
          <w:shd w:fill="FFFFFF" w:val="clear"/>
        </w:rPr>
        <w:t xml:space="preserve">, its covenants in accordance with </w:t>
      </w:r>
      <w:r>
        <w:rPr>
          <w:rFonts w:ascii="Times New Roman;Times;Serif" w:hAnsi="Times New Roman;Times;Serif"/>
          <w:b w:val="false"/>
          <w:i w:val="false"/>
          <w:caps w:val="false"/>
          <w:smallCaps w:val="false"/>
          <w:sz w:val="20"/>
          <w:u w:val="single"/>
          <w:shd w:fill="FFFFFF" w:val="clear"/>
        </w:rPr>
        <w:t>Article III</w:t>
      </w:r>
      <w:r>
        <w:rPr>
          <w:rFonts w:ascii="Times New Roman;Times;Serif" w:hAnsi="Times New Roman;Times;Serif"/>
          <w:b w:val="false"/>
          <w:i w:val="false"/>
          <w:caps w:val="false"/>
          <w:smallCaps w:val="false"/>
          <w:sz w:val="20"/>
          <w:shd w:fill="FFFFFF" w:val="clear"/>
        </w:rPr>
        <w:t xml:space="preserve">, and the other actions and obligations required of such Additional Holder pursuant to and in accordance with this Agreement, and such power of attorney may be exercised at any time and from time to time from the date hereof until the termination of this Agreement pursuant to and in accordance with </w:t>
      </w:r>
      <w:r>
        <w:rPr>
          <w:rFonts w:ascii="Times New Roman;Times;Serif" w:hAnsi="Times New Roman;Times;Serif"/>
          <w:b w:val="false"/>
          <w:i w:val="false"/>
          <w:caps w:val="false"/>
          <w:smallCaps w:val="false"/>
          <w:sz w:val="20"/>
          <w:u w:val="single"/>
          <w:shd w:fill="FFFFFF" w:val="clear"/>
        </w:rPr>
        <w:t>Section 6.17</w:t>
      </w:r>
      <w:r>
        <w:rPr>
          <w:rFonts w:ascii="Times New Roman;Times;Serif" w:hAnsi="Times New Roman;Times;Serif"/>
          <w:b w:val="false"/>
          <w:i w:val="false"/>
          <w:caps w:val="false"/>
          <w:smallCaps w:val="false"/>
          <w:sz w:val="20"/>
          <w:shd w:fill="FFFFFF" w:val="clear"/>
        </w:rPr>
        <w:t>. The foregoing power of attorney is irrevocable and coupled with an interest, and shall survive such Additional Holder’s death, disability, incapacity, dissolution, bankruptcy, insolvency or termination and the transfer of all or any portion of its Company Common Stock and shall extend to such Additional Holder’s heirs, successors, assigns and personal representatives, and any person dealing with Parent may conclusively and absolutely rely, without inquiry, upon any act of the Parent as the act of Parent in the matters referred to in this paragraph. Other than as provided in this paragraph, each Additional Holder shall not, directly or indirectly, grant any Person any proxy (revocable or irrevocable), power of attorney or other authorization with respect to any of its Rollover Shares. Parent may terminate this proxy with respect to any Additional Holder at any time at its sole election by written notice provided to the Additional Holder.</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(including by facsimile or electronic transmission in “portable document format”), each such counterpart when executed shall be deemed to be an original instrument, and all such counterparts shall together constitute one and the same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descriptive headings used herein are inserted for convenience of reference only and are not intended to be part of or to affect the meaning or interpretation of this Agreement.</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Except with respect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Representations and Warranties of each Holder</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xml:space="preserve">), this Agreement will terminate upon the earlier to occur of (a) the Merger Closing, (b) the termination of the Merger Agreement in accordance with its terms, and (c) September 30, 2024;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liability for any failure to comply with the terms of this Agreement prior to termination shall survive such termination.</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6.18        </w:t>
      </w:r>
      <w:r>
        <w:rPr>
          <w:rFonts w:ascii="Times New Roman;Times;Serif" w:hAnsi="Times New Roman;Times;Serif"/>
          <w:b w:val="false"/>
          <w:i w:val="false"/>
          <w:caps w:val="false"/>
          <w:smallCaps w:val="false"/>
          <w:sz w:val="20"/>
          <w:u w:val="single"/>
        </w:rPr>
        <w:t>No Presumption Against Drafting Party</w:t>
      </w:r>
      <w:r>
        <w:rPr>
          <w:rFonts w:ascii="Times New Roman;Times;Serif" w:hAnsi="Times New Roman;Times;Serif"/>
          <w:b w:val="false"/>
          <w:i w:val="false"/>
          <w:caps w:val="false"/>
          <w:smallCaps w:val="false"/>
          <w:sz w:val="20"/>
        </w:rPr>
        <w:t>. Each of the Parties to this Agreement acknowledges that it has been represented by independent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6.19       </w:t>
      </w:r>
      <w:r>
        <w:rPr>
          <w:rFonts w:ascii="Times New Roman;Times;Serif" w:hAnsi="Times New Roman;Times;Serif"/>
          <w:b w:val="false"/>
          <w:i w:val="false"/>
          <w:caps w:val="false"/>
          <w:smallCaps w:val="false"/>
          <w:sz w:val="20"/>
          <w:u w:val="single"/>
        </w:rPr>
        <w:t>No Partnership</w:t>
      </w:r>
      <w:r>
        <w:rPr>
          <w:rFonts w:ascii="Times New Roman;Times;Serif" w:hAnsi="Times New Roman;Times;Serif"/>
          <w:b w:val="false"/>
          <w:i w:val="false"/>
          <w:caps w:val="false"/>
          <w:smallCaps w:val="false"/>
          <w:sz w:val="20"/>
        </w:rPr>
        <w:t>. Except as expressly contemplated herein, nothing in this Agreement is intended to, and this Agreement shall not, create a partnership between the parties hereto. Accordingly, (i) the rights, obligations and duties of each party hereto in relation to the other parties with respect to the subject matter of this Agreement shall be only those contractual rights, obligations and duties that are created by the express terms of this Agreement and shall not include any fiduciary or other implied rights, obligations or duties of any kind, (ii) no party hereto shall be authorized to act on behalf of the other parties except as otherwise expressly provided by the terms of this Agreement and (iii) no party hereto shall be obligated to any third party for the obligations or liabilities of any other party hereto.</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6.20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For U.S. federal, and applicable state and local income tax purposes each of the contributions of Rollover Shares hereunder, taken collectively, shall be treated as an integrated transaction qualifying under Section 351(a) of the Internal Revenue Code of 1986, as amended.</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given when delivered in person or upon confirmation of receipt when transmitted by electronic mail or on the next Business Day if transmitted by international overnight courier,</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Parent or any Sponsor, to</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The Column Group</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Letterman Drive, Building D, Suite DM-900</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94129</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(415) 865-2050</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Peter Svennilson, Dave Goeddel, James Evangelista</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ind w:left="1440" w:right="0" w:firstLine="720"/>
        <w:jc w:val="left"/>
        <w:rPr>
          <w:caps w:val="false"/>
          <w:smallCaps w:val="false"/>
        </w:rPr>
      </w:pPr>
      <w:r>
        <w:rPr>
          <w:caps w:val="false"/>
          <w:smallCaps w:val="false"/>
        </w:rPr>
        <w:t> </w:t>
      </w:r>
    </w:p>
    <w:p>
      <w:pPr>
        <w:pStyle w:val="TextBody"/>
        <w:bidi w:val="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2160" w:right="0" w:hanging="0"/>
        <w:jc w:val="left"/>
        <w:rPr>
          <w:caps w:val="false"/>
          <w:smallCaps w:val="false"/>
        </w:rPr>
      </w:pPr>
      <w:r>
        <w:rPr>
          <w:caps w:val="false"/>
          <w:smallCaps w:val="false"/>
        </w:rPr>
        <w:t> </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 Mission Street, 24th Floor</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 94105</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(628) 432-5100</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Austin S. Pollet</w:t>
      </w:r>
    </w:p>
    <w:p>
      <w:pPr>
        <w:pStyle w:val="TextBody"/>
        <w:bidi w:val="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apollet@paulweiss.com</w:t>
      </w:r>
    </w:p>
    <w:p>
      <w:pPr>
        <w:pStyle w:val="TextBody"/>
        <w:bidi w:val="0"/>
        <w:jc w:val="left"/>
        <w:rPr>
          <w:caps w:val="false"/>
          <w:smallCaps w:val="false"/>
        </w:rPr>
      </w:pPr>
      <w:r>
        <w:rPr>
          <w:caps w:val="false"/>
          <w:smallCaps w:val="false"/>
        </w:rPr>
        <w:t> </w:t>
      </w:r>
    </w:p>
    <w:p>
      <w:pPr>
        <w:pStyle w:val="TextBody"/>
        <w:bidi w:val="0"/>
        <w:spacing w:before="0" w:after="24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any Additional Holder, to the address set forth on its signature page hereto.</w:t>
      </w:r>
    </w:p>
    <w:p>
      <w:pPr>
        <w:pStyle w:val="TextBody"/>
        <w:bidi w:val="0"/>
        <w:ind w:left="0" w:right="0" w:firstLine="144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duly executed this Agreement as of the date first above written.</w:t>
      </w:r>
    </w:p>
    <w:p>
      <w:pPr>
        <w:pStyle w:val="TextBody"/>
        <w:bidi w:val="0"/>
        <w:spacing w:before="0" w:after="240"/>
        <w:ind w:left="0" w:right="0" w:hanging="0"/>
        <w:jc w:val="left"/>
        <w:rPr>
          <w:caps w:val="false"/>
          <w:smallCaps w:val="false"/>
        </w:rPr>
      </w:pPr>
      <w:r>
        <w:rPr>
          <w:caps w:val="false"/>
          <w:smallCaps w:val="false"/>
        </w:rPr>
        <w:t> </w:t>
      </w:r>
    </w:p>
    <w:tbl>
      <w:tblPr>
        <w:tblW w:w="3874" w:type="dxa"/>
        <w:jc w:val="left"/>
        <w:tblInd w:w="0" w:type="dxa"/>
        <w:tblLayout w:type="fixed"/>
        <w:tblCellMar>
          <w:top w:w="0" w:type="dxa"/>
          <w:left w:w="0" w:type="dxa"/>
          <w:bottom w:w="0" w:type="dxa"/>
          <w:right w:w="0" w:type="dxa"/>
        </w:tblCellMar>
      </w:tblPr>
      <w:tblGrid>
        <w:gridCol w:w="869"/>
        <w:gridCol w:w="2930"/>
        <w:gridCol w:w="75"/>
      </w:tblGrid>
      <w:tr>
        <w:trPr/>
        <w:tc>
          <w:tcPr>
            <w:tcW w:w="3799" w:type="dxa"/>
            <w:gridSpan w:val="2"/>
            <w:tcBorders/>
            <w:vAlign w:val="center"/>
          </w:tcPr>
          <w:p>
            <w:pPr>
              <w:pStyle w:val="TableContents"/>
              <w:bidi w:val="0"/>
              <w:spacing w:before="0" w:after="283"/>
              <w:ind w:left="0" w:right="0" w:hanging="0"/>
              <w:jc w:val="both"/>
              <w:rPr>
                <w:b/>
              </w:rPr>
            </w:pPr>
            <w:r>
              <w:rPr>
                <w:b/>
              </w:rPr>
              <w:t>PARENT:</w:t>
            </w:r>
          </w:p>
        </w:tc>
        <w:tc>
          <w:tcPr>
            <w:tcW w:w="75" w:type="dxa"/>
            <w:tcBorders/>
            <w:vAlign w:val="center"/>
          </w:tcPr>
          <w:p>
            <w:pPr>
              <w:pStyle w:val="TableContents"/>
              <w:bidi w:val="0"/>
              <w:spacing w:before="0" w:after="283"/>
              <w:ind w:left="0" w:right="0" w:hanging="0"/>
              <w:jc w:val="both"/>
              <w:rPr/>
            </w:pPr>
            <w:r>
              <w:rPr/>
              <w:t> </w:t>
            </w:r>
          </w:p>
        </w:tc>
      </w:tr>
      <w:tr>
        <w:trPr/>
        <w:tc>
          <w:tcPr>
            <w:tcW w:w="869" w:type="dxa"/>
            <w:tcBorders/>
            <w:vAlign w:val="center"/>
          </w:tcPr>
          <w:p>
            <w:pPr>
              <w:pStyle w:val="TableContents"/>
              <w:bidi w:val="0"/>
              <w:spacing w:before="0" w:after="283"/>
              <w:ind w:left="0" w:right="0" w:hanging="0"/>
              <w:jc w:val="both"/>
              <w:rPr/>
            </w:pPr>
            <w:r>
              <w:rPr/>
              <w:t> </w:t>
            </w:r>
          </w:p>
        </w:tc>
        <w:tc>
          <w:tcPr>
            <w:tcW w:w="2930" w:type="dxa"/>
            <w:tcBorders/>
            <w:vAlign w:val="center"/>
          </w:tcPr>
          <w:p>
            <w:pPr>
              <w:pStyle w:val="TableContents"/>
              <w:bidi w:val="0"/>
              <w:spacing w:before="0" w:after="283"/>
              <w:ind w:left="0" w:right="0" w:hanging="0"/>
              <w:jc w:val="both"/>
              <w:rPr/>
            </w:pPr>
            <w:r>
              <w:rPr/>
              <w:t> </w:t>
            </w:r>
          </w:p>
        </w:tc>
        <w:tc>
          <w:tcPr>
            <w:tcW w:w="75" w:type="dxa"/>
            <w:tcBorders/>
            <w:vAlign w:val="center"/>
          </w:tcPr>
          <w:p>
            <w:pPr>
              <w:pStyle w:val="TableContents"/>
              <w:bidi w:val="0"/>
              <w:spacing w:before="0" w:after="283"/>
              <w:ind w:left="0" w:right="0" w:hanging="0"/>
              <w:jc w:val="both"/>
              <w:rPr/>
            </w:pPr>
            <w:r>
              <w:rPr/>
              <w:t> </w:t>
            </w:r>
          </w:p>
        </w:tc>
      </w:tr>
      <w:tr>
        <w:trPr/>
        <w:tc>
          <w:tcPr>
            <w:tcW w:w="3799" w:type="dxa"/>
            <w:gridSpan w:val="2"/>
            <w:tcBorders/>
            <w:vAlign w:val="center"/>
          </w:tcPr>
          <w:p>
            <w:pPr>
              <w:pStyle w:val="TableContents"/>
              <w:bidi w:val="0"/>
              <w:spacing w:before="0" w:after="283"/>
              <w:ind w:left="0" w:right="0" w:hanging="0"/>
              <w:jc w:val="both"/>
              <w:rPr/>
            </w:pPr>
            <w:r>
              <w:rPr/>
              <w:t>ATLAS NEON PARENT, INC.</w:t>
            </w:r>
          </w:p>
        </w:tc>
        <w:tc>
          <w:tcPr>
            <w:tcW w:w="75" w:type="dxa"/>
            <w:tcBorders/>
            <w:vAlign w:val="center"/>
          </w:tcPr>
          <w:p>
            <w:pPr>
              <w:pStyle w:val="TableContents"/>
              <w:bidi w:val="0"/>
              <w:spacing w:before="0" w:after="283"/>
              <w:ind w:left="0" w:right="0" w:hanging="0"/>
              <w:jc w:val="both"/>
              <w:rPr/>
            </w:pPr>
            <w:r>
              <w:rPr/>
              <w:t> </w:t>
            </w:r>
          </w:p>
        </w:tc>
      </w:tr>
      <w:tr>
        <w:trPr/>
        <w:tc>
          <w:tcPr>
            <w:tcW w:w="869"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By:</w:t>
            </w:r>
          </w:p>
        </w:tc>
        <w:tc>
          <w:tcPr>
            <w:tcW w:w="2930" w:type="dxa"/>
            <w:tcBorders>
              <w:bottom w:val="single" w:sz="8" w:space="0" w:color="000000"/>
            </w:tcBorders>
            <w:tcMar>
              <w:bottom w:w="28" w:type="dxa"/>
            </w:tcMar>
            <w:vAlign w:val="center"/>
          </w:tcPr>
          <w:p>
            <w:pPr>
              <w:pStyle w:val="TableContents"/>
              <w:bidi w:val="0"/>
              <w:spacing w:before="0" w:after="283"/>
              <w:ind w:left="0" w:right="0" w:hanging="0"/>
              <w:jc w:val="left"/>
              <w:rPr/>
            </w:pPr>
            <w:r>
              <w:rPr/>
              <w:t>/s/ Peter Svennilson</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Name:</w:t>
            </w:r>
          </w:p>
        </w:tc>
        <w:tc>
          <w:tcPr>
            <w:tcW w:w="2930" w:type="dxa"/>
            <w:tcBorders/>
            <w:vAlign w:val="center"/>
          </w:tcPr>
          <w:p>
            <w:pPr>
              <w:pStyle w:val="TableContents"/>
              <w:bidi w:val="0"/>
              <w:spacing w:before="0" w:after="283"/>
              <w:ind w:left="0" w:right="0" w:hanging="0"/>
              <w:jc w:val="left"/>
              <w:rPr/>
            </w:pPr>
            <w:r>
              <w:rPr/>
              <w:t>Peter Svennilson</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Title:</w:t>
            </w:r>
          </w:p>
        </w:tc>
        <w:tc>
          <w:tcPr>
            <w:tcW w:w="2930" w:type="dxa"/>
            <w:tcBorders/>
            <w:vAlign w:val="center"/>
          </w:tcPr>
          <w:p>
            <w:pPr>
              <w:pStyle w:val="TableContents"/>
              <w:bidi w:val="0"/>
              <w:spacing w:before="0" w:after="283"/>
              <w:ind w:left="0" w:right="0" w:hanging="0"/>
              <w:jc w:val="left"/>
              <w:rPr/>
            </w:pPr>
            <w:r>
              <w:rPr/>
              <w:t>President and Secretary</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both"/>
              <w:rPr/>
            </w:pPr>
            <w:r>
              <w:rPr/>
              <w:t> </w:t>
            </w:r>
          </w:p>
        </w:tc>
        <w:tc>
          <w:tcPr>
            <w:tcW w:w="2930" w:type="dxa"/>
            <w:tcBorders/>
            <w:vAlign w:val="center"/>
          </w:tcPr>
          <w:p>
            <w:pPr>
              <w:pStyle w:val="TableContents"/>
              <w:bidi w:val="0"/>
              <w:spacing w:before="0" w:after="283"/>
              <w:ind w:left="0" w:right="0" w:hanging="0"/>
              <w:jc w:val="both"/>
              <w:rPr/>
            </w:pPr>
            <w:r>
              <w:rPr/>
              <w:t> </w:t>
            </w:r>
          </w:p>
        </w:tc>
        <w:tc>
          <w:tcPr>
            <w:tcW w:w="75" w:type="dxa"/>
            <w:tcBorders/>
            <w:vAlign w:val="center"/>
          </w:tcPr>
          <w:p>
            <w:pPr>
              <w:pStyle w:val="TableContents"/>
              <w:bidi w:val="0"/>
              <w:spacing w:before="0" w:after="283"/>
              <w:ind w:left="0" w:right="0" w:hanging="0"/>
              <w:jc w:val="both"/>
              <w:rPr/>
            </w:pPr>
            <w:r>
              <w:rPr/>
              <w:t> </w:t>
            </w:r>
          </w:p>
        </w:tc>
      </w:tr>
      <w:tr>
        <w:trPr/>
        <w:tc>
          <w:tcPr>
            <w:tcW w:w="3799" w:type="dxa"/>
            <w:gridSpan w:val="2"/>
            <w:tcBorders/>
            <w:vAlign w:val="center"/>
          </w:tcPr>
          <w:p>
            <w:pPr>
              <w:pStyle w:val="TableContents"/>
              <w:bidi w:val="0"/>
              <w:spacing w:before="0" w:after="283"/>
              <w:ind w:left="0" w:right="0" w:hanging="0"/>
              <w:jc w:val="both"/>
              <w:rPr>
                <w:b/>
              </w:rPr>
            </w:pPr>
            <w:r>
              <w:rPr>
                <w:b/>
              </w:rPr>
              <w:t>MERGER SUB:</w:t>
            </w:r>
          </w:p>
        </w:tc>
        <w:tc>
          <w:tcPr>
            <w:tcW w:w="75" w:type="dxa"/>
            <w:tcBorders/>
            <w:vAlign w:val="center"/>
          </w:tcPr>
          <w:p>
            <w:pPr>
              <w:pStyle w:val="TableContents"/>
              <w:bidi w:val="0"/>
              <w:spacing w:before="0" w:after="283"/>
              <w:ind w:left="0" w:right="0" w:hanging="0"/>
              <w:jc w:val="both"/>
              <w:rPr/>
            </w:pPr>
            <w:r>
              <w:rPr/>
              <w:t> </w:t>
            </w:r>
          </w:p>
        </w:tc>
      </w:tr>
      <w:tr>
        <w:trPr/>
        <w:tc>
          <w:tcPr>
            <w:tcW w:w="869" w:type="dxa"/>
            <w:tcBorders/>
            <w:vAlign w:val="center"/>
          </w:tcPr>
          <w:p>
            <w:pPr>
              <w:pStyle w:val="TableContents"/>
              <w:bidi w:val="0"/>
              <w:spacing w:before="0" w:after="283"/>
              <w:ind w:left="0" w:right="0" w:hanging="0"/>
              <w:jc w:val="both"/>
              <w:rPr/>
            </w:pPr>
            <w:r>
              <w:rPr/>
              <w:t> </w:t>
            </w:r>
          </w:p>
        </w:tc>
        <w:tc>
          <w:tcPr>
            <w:tcW w:w="2930" w:type="dxa"/>
            <w:tcBorders/>
            <w:vAlign w:val="center"/>
          </w:tcPr>
          <w:p>
            <w:pPr>
              <w:pStyle w:val="TableContents"/>
              <w:bidi w:val="0"/>
              <w:spacing w:before="0" w:after="283"/>
              <w:ind w:left="0" w:right="0" w:hanging="0"/>
              <w:jc w:val="both"/>
              <w:rPr/>
            </w:pPr>
            <w:r>
              <w:rPr/>
              <w:t> </w:t>
            </w:r>
          </w:p>
        </w:tc>
        <w:tc>
          <w:tcPr>
            <w:tcW w:w="75" w:type="dxa"/>
            <w:tcBorders/>
            <w:vAlign w:val="center"/>
          </w:tcPr>
          <w:p>
            <w:pPr>
              <w:pStyle w:val="TableContents"/>
              <w:bidi w:val="0"/>
              <w:spacing w:before="0" w:after="283"/>
              <w:ind w:left="0" w:right="0" w:hanging="0"/>
              <w:jc w:val="both"/>
              <w:rPr/>
            </w:pPr>
            <w:r>
              <w:rPr/>
              <w:t> </w:t>
            </w:r>
          </w:p>
        </w:tc>
      </w:tr>
      <w:tr>
        <w:trPr/>
        <w:tc>
          <w:tcPr>
            <w:tcW w:w="3799" w:type="dxa"/>
            <w:gridSpan w:val="2"/>
            <w:tcBorders/>
            <w:vAlign w:val="center"/>
          </w:tcPr>
          <w:p>
            <w:pPr>
              <w:pStyle w:val="TableContents"/>
              <w:bidi w:val="0"/>
              <w:spacing w:before="0" w:after="283"/>
              <w:ind w:left="0" w:right="0" w:hanging="0"/>
              <w:jc w:val="both"/>
              <w:rPr/>
            </w:pPr>
            <w:r>
              <w:rPr/>
              <w:t>ATLAS NEON MERGER SUB, INC.</w:t>
            </w:r>
          </w:p>
        </w:tc>
        <w:tc>
          <w:tcPr>
            <w:tcW w:w="75" w:type="dxa"/>
            <w:tcBorders/>
            <w:vAlign w:val="center"/>
          </w:tcPr>
          <w:p>
            <w:pPr>
              <w:pStyle w:val="TableContents"/>
              <w:bidi w:val="0"/>
              <w:spacing w:before="0" w:after="283"/>
              <w:ind w:left="0" w:right="0" w:hanging="0"/>
              <w:jc w:val="both"/>
              <w:rPr/>
            </w:pPr>
            <w:r>
              <w:rPr/>
              <w:t> </w:t>
            </w:r>
          </w:p>
        </w:tc>
      </w:tr>
      <w:tr>
        <w:trPr/>
        <w:tc>
          <w:tcPr>
            <w:tcW w:w="869"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By:</w:t>
            </w:r>
          </w:p>
        </w:tc>
        <w:tc>
          <w:tcPr>
            <w:tcW w:w="2930" w:type="dxa"/>
            <w:tcBorders>
              <w:bottom w:val="single" w:sz="8" w:space="0" w:color="000000"/>
            </w:tcBorders>
            <w:tcMar>
              <w:bottom w:w="28" w:type="dxa"/>
            </w:tcMar>
            <w:vAlign w:val="center"/>
          </w:tcPr>
          <w:p>
            <w:pPr>
              <w:pStyle w:val="TableContents"/>
              <w:bidi w:val="0"/>
              <w:spacing w:before="0" w:after="283"/>
              <w:ind w:left="0" w:right="0" w:hanging="0"/>
              <w:jc w:val="left"/>
              <w:rPr/>
            </w:pPr>
            <w:r>
              <w:rPr/>
              <w:t>/s/ Peter Svennilson</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Name:</w:t>
            </w:r>
          </w:p>
        </w:tc>
        <w:tc>
          <w:tcPr>
            <w:tcW w:w="2930" w:type="dxa"/>
            <w:tcBorders/>
            <w:vAlign w:val="center"/>
          </w:tcPr>
          <w:p>
            <w:pPr>
              <w:pStyle w:val="TableContents"/>
              <w:bidi w:val="0"/>
              <w:spacing w:before="0" w:after="283"/>
              <w:ind w:left="0" w:right="0" w:hanging="0"/>
              <w:jc w:val="left"/>
              <w:rPr/>
            </w:pPr>
            <w:r>
              <w:rPr/>
              <w:t>Peter Svennilson</w:t>
            </w:r>
          </w:p>
        </w:tc>
        <w:tc>
          <w:tcPr>
            <w:tcW w:w="75" w:type="dxa"/>
            <w:tcBorders/>
            <w:vAlign w:val="center"/>
          </w:tcPr>
          <w:p>
            <w:pPr>
              <w:pStyle w:val="TableContents"/>
              <w:bidi w:val="0"/>
              <w:spacing w:before="0" w:after="283"/>
              <w:ind w:left="0" w:right="0" w:hanging="0"/>
              <w:jc w:val="left"/>
              <w:rPr/>
            </w:pPr>
            <w:r>
              <w:rPr/>
              <w:t> </w:t>
            </w:r>
          </w:p>
        </w:tc>
      </w:tr>
      <w:tr>
        <w:trPr/>
        <w:tc>
          <w:tcPr>
            <w:tcW w:w="869" w:type="dxa"/>
            <w:tcBorders/>
            <w:vAlign w:val="center"/>
          </w:tcPr>
          <w:p>
            <w:pPr>
              <w:pStyle w:val="TableContents"/>
              <w:bidi w:val="0"/>
              <w:spacing w:before="0" w:after="283"/>
              <w:ind w:left="0" w:right="0" w:hanging="0"/>
              <w:jc w:val="left"/>
              <w:rPr/>
            </w:pPr>
            <w:r>
              <w:rPr/>
              <w:t>Title:</w:t>
            </w:r>
          </w:p>
        </w:tc>
        <w:tc>
          <w:tcPr>
            <w:tcW w:w="2930" w:type="dxa"/>
            <w:tcBorders/>
            <w:vAlign w:val="center"/>
          </w:tcPr>
          <w:p>
            <w:pPr>
              <w:pStyle w:val="TableContents"/>
              <w:bidi w:val="0"/>
              <w:spacing w:before="0" w:after="283"/>
              <w:ind w:left="0" w:right="0" w:hanging="0"/>
              <w:jc w:val="left"/>
              <w:rPr/>
            </w:pPr>
            <w:r>
              <w:rPr/>
              <w:t>President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Rollover Agreement</w:t>
      </w:r>
      <w:r>
        <w:rPr>
          <w:rFonts w:ascii="Times New Roman;Times;Serif" w:hAnsi="Times New Roman;Times;Serif"/>
          <w:b w:val="false"/>
          <w:i w:val="false"/>
          <w:caps w:val="false"/>
          <w:smallCaps w:val="false"/>
          <w:sz w:val="20"/>
        </w:rPr>
        <w: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794" w:type="dxa"/>
        <w:jc w:val="left"/>
        <w:tblInd w:w="0" w:type="dxa"/>
        <w:tblLayout w:type="fixed"/>
        <w:tblCellMar>
          <w:top w:w="0" w:type="dxa"/>
          <w:left w:w="0" w:type="dxa"/>
          <w:bottom w:w="0" w:type="dxa"/>
          <w:right w:w="0" w:type="dxa"/>
        </w:tblCellMar>
      </w:tblPr>
      <w:tblGrid>
        <w:gridCol w:w="700"/>
        <w:gridCol w:w="2019"/>
        <w:gridCol w:w="75"/>
      </w:tblGrid>
      <w:tr>
        <w:trPr/>
        <w:tc>
          <w:tcPr>
            <w:tcW w:w="27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II, LP</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II GP, LP</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7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 </w:t>
            </w:r>
          </w:p>
        </w:tc>
        <w:tc>
          <w:tcPr>
            <w:tcW w:w="20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1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15"/>
        <w:gridCol w:w="2064"/>
        <w:gridCol w:w="75"/>
      </w:tblGrid>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III,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III GP,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0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15"/>
        <w:gridCol w:w="2064"/>
        <w:gridCol w:w="75"/>
      </w:tblGrid>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III,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III GP,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0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15"/>
        <w:gridCol w:w="2064"/>
        <w:gridCol w:w="75"/>
      </w:tblGrid>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IIIA,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III GP,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0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15"/>
        <w:gridCol w:w="2064"/>
        <w:gridCol w:w="75"/>
      </w:tblGrid>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IIIA,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III GP, LP</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7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pPr>
            <w:r>
              <w:rPr/>
              <w:t> </w:t>
            </w:r>
          </w:p>
        </w:tc>
        <w:tc>
          <w:tcPr>
            <w:tcW w:w="20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7"/>
        <w:gridCol w:w="2187"/>
        <w:gridCol w:w="75"/>
      </w:tblGrid>
      <w:tr>
        <w:trPr/>
        <w:tc>
          <w:tcPr>
            <w:tcW w:w="29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IV, LP</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IV GP, LP</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IV GP, LLC</w:t>
            </w:r>
          </w:p>
        </w:tc>
        <w:tc>
          <w:tcPr>
            <w:tcW w:w="75" w:type="dxa"/>
            <w:tcBorders/>
            <w:vAlign w:val="center"/>
          </w:tcPr>
          <w:p>
            <w:pPr>
              <w:pStyle w:val="TableContents"/>
              <w:bidi w:val="0"/>
              <w:spacing w:before="0" w:after="283"/>
              <w:jc w:val="left"/>
              <w:rPr/>
            </w:pPr>
            <w:r>
              <w:rPr/>
              <w:t> </w:t>
            </w:r>
          </w:p>
        </w:tc>
      </w:tr>
      <w:tr>
        <w:trPr/>
        <w:tc>
          <w:tcPr>
            <w:tcW w:w="29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57" w:type="dxa"/>
            <w:tcBorders/>
            <w:vAlign w:val="center"/>
          </w:tcPr>
          <w:p>
            <w:pPr>
              <w:pStyle w:val="TableContents"/>
              <w:bidi w:val="0"/>
              <w:spacing w:before="0" w:after="283"/>
              <w:jc w:val="left"/>
              <w:rPr/>
            </w:pPr>
            <w:r>
              <w:rPr/>
              <w:t> </w:t>
            </w:r>
          </w:p>
        </w:tc>
        <w:tc>
          <w:tcPr>
            <w:tcW w:w="218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19"/>
        <w:gridCol w:w="2075"/>
        <w:gridCol w:w="75"/>
      </w:tblGrid>
      <w:tr>
        <w:trPr/>
        <w:tc>
          <w:tcPr>
            <w:tcW w:w="27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IVA, LP</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IV GP, LP</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TCG IV GP, LLC</w:t>
            </w:r>
          </w:p>
        </w:tc>
        <w:tc>
          <w:tcPr>
            <w:tcW w:w="75" w:type="dxa"/>
            <w:tcBorders/>
            <w:vAlign w:val="center"/>
          </w:tcPr>
          <w:p>
            <w:pPr>
              <w:pStyle w:val="TableContents"/>
              <w:bidi w:val="0"/>
              <w:spacing w:before="0" w:after="283"/>
              <w:jc w:val="left"/>
              <w:rPr/>
            </w:pPr>
            <w:r>
              <w:rPr/>
              <w:t> </w:t>
            </w:r>
          </w:p>
        </w:tc>
      </w:tr>
      <w:tr>
        <w:trPr/>
        <w:tc>
          <w:tcPr>
            <w:tcW w:w="27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19"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781"/>
        <w:gridCol w:w="2253"/>
        <w:gridCol w:w="75"/>
      </w:tblGrid>
      <w:tr>
        <w:trPr/>
        <w:tc>
          <w:tcPr>
            <w:tcW w:w="30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Management, LP</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2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5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1001"/>
        <w:gridCol w:w="2888"/>
        <w:gridCol w:w="75"/>
      </w:tblGrid>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OPPORTUNITY III, LP</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Opportunity III GP, LP</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TCG Opportunity III GP, LLC</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1001"/>
        <w:gridCol w:w="2888"/>
        <w:gridCol w:w="75"/>
      </w:tblGrid>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OPPORTUNITY III, LP</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Opportunity III GP, LP</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TCG Opportunity III GP, LLC</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509" w:type="dxa"/>
        <w:jc w:val="left"/>
        <w:tblInd w:w="0" w:type="dxa"/>
        <w:tblLayout w:type="fixed"/>
        <w:tblCellMar>
          <w:top w:w="0" w:type="dxa"/>
          <w:left w:w="0" w:type="dxa"/>
          <w:bottom w:w="0" w:type="dxa"/>
          <w:right w:w="0" w:type="dxa"/>
        </w:tblCellMar>
      </w:tblPr>
      <w:tblGrid>
        <w:gridCol w:w="626"/>
        <w:gridCol w:w="1808"/>
        <w:gridCol w:w="75"/>
      </w:tblGrid>
      <w:tr>
        <w:trPr/>
        <w:tc>
          <w:tcPr>
            <w:tcW w:w="24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Ponoi Capital, LP</w:t>
            </w:r>
          </w:p>
        </w:tc>
        <w:tc>
          <w:tcPr>
            <w:tcW w:w="75" w:type="dxa"/>
            <w:tcBorders/>
            <w:vAlign w:val="center"/>
          </w:tcPr>
          <w:p>
            <w:pPr>
              <w:pStyle w:val="TableContents"/>
              <w:bidi w:val="0"/>
              <w:spacing w:before="0" w:after="283"/>
              <w:jc w:val="left"/>
              <w:rPr/>
            </w:pPr>
            <w:r>
              <w:rPr/>
              <w:t> </w:t>
            </w:r>
          </w:p>
        </w:tc>
      </w:tr>
      <w:tr>
        <w:trPr/>
        <w:tc>
          <w:tcPr>
            <w:tcW w:w="243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Ponoi Management, LLC</w:t>
            </w:r>
          </w:p>
        </w:tc>
        <w:tc>
          <w:tcPr>
            <w:tcW w:w="75" w:type="dxa"/>
            <w:tcBorders/>
            <w:vAlign w:val="center"/>
          </w:tcPr>
          <w:p>
            <w:pPr>
              <w:pStyle w:val="TableContents"/>
              <w:bidi w:val="0"/>
              <w:spacing w:before="0" w:after="283"/>
              <w:jc w:val="left"/>
              <w:rPr/>
            </w:pPr>
            <w:r>
              <w:rPr/>
              <w:t> </w:t>
            </w:r>
          </w:p>
        </w:tc>
      </w:tr>
      <w:tr>
        <w:trPr/>
        <w:tc>
          <w:tcPr>
            <w:tcW w:w="24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626"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74" w:type="dxa"/>
        <w:jc w:val="left"/>
        <w:tblInd w:w="0" w:type="dxa"/>
        <w:tblLayout w:type="fixed"/>
        <w:tblCellMar>
          <w:top w:w="0" w:type="dxa"/>
          <w:left w:w="0" w:type="dxa"/>
          <w:bottom w:w="0" w:type="dxa"/>
          <w:right w:w="0" w:type="dxa"/>
        </w:tblCellMar>
      </w:tblPr>
      <w:tblGrid>
        <w:gridCol w:w="669"/>
        <w:gridCol w:w="1930"/>
        <w:gridCol w:w="75"/>
      </w:tblGrid>
      <w:tr>
        <w:trPr/>
        <w:tc>
          <w:tcPr>
            <w:tcW w:w="25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Ponoi Capital II, LP</w:t>
            </w:r>
          </w:p>
        </w:tc>
        <w:tc>
          <w:tcPr>
            <w:tcW w:w="75" w:type="dxa"/>
            <w:tcBorders/>
            <w:vAlign w:val="center"/>
          </w:tcPr>
          <w:p>
            <w:pPr>
              <w:pStyle w:val="TableContents"/>
              <w:bidi w:val="0"/>
              <w:spacing w:before="0" w:after="283"/>
              <w:jc w:val="left"/>
              <w:rPr/>
            </w:pPr>
            <w:r>
              <w:rPr/>
              <w:t> </w:t>
            </w:r>
          </w:p>
        </w:tc>
      </w:tr>
      <w:tr>
        <w:trPr/>
        <w:tc>
          <w:tcPr>
            <w:tcW w:w="25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Ponoi II Management, LLC</w:t>
            </w:r>
          </w:p>
        </w:tc>
        <w:tc>
          <w:tcPr>
            <w:tcW w:w="75" w:type="dxa"/>
            <w:tcBorders/>
            <w:vAlign w:val="center"/>
          </w:tcPr>
          <w:p>
            <w:pPr>
              <w:pStyle w:val="TableContents"/>
              <w:bidi w:val="0"/>
              <w:spacing w:before="0" w:after="283"/>
              <w:jc w:val="left"/>
              <w:rPr/>
            </w:pPr>
            <w:r>
              <w:rPr/>
              <w:t> </w:t>
            </w:r>
          </w:p>
        </w:tc>
      </w:tr>
      <w:tr>
        <w:trPr/>
        <w:tc>
          <w:tcPr>
            <w:tcW w:w="25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669" w:type="dxa"/>
            <w:tcBorders/>
            <w:vAlign w:val="center"/>
          </w:tcPr>
          <w:p>
            <w:pPr>
              <w:pStyle w:val="TableContents"/>
              <w:bidi w:val="0"/>
              <w:spacing w:before="0" w:after="283"/>
              <w:jc w:val="left"/>
              <w:rPr/>
            </w:pPr>
            <w:r>
              <w:rPr/>
              <w:t> </w:t>
            </w:r>
          </w:p>
        </w:tc>
        <w:tc>
          <w:tcPr>
            <w:tcW w:w="19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623"/>
        <w:gridCol w:w="1796"/>
        <w:gridCol w:w="75"/>
      </w:tblGrid>
      <w:tr>
        <w:trPr/>
        <w:tc>
          <w:tcPr>
            <w:tcW w:w="24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GP, LP</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4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pPr>
            <w:r>
              <w:rPr/>
              <w:t> </w:t>
            </w:r>
          </w:p>
        </w:tc>
        <w:tc>
          <w:tcPr>
            <w:tcW w:w="17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SPONSOR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657"/>
        <w:gridCol w:w="1897"/>
        <w:gridCol w:w="75"/>
      </w:tblGrid>
      <w:tr>
        <w:trPr/>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Column Group, LP</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GP, LP</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Column Group, LLC</w:t>
            </w:r>
          </w:p>
        </w:tc>
        <w:tc>
          <w:tcPr>
            <w:tcW w:w="75" w:type="dxa"/>
            <w:tcBorders/>
            <w:vAlign w:val="center"/>
          </w:tcPr>
          <w:p>
            <w:pPr>
              <w:pStyle w:val="TableContents"/>
              <w:bidi w:val="0"/>
              <w:spacing w:before="0" w:after="283"/>
              <w:jc w:val="left"/>
              <w:rPr/>
            </w:pPr>
            <w:r>
              <w:rPr/>
              <w:t> </w:t>
            </w:r>
          </w:p>
        </w:tc>
      </w:tr>
      <w:tr>
        <w:trPr/>
        <w:tc>
          <w:tcPr>
            <w:tcW w:w="25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657"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Evangelista</w:t>
            </w:r>
          </w:p>
        </w:tc>
        <w:tc>
          <w:tcPr>
            <w:tcW w:w="75" w:type="dxa"/>
            <w:tcBorders/>
            <w:vAlign w:val="center"/>
          </w:tcPr>
          <w:p>
            <w:pPr>
              <w:pStyle w:val="TableContents"/>
              <w:bidi w:val="0"/>
              <w:spacing w:before="0" w:after="283"/>
              <w:jc w:val="left"/>
              <w:rPr/>
            </w:pPr>
            <w:r>
              <w:rPr/>
              <w:t> </w:t>
            </w:r>
          </w:p>
        </w:tc>
      </w:tr>
      <w:tr>
        <w:trPr/>
        <w:tc>
          <w:tcPr>
            <w:tcW w:w="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Evangelista</w:t>
            </w:r>
          </w:p>
        </w:tc>
        <w:tc>
          <w:tcPr>
            <w:tcW w:w="75" w:type="dxa"/>
            <w:tcBorders/>
            <w:vAlign w:val="center"/>
          </w:tcPr>
          <w:p>
            <w:pPr>
              <w:pStyle w:val="TableContents"/>
              <w:bidi w:val="0"/>
              <w:spacing w:before="0" w:after="283"/>
              <w:jc w:val="left"/>
              <w:rPr/>
            </w:pPr>
            <w:r>
              <w:rPr/>
              <w:t> </w:t>
            </w:r>
          </w:p>
        </w:tc>
      </w:tr>
      <w:tr>
        <w:trPr/>
        <w:tc>
          <w:tcPr>
            <w:tcW w:w="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&amp; CFO</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28" w:type="dxa"/>
          <w:right w:w="0" w:type="dxa"/>
        </w:tblCellMar>
      </w:tblPr>
      <w:tblGrid>
        <w:gridCol w:w="605"/>
        <w:gridCol w:w="1820"/>
        <w:gridCol w:w="75"/>
      </w:tblGrid>
      <w:tr>
        <w:trPr/>
        <w:tc>
          <w:tcPr>
            <w:tcW w:w="242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Arthur D. Levinson</w:t>
            </w:r>
          </w:p>
        </w:tc>
        <w:tc>
          <w:tcPr>
            <w:tcW w:w="75" w:type="dxa"/>
            <w:tcBorders/>
            <w:tcMar>
              <w:bottom w:w="0" w:type="dxa"/>
            </w:tcMar>
            <w:vAlign w:val="center"/>
          </w:tcPr>
          <w:p>
            <w:pPr>
              <w:pStyle w:val="TableContents"/>
              <w:bidi w:val="0"/>
              <w:spacing w:before="0" w:after="283"/>
              <w:jc w:val="left"/>
              <w:rPr/>
            </w:pPr>
            <w:r>
              <w:rPr/>
              <w:t> </w:t>
            </w:r>
          </w:p>
        </w:tc>
      </w:tr>
      <w:tr>
        <w:trPr/>
        <w:tc>
          <w:tcPr>
            <w:tcW w:w="242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Arthur D. Levinson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Arthur D. Levinson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through a broker: ☐   Broker name: 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650,000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035" w:type="dxa"/>
        <w:jc w:val="left"/>
        <w:tblInd w:w="0" w:type="dxa"/>
        <w:tblLayout w:type="fixed"/>
        <w:tblCellMar>
          <w:top w:w="0" w:type="dxa"/>
          <w:left w:w="0" w:type="dxa"/>
          <w:bottom w:w="28" w:type="dxa"/>
          <w:right w:w="0" w:type="dxa"/>
        </w:tblCellMar>
      </w:tblPr>
      <w:tblGrid>
        <w:gridCol w:w="605"/>
        <w:gridCol w:w="1355"/>
        <w:gridCol w:w="75"/>
      </w:tblGrid>
      <w:tr>
        <w:trPr/>
        <w:tc>
          <w:tcPr>
            <w:tcW w:w="196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Peder Isacson</w:t>
            </w:r>
          </w:p>
        </w:tc>
        <w:tc>
          <w:tcPr>
            <w:tcW w:w="75" w:type="dxa"/>
            <w:tcBorders/>
            <w:tcMar>
              <w:bottom w:w="0" w:type="dxa"/>
            </w:tcMar>
            <w:vAlign w:val="center"/>
          </w:tcPr>
          <w:p>
            <w:pPr>
              <w:pStyle w:val="TableContents"/>
              <w:bidi w:val="0"/>
              <w:spacing w:before="0" w:after="283"/>
              <w:jc w:val="left"/>
              <w:rPr/>
            </w:pPr>
            <w:r>
              <w:rPr/>
              <w:t> </w:t>
            </w:r>
          </w:p>
        </w:tc>
      </w:tr>
      <w:tr>
        <w:trPr/>
        <w:tc>
          <w:tcPr>
            <w:tcW w:w="19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Peder Isacson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3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Peder Isacson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3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162,540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28" w:type="dxa"/>
          <w:right w:w="0" w:type="dxa"/>
        </w:tblCellMar>
      </w:tblPr>
      <w:tblGrid>
        <w:gridCol w:w="605"/>
        <w:gridCol w:w="1175"/>
        <w:gridCol w:w="75"/>
      </w:tblGrid>
      <w:tr>
        <w:trPr/>
        <w:tc>
          <w:tcPr>
            <w:tcW w:w="178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Klas Juhlin</w:t>
            </w:r>
          </w:p>
        </w:tc>
        <w:tc>
          <w:tcPr>
            <w:tcW w:w="75" w:type="dxa"/>
            <w:tcBorders/>
            <w:tcMar>
              <w:bottom w:w="0" w:type="dxa"/>
            </w:tcMar>
            <w:vAlign w:val="center"/>
          </w:tcPr>
          <w:p>
            <w:pPr>
              <w:pStyle w:val="TableContents"/>
              <w:bidi w:val="0"/>
              <w:spacing w:before="0" w:after="283"/>
              <w:jc w:val="left"/>
              <w:rPr/>
            </w:pPr>
            <w:r>
              <w:rPr/>
              <w:t> </w:t>
            </w:r>
          </w:p>
        </w:tc>
      </w:tr>
      <w:tr>
        <w:trPr/>
        <w:tc>
          <w:tcPr>
            <w:tcW w:w="178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7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Klas Juhlin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1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Klas Juhlin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17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30,750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28" w:type="dxa"/>
          <w:right w:w="0" w:type="dxa"/>
        </w:tblCellMar>
      </w:tblPr>
      <w:tblGrid>
        <w:gridCol w:w="605"/>
        <w:gridCol w:w="1730"/>
        <w:gridCol w:w="75"/>
      </w:tblGrid>
      <w:tr>
        <w:trPr/>
        <w:tc>
          <w:tcPr>
            <w:tcW w:w="233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Bathina Philipson</w:t>
            </w:r>
          </w:p>
        </w:tc>
        <w:tc>
          <w:tcPr>
            <w:tcW w:w="75" w:type="dxa"/>
            <w:tcBorders/>
            <w:tcMar>
              <w:bottom w:w="0" w:type="dxa"/>
            </w:tcMar>
            <w:vAlign w:val="center"/>
          </w:tcPr>
          <w:p>
            <w:pPr>
              <w:pStyle w:val="TableContents"/>
              <w:bidi w:val="0"/>
              <w:spacing w:before="0" w:after="283"/>
              <w:jc w:val="left"/>
              <w:rPr/>
            </w:pPr>
            <w:r>
              <w:rPr/>
              <w:t> </w:t>
            </w:r>
          </w:p>
        </w:tc>
      </w:tr>
      <w:tr>
        <w:trPr/>
        <w:tc>
          <w:tcPr>
            <w:tcW w:w="233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3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Bathina Philipson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Bathina Philipson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73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601,017</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74" w:type="dxa"/>
        <w:jc w:val="left"/>
        <w:tblInd w:w="0" w:type="dxa"/>
        <w:tblLayout w:type="fixed"/>
        <w:tblCellMar>
          <w:top w:w="0" w:type="dxa"/>
          <w:left w:w="0" w:type="dxa"/>
          <w:bottom w:w="28" w:type="dxa"/>
          <w:right w:w="0" w:type="dxa"/>
        </w:tblCellMar>
      </w:tblPr>
      <w:tblGrid>
        <w:gridCol w:w="827"/>
        <w:gridCol w:w="1772"/>
        <w:gridCol w:w="75"/>
      </w:tblGrid>
      <w:tr>
        <w:trPr/>
        <w:tc>
          <w:tcPr>
            <w:tcW w:w="2599"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Tjian-Belcher Revocable Trust</w:t>
            </w:r>
          </w:p>
        </w:tc>
        <w:tc>
          <w:tcPr>
            <w:tcW w:w="75" w:type="dxa"/>
            <w:tcBorders/>
            <w:tcMar>
              <w:bottom w:w="0" w:type="dxa"/>
            </w:tcMar>
            <w:vAlign w:val="center"/>
          </w:tcPr>
          <w:p>
            <w:pPr>
              <w:pStyle w:val="TableContents"/>
              <w:bidi w:val="0"/>
              <w:spacing w:before="0" w:after="283"/>
              <w:jc w:val="left"/>
              <w:rPr/>
            </w:pPr>
            <w:r>
              <w:rPr/>
              <w:t> </w:t>
            </w:r>
          </w:p>
        </w:tc>
      </w:tr>
      <w:tr>
        <w:trPr/>
        <w:tc>
          <w:tcPr>
            <w:tcW w:w="259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827" w:type="dxa"/>
            <w:tcBorders/>
            <w:tcMar>
              <w:bottom w:w="0" w:type="dxa"/>
            </w:tcMar>
            <w:vAlign w:val="center"/>
          </w:tcPr>
          <w:p>
            <w:pPr>
              <w:pStyle w:val="TableContents"/>
              <w:bidi w:val="0"/>
              <w:spacing w:before="0" w:after="283"/>
              <w:jc w:val="left"/>
              <w:rPr/>
            </w:pPr>
            <w:r>
              <w:rPr/>
              <w:t> </w:t>
            </w:r>
          </w:p>
        </w:tc>
        <w:tc>
          <w:tcPr>
            <w:tcW w:w="1772"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82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2"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Tjian</w:t>
            </w:r>
          </w:p>
        </w:tc>
        <w:tc>
          <w:tcPr>
            <w:tcW w:w="75" w:type="dxa"/>
            <w:tcBorders/>
            <w:tcMar>
              <w:bottom w:w="0" w:type="dxa"/>
            </w:tcMar>
            <w:vAlign w:val="center"/>
          </w:tcPr>
          <w:p>
            <w:pPr>
              <w:pStyle w:val="TableContents"/>
              <w:bidi w:val="0"/>
              <w:spacing w:before="0" w:after="283"/>
              <w:jc w:val="left"/>
              <w:rPr/>
            </w:pPr>
            <w:r>
              <w:rPr/>
              <w:t> </w:t>
            </w:r>
          </w:p>
        </w:tc>
      </w:tr>
      <w:tr>
        <w:trPr/>
        <w:tc>
          <w:tcPr>
            <w:tcW w:w="82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7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Tjian</w:t>
            </w:r>
          </w:p>
        </w:tc>
        <w:tc>
          <w:tcPr>
            <w:tcW w:w="75" w:type="dxa"/>
            <w:tcBorders/>
            <w:tcMar>
              <w:bottom w:w="0" w:type="dxa"/>
            </w:tcMar>
            <w:vAlign w:val="center"/>
          </w:tcPr>
          <w:p>
            <w:pPr>
              <w:pStyle w:val="TableContents"/>
              <w:bidi w:val="0"/>
              <w:spacing w:before="0" w:after="283"/>
              <w:jc w:val="left"/>
              <w:rPr/>
            </w:pPr>
            <w:r>
              <w:rPr/>
              <w:t> </w:t>
            </w:r>
          </w:p>
        </w:tc>
      </w:tr>
      <w:tr>
        <w:trPr/>
        <w:tc>
          <w:tcPr>
            <w:tcW w:w="82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772"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Trustee</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87,500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28" w:type="dxa"/>
          <w:right w:w="0" w:type="dxa"/>
        </w:tblCellMar>
      </w:tblPr>
      <w:tblGrid>
        <w:gridCol w:w="605"/>
        <w:gridCol w:w="1625"/>
        <w:gridCol w:w="75"/>
      </w:tblGrid>
      <w:tr>
        <w:trPr/>
        <w:tc>
          <w:tcPr>
            <w:tcW w:w="223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Steven J. Winick</w:t>
            </w:r>
          </w:p>
        </w:tc>
        <w:tc>
          <w:tcPr>
            <w:tcW w:w="7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Steven J. Winick</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6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J. Winick</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62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137,922</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89" w:type="dxa"/>
        <w:jc w:val="left"/>
        <w:tblInd w:w="0" w:type="dxa"/>
        <w:tblLayout w:type="fixed"/>
        <w:tblCellMar>
          <w:top w:w="0" w:type="dxa"/>
          <w:left w:w="0" w:type="dxa"/>
          <w:bottom w:w="28" w:type="dxa"/>
          <w:right w:w="0" w:type="dxa"/>
        </w:tblCellMar>
      </w:tblPr>
      <w:tblGrid>
        <w:gridCol w:w="760"/>
        <w:gridCol w:w="2154"/>
        <w:gridCol w:w="75"/>
      </w:tblGrid>
      <w:tr>
        <w:trPr/>
        <w:tc>
          <w:tcPr>
            <w:tcW w:w="2914"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Tyler D. Goeddel Irrevocable Trust</w:t>
            </w:r>
          </w:p>
        </w:tc>
        <w:tc>
          <w:tcPr>
            <w:tcW w:w="75" w:type="dxa"/>
            <w:tcBorders/>
            <w:tcMar>
              <w:bottom w:w="0" w:type="dxa"/>
            </w:tcMar>
            <w:vAlign w:val="center"/>
          </w:tcPr>
          <w:p>
            <w:pPr>
              <w:pStyle w:val="TableContents"/>
              <w:bidi w:val="0"/>
              <w:spacing w:before="0" w:after="283"/>
              <w:jc w:val="left"/>
              <w:rPr/>
            </w:pPr>
            <w:r>
              <w:rPr/>
              <w:t> </w:t>
            </w:r>
          </w:p>
        </w:tc>
      </w:tr>
      <w:tr>
        <w:trPr/>
        <w:tc>
          <w:tcPr>
            <w:tcW w:w="291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60" w:type="dxa"/>
            <w:tcBorders/>
            <w:tcMar>
              <w:bottom w:w="0" w:type="dxa"/>
            </w:tcMar>
            <w:vAlign w:val="center"/>
          </w:tcPr>
          <w:p>
            <w:pPr>
              <w:pStyle w:val="TableContents"/>
              <w:bidi w:val="0"/>
              <w:spacing w:before="0" w:after="283"/>
              <w:jc w:val="left"/>
              <w:rPr/>
            </w:pPr>
            <w:r>
              <w:rPr/>
              <w:t> </w:t>
            </w:r>
          </w:p>
        </w:tc>
        <w:tc>
          <w:tcPr>
            <w:tcW w:w="2154"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54"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T. Stenson</w:t>
            </w:r>
          </w:p>
        </w:tc>
        <w:tc>
          <w:tcPr>
            <w:tcW w:w="75" w:type="dxa"/>
            <w:tcBorders/>
            <w:tcMar>
              <w:bottom w:w="0" w:type="dxa"/>
            </w:tcMar>
            <w:vAlign w:val="center"/>
          </w:tcPr>
          <w:p>
            <w:pPr>
              <w:pStyle w:val="TableContents"/>
              <w:bidi w:val="0"/>
              <w:spacing w:before="0" w:after="283"/>
              <w:jc w:val="left"/>
              <w:rPr/>
            </w:pPr>
            <w:r>
              <w:rPr/>
              <w:t> </w:t>
            </w:r>
          </w:p>
        </w:tc>
      </w:tr>
      <w:tr>
        <w:trPr/>
        <w:tc>
          <w:tcPr>
            <w:tcW w:w="7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15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T. Stenson</w:t>
            </w:r>
          </w:p>
        </w:tc>
        <w:tc>
          <w:tcPr>
            <w:tcW w:w="75" w:type="dxa"/>
            <w:tcBorders/>
            <w:tcMar>
              <w:bottom w:w="0" w:type="dxa"/>
            </w:tcMar>
            <w:vAlign w:val="center"/>
          </w:tcPr>
          <w:p>
            <w:pPr>
              <w:pStyle w:val="TableContents"/>
              <w:bidi w:val="0"/>
              <w:spacing w:before="0" w:after="283"/>
              <w:jc w:val="left"/>
              <w:rPr/>
            </w:pPr>
            <w:r>
              <w:rPr/>
              <w:t> </w:t>
            </w:r>
          </w:p>
        </w:tc>
      </w:tr>
      <w:tr>
        <w:trPr/>
        <w:tc>
          <w:tcPr>
            <w:tcW w:w="7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5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50,000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28" w:type="dxa"/>
          <w:right w:w="0" w:type="dxa"/>
        </w:tblCellMar>
      </w:tblPr>
      <w:tblGrid>
        <w:gridCol w:w="605"/>
        <w:gridCol w:w="1490"/>
        <w:gridCol w:w="75"/>
      </w:tblGrid>
      <w:tr>
        <w:trPr/>
        <w:tc>
          <w:tcPr>
            <w:tcW w:w="209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Tarzan Investment LLC</w:t>
            </w:r>
          </w:p>
        </w:tc>
        <w:tc>
          <w:tcPr>
            <w:tcW w:w="75" w:type="dxa"/>
            <w:tcBorders/>
            <w:tcMar>
              <w:bottom w:w="0" w:type="dxa"/>
            </w:tcMar>
            <w:vAlign w:val="center"/>
          </w:tcPr>
          <w:p>
            <w:pPr>
              <w:pStyle w:val="TableContents"/>
              <w:bidi w:val="0"/>
              <w:spacing w:before="0" w:after="283"/>
              <w:jc w:val="left"/>
              <w:rPr/>
            </w:pPr>
            <w:r>
              <w:rPr/>
              <w:t> </w:t>
            </w:r>
          </w:p>
        </w:tc>
      </w:tr>
      <w:tr>
        <w:trPr/>
        <w:tc>
          <w:tcPr>
            <w:tcW w:w="209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9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Gart A. Jungels</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4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Gart A. Jungels</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490"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Co-manager</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37,500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28" w:type="dxa"/>
          <w:right w:w="0" w:type="dxa"/>
        </w:tblCellMar>
      </w:tblPr>
      <w:tblGrid>
        <w:gridCol w:w="605"/>
        <w:gridCol w:w="2180"/>
        <w:gridCol w:w="75"/>
      </w:tblGrid>
      <w:tr>
        <w:trPr/>
        <w:tc>
          <w:tcPr>
            <w:tcW w:w="278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Heather Goeddel-Willis</w:t>
            </w:r>
          </w:p>
        </w:tc>
        <w:tc>
          <w:tcPr>
            <w:tcW w:w="75" w:type="dxa"/>
            <w:tcBorders/>
            <w:tcMar>
              <w:bottom w:w="0" w:type="dxa"/>
            </w:tcMar>
            <w:vAlign w:val="center"/>
          </w:tcPr>
          <w:p>
            <w:pPr>
              <w:pStyle w:val="TableContents"/>
              <w:bidi w:val="0"/>
              <w:spacing w:before="0" w:after="283"/>
              <w:jc w:val="left"/>
              <w:rPr/>
            </w:pPr>
            <w:r>
              <w:rPr/>
              <w:t> </w:t>
            </w:r>
          </w:p>
        </w:tc>
      </w:tr>
      <w:tr>
        <w:trPr/>
        <w:tc>
          <w:tcPr>
            <w:tcW w:w="278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218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8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Heather Goeddel-Willis</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1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Heather Goeddel-Willis</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8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50,000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28" w:type="dxa"/>
          <w:right w:w="0" w:type="dxa"/>
        </w:tblCellMar>
      </w:tblPr>
      <w:tblGrid>
        <w:gridCol w:w="605"/>
        <w:gridCol w:w="2315"/>
        <w:gridCol w:w="75"/>
      </w:tblGrid>
      <w:tr>
        <w:trPr/>
        <w:tc>
          <w:tcPr>
            <w:tcW w:w="292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James Richard McKeown</w:t>
            </w:r>
          </w:p>
        </w:tc>
        <w:tc>
          <w:tcPr>
            <w:tcW w:w="75" w:type="dxa"/>
            <w:tcBorders/>
            <w:tcMar>
              <w:bottom w:w="0" w:type="dxa"/>
            </w:tcMar>
            <w:vAlign w:val="center"/>
          </w:tcPr>
          <w:p>
            <w:pPr>
              <w:pStyle w:val="TableContents"/>
              <w:bidi w:val="0"/>
              <w:spacing w:before="0" w:after="283"/>
              <w:jc w:val="left"/>
              <w:rPr/>
            </w:pPr>
            <w:r>
              <w:rPr/>
              <w:t> </w:t>
            </w:r>
          </w:p>
        </w:tc>
      </w:tr>
      <w:tr>
        <w:trPr/>
        <w:tc>
          <w:tcPr>
            <w:tcW w:w="29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James Richard McKeown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Richard McKeown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3,353</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28" w:type="dxa"/>
          <w:right w:w="0" w:type="dxa"/>
        </w:tblCellMar>
      </w:tblPr>
      <w:tblGrid>
        <w:gridCol w:w="605"/>
        <w:gridCol w:w="1220"/>
        <w:gridCol w:w="75"/>
      </w:tblGrid>
      <w:tr>
        <w:trPr/>
        <w:tc>
          <w:tcPr>
            <w:tcW w:w="182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Louise Skaj</w:t>
            </w:r>
          </w:p>
        </w:tc>
        <w:tc>
          <w:tcPr>
            <w:tcW w:w="75" w:type="dxa"/>
            <w:tcBorders/>
            <w:tcMar>
              <w:bottom w:w="0" w:type="dxa"/>
            </w:tcMar>
            <w:vAlign w:val="center"/>
          </w:tcPr>
          <w:p>
            <w:pPr>
              <w:pStyle w:val="TableContents"/>
              <w:bidi w:val="0"/>
              <w:spacing w:before="0" w:after="283"/>
              <w:jc w:val="left"/>
              <w:rPr/>
            </w:pPr>
            <w:r>
              <w:rPr/>
              <w:t> </w:t>
            </w:r>
          </w:p>
        </w:tc>
      </w:tr>
      <w:tr>
        <w:trPr/>
        <w:tc>
          <w:tcPr>
            <w:tcW w:w="182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22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Louise Skaj</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2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Louise Skaj</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22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53,000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28" w:type="dxa"/>
          <w:right w:w="0" w:type="dxa"/>
        </w:tblCellMar>
      </w:tblPr>
      <w:tblGrid>
        <w:gridCol w:w="605"/>
        <w:gridCol w:w="1940"/>
        <w:gridCol w:w="75"/>
      </w:tblGrid>
      <w:tr>
        <w:trPr/>
        <w:tc>
          <w:tcPr>
            <w:tcW w:w="2545"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Mridula Kumari Ray</w:t>
            </w:r>
          </w:p>
        </w:tc>
        <w:tc>
          <w:tcPr>
            <w:tcW w:w="75" w:type="dxa"/>
            <w:tcBorders/>
            <w:tcMar>
              <w:bottom w:w="0" w:type="dxa"/>
            </w:tcMar>
            <w:vAlign w:val="center"/>
          </w:tcPr>
          <w:p>
            <w:pPr>
              <w:pStyle w:val="TableContents"/>
              <w:bidi w:val="0"/>
              <w:spacing w:before="0" w:after="283"/>
              <w:jc w:val="left"/>
              <w:rPr/>
            </w:pPr>
            <w:r>
              <w:rPr/>
              <w:t> </w:t>
            </w:r>
          </w:p>
        </w:tc>
      </w:tr>
      <w:tr>
        <w:trPr/>
        <w:tc>
          <w:tcPr>
            <w:tcW w:w="254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Mridula Kumari Ray</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Mridula Kumari Ray</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4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391</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28" w:type="dxa"/>
          <w:right w:w="0" w:type="dxa"/>
        </w:tblCellMar>
      </w:tblPr>
      <w:tblGrid>
        <w:gridCol w:w="605"/>
        <w:gridCol w:w="1625"/>
        <w:gridCol w:w="75"/>
      </w:tblGrid>
      <w:tr>
        <w:trPr/>
        <w:tc>
          <w:tcPr>
            <w:tcW w:w="2230"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Svennilson</w:t>
            </w:r>
          </w:p>
        </w:tc>
        <w:tc>
          <w:tcPr>
            <w:tcW w:w="7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Svennilson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6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Svennilson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6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Partner</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28" w:type="dxa"/>
          <w:right w:w="0" w:type="dxa"/>
        </w:tblCellMar>
      </w:tblPr>
      <w:tblGrid>
        <w:gridCol w:w="605"/>
        <w:gridCol w:w="1625"/>
        <w:gridCol w:w="75"/>
      </w:tblGrid>
      <w:tr>
        <w:trPr/>
        <w:tc>
          <w:tcPr>
            <w:tcW w:w="223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Peter Svennilson</w:t>
            </w:r>
          </w:p>
        </w:tc>
        <w:tc>
          <w:tcPr>
            <w:tcW w:w="75" w:type="dxa"/>
            <w:tcBorders/>
            <w:tcMar>
              <w:bottom w:w="0" w:type="dxa"/>
            </w:tcMar>
            <w:vAlign w:val="center"/>
          </w:tcPr>
          <w:p>
            <w:pPr>
              <w:pStyle w:val="TableContents"/>
              <w:bidi w:val="0"/>
              <w:spacing w:before="0" w:after="283"/>
              <w:jc w:val="left"/>
              <w:rPr/>
            </w:pPr>
            <w:r>
              <w:rPr/>
              <w:t> </w:t>
            </w:r>
          </w:p>
        </w:tc>
      </w:tr>
      <w:tr>
        <w:trPr/>
        <w:tc>
          <w:tcPr>
            <w:tcW w:w="223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Svennilson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625" w:type="dxa"/>
            <w:tcBorders/>
            <w:tcMar>
              <w:bottom w:w="0" w:type="dxa"/>
            </w:tcMar>
            <w:vAlign w:val="center"/>
          </w:tcPr>
          <w:p>
            <w:pPr>
              <w:pStyle w:val="TableContents"/>
              <w:bidi w:val="0"/>
              <w:spacing w:before="0" w:after="283"/>
              <w:jc w:val="left"/>
              <w:rPr/>
            </w:pPr>
            <w:r>
              <w:rPr/>
              <w:t>Peter Svennilson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6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Partner</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24,000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28" w:type="dxa"/>
          <w:right w:w="0" w:type="dxa"/>
        </w:tblCellMar>
      </w:tblPr>
      <w:tblGrid>
        <w:gridCol w:w="605"/>
        <w:gridCol w:w="1565"/>
        <w:gridCol w:w="75"/>
      </w:tblGrid>
      <w:tr>
        <w:trPr/>
        <w:tc>
          <w:tcPr>
            <w:tcW w:w="217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Erik V. Goeddel</w:t>
            </w:r>
          </w:p>
        </w:tc>
        <w:tc>
          <w:tcPr>
            <w:tcW w:w="75" w:type="dxa"/>
            <w:tcBorders/>
            <w:tcMar>
              <w:bottom w:w="0" w:type="dxa"/>
            </w:tcMar>
            <w:vAlign w:val="center"/>
          </w:tcPr>
          <w:p>
            <w:pPr>
              <w:pStyle w:val="TableContents"/>
              <w:bidi w:val="0"/>
              <w:spacing w:before="0" w:after="283"/>
              <w:jc w:val="left"/>
              <w:rPr/>
            </w:pPr>
            <w:r>
              <w:rPr/>
              <w:t> </w:t>
            </w:r>
          </w:p>
        </w:tc>
      </w:tr>
      <w:tr>
        <w:trPr/>
        <w:tc>
          <w:tcPr>
            <w:tcW w:w="217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6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Erik V. Goeddel</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Erik V. Goeddel</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6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50,000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28" w:type="dxa"/>
          <w:right w:w="0" w:type="dxa"/>
        </w:tblCellMar>
      </w:tblPr>
      <w:tblGrid>
        <w:gridCol w:w="605"/>
        <w:gridCol w:w="980"/>
        <w:gridCol w:w="75"/>
      </w:tblGrid>
      <w:tr>
        <w:trPr/>
        <w:tc>
          <w:tcPr>
            <w:tcW w:w="158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Hui Tian</w:t>
            </w:r>
          </w:p>
        </w:tc>
        <w:tc>
          <w:tcPr>
            <w:tcW w:w="75" w:type="dxa"/>
            <w:tcBorders/>
            <w:tcMar>
              <w:bottom w:w="0" w:type="dxa"/>
            </w:tcMar>
            <w:vAlign w:val="center"/>
          </w:tcPr>
          <w:p>
            <w:pPr>
              <w:pStyle w:val="TableContents"/>
              <w:bidi w:val="0"/>
              <w:spacing w:before="0" w:after="283"/>
              <w:jc w:val="left"/>
              <w:rPr/>
            </w:pPr>
            <w:r>
              <w:rPr/>
              <w:t> </w:t>
            </w:r>
          </w:p>
        </w:tc>
      </w:tr>
      <w:tr>
        <w:trPr/>
        <w:tc>
          <w:tcPr>
            <w:tcW w:w="158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Hui Tian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9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 Tian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98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321,424</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28" w:type="dxa"/>
          <w:right w:w="0" w:type="dxa"/>
        </w:tblCellMar>
      </w:tblPr>
      <w:tblGrid>
        <w:gridCol w:w="605"/>
        <w:gridCol w:w="1460"/>
        <w:gridCol w:w="75"/>
      </w:tblGrid>
      <w:tr>
        <w:trPr/>
        <w:tc>
          <w:tcPr>
            <w:tcW w:w="206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IEI Finans A/S</w:t>
            </w:r>
          </w:p>
        </w:tc>
        <w:tc>
          <w:tcPr>
            <w:tcW w:w="75" w:type="dxa"/>
            <w:tcBorders/>
            <w:tcMar>
              <w:bottom w:w="0" w:type="dxa"/>
            </w:tcMar>
            <w:vAlign w:val="center"/>
          </w:tcPr>
          <w:p>
            <w:pPr>
              <w:pStyle w:val="TableContents"/>
              <w:bidi w:val="0"/>
              <w:spacing w:before="0" w:after="283"/>
              <w:jc w:val="left"/>
              <w:rPr/>
            </w:pPr>
            <w:r>
              <w:rPr/>
              <w:t> </w:t>
            </w:r>
          </w:p>
        </w:tc>
      </w:tr>
      <w:tr>
        <w:trPr/>
        <w:tc>
          <w:tcPr>
            <w:tcW w:w="206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Klaus Skovsen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4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Klaus Skovsen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460"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CEO</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05"/>
        <w:gridCol w:w="1595"/>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Poul Kristiansen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Poul Kristiansen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95" w:type="dxa"/>
            <w:tcBorders/>
            <w:vAlign w:val="center"/>
          </w:tcPr>
          <w:p>
            <w:pPr>
              <w:pStyle w:val="TableContents"/>
              <w:bidi w:val="0"/>
              <w:spacing w:before="0" w:after="283"/>
              <w:jc w:val="left"/>
              <w:rPr/>
            </w:pPr>
            <w:r>
              <w:rPr/>
              <w:t> </w:t>
            </w:r>
            <w:r>
              <w:rPr>
                <w:rFonts w:ascii="Times New Roman;Times;Serif" w:hAnsi="Times New Roman;Times;Serif"/>
                <w:sz w:val="20"/>
              </w:rPr>
              <w:t>Member of Board</w:t>
            </w:r>
          </w:p>
        </w:tc>
        <w:tc>
          <w:tcPr>
            <w:tcW w:w="75"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5"/>
        <w:gridCol w:w="1505"/>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Jan Kristiansen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 Kristiansen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05" w:type="dxa"/>
            <w:tcBorders/>
            <w:vAlign w:val="center"/>
          </w:tcPr>
          <w:p>
            <w:pPr>
              <w:pStyle w:val="TableContents"/>
              <w:bidi w:val="0"/>
              <w:spacing w:before="0" w:after="283"/>
              <w:jc w:val="left"/>
              <w:rPr/>
            </w:pPr>
            <w:r>
              <w:rPr/>
              <w:t> </w:t>
            </w:r>
            <w:r>
              <w:rPr>
                <w:rFonts w:ascii="Times New Roman;Times;Serif" w:hAnsi="Times New Roman;Times;Serif"/>
                <w:sz w:val="20"/>
              </w:rPr>
              <w:t>Member of Board</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1,680,000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28" w:type="dxa"/>
          <w:right w:w="0" w:type="dxa"/>
        </w:tblCellMar>
      </w:tblPr>
      <w:tblGrid>
        <w:gridCol w:w="605"/>
        <w:gridCol w:w="1955"/>
        <w:gridCol w:w="75"/>
      </w:tblGrid>
      <w:tr>
        <w:trPr/>
        <w:tc>
          <w:tcPr>
            <w:tcW w:w="256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Alterna Invest S.A., SPF</w:t>
            </w:r>
          </w:p>
        </w:tc>
        <w:tc>
          <w:tcPr>
            <w:tcW w:w="75" w:type="dxa"/>
            <w:tcBorders/>
            <w:tcMar>
              <w:bottom w:w="0" w:type="dxa"/>
            </w:tcMar>
            <w:vAlign w:val="center"/>
          </w:tcPr>
          <w:p>
            <w:pPr>
              <w:pStyle w:val="TableContents"/>
              <w:bidi w:val="0"/>
              <w:spacing w:before="0" w:after="283"/>
              <w:jc w:val="left"/>
              <w:rPr/>
            </w:pPr>
            <w:r>
              <w:rPr/>
              <w:t> </w:t>
            </w:r>
          </w:p>
        </w:tc>
      </w:tr>
      <w:tr>
        <w:trPr/>
        <w:tc>
          <w:tcPr>
            <w:tcW w:w="25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Mads Gorm Mullertz</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Mads Gorm Mullertz</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Director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5"/>
        <w:gridCol w:w="1535"/>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Torben Madsen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Torben Madsen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35" w:type="dxa"/>
            <w:tcBorders/>
            <w:vAlign w:val="center"/>
          </w:tcPr>
          <w:p>
            <w:pPr>
              <w:pStyle w:val="TableContents"/>
              <w:bidi w:val="0"/>
              <w:spacing w:before="0" w:after="283"/>
              <w:jc w:val="left"/>
              <w:rPr/>
            </w:pPr>
            <w:r>
              <w:rPr/>
              <w:t> </w:t>
            </w:r>
            <w:r>
              <w:rPr>
                <w:rFonts w:ascii="Times New Roman;Times;Serif" w:hAnsi="Times New Roman;Times;Serif"/>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1,324,294</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034" w:type="dxa"/>
        <w:jc w:val="left"/>
        <w:tblInd w:w="0" w:type="dxa"/>
        <w:tblLayout w:type="fixed"/>
        <w:tblCellMar>
          <w:top w:w="0" w:type="dxa"/>
          <w:left w:w="0" w:type="dxa"/>
          <w:bottom w:w="28" w:type="dxa"/>
          <w:right w:w="0" w:type="dxa"/>
        </w:tblCellMar>
      </w:tblPr>
      <w:tblGrid>
        <w:gridCol w:w="699"/>
        <w:gridCol w:w="2260"/>
        <w:gridCol w:w="75"/>
      </w:tblGrid>
      <w:tr>
        <w:trPr/>
        <w:tc>
          <w:tcPr>
            <w:tcW w:w="2959"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Alterna Diversified Invest S.A., SPF</w:t>
            </w:r>
          </w:p>
        </w:tc>
        <w:tc>
          <w:tcPr>
            <w:tcW w:w="75" w:type="dxa"/>
            <w:tcBorders/>
            <w:tcMar>
              <w:bottom w:w="0" w:type="dxa"/>
            </w:tcMar>
            <w:vAlign w:val="center"/>
          </w:tcPr>
          <w:p>
            <w:pPr>
              <w:pStyle w:val="TableContents"/>
              <w:bidi w:val="0"/>
              <w:spacing w:before="0" w:after="283"/>
              <w:jc w:val="left"/>
              <w:rPr/>
            </w:pPr>
            <w:r>
              <w:rPr/>
              <w:t> </w:t>
            </w:r>
          </w:p>
        </w:tc>
      </w:tr>
      <w:tr>
        <w:trPr/>
        <w:tc>
          <w:tcPr>
            <w:tcW w:w="295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99" w:type="dxa"/>
            <w:tcBorders/>
            <w:tcMar>
              <w:bottom w:w="0" w:type="dxa"/>
            </w:tcMar>
            <w:vAlign w:val="center"/>
          </w:tcPr>
          <w:p>
            <w:pPr>
              <w:pStyle w:val="TableContents"/>
              <w:bidi w:val="0"/>
              <w:spacing w:before="0" w:after="283"/>
              <w:jc w:val="left"/>
              <w:rPr/>
            </w:pPr>
            <w:r>
              <w:rPr/>
              <w:t> </w:t>
            </w:r>
          </w:p>
        </w:tc>
        <w:tc>
          <w:tcPr>
            <w:tcW w:w="22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9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Mads Gorm Mullertz</w:t>
            </w:r>
          </w:p>
        </w:tc>
        <w:tc>
          <w:tcPr>
            <w:tcW w:w="75" w:type="dxa"/>
            <w:tcBorders/>
            <w:tcMar>
              <w:bottom w:w="0" w:type="dxa"/>
            </w:tcMar>
            <w:vAlign w:val="center"/>
          </w:tcPr>
          <w:p>
            <w:pPr>
              <w:pStyle w:val="TableContents"/>
              <w:bidi w:val="0"/>
              <w:spacing w:before="0" w:after="283"/>
              <w:jc w:val="left"/>
              <w:rPr/>
            </w:pPr>
            <w:r>
              <w:rPr/>
              <w:t> </w:t>
            </w:r>
          </w:p>
        </w:tc>
      </w:tr>
      <w:tr>
        <w:trPr/>
        <w:tc>
          <w:tcPr>
            <w:tcW w:w="69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Mads Gorm Mullertz</w:t>
            </w:r>
          </w:p>
        </w:tc>
        <w:tc>
          <w:tcPr>
            <w:tcW w:w="75" w:type="dxa"/>
            <w:tcBorders/>
            <w:tcMar>
              <w:bottom w:w="0" w:type="dxa"/>
            </w:tcMar>
            <w:vAlign w:val="center"/>
          </w:tcPr>
          <w:p>
            <w:pPr>
              <w:pStyle w:val="TableContents"/>
              <w:bidi w:val="0"/>
              <w:spacing w:before="0" w:after="283"/>
              <w:jc w:val="left"/>
              <w:rPr/>
            </w:pPr>
            <w:r>
              <w:rPr/>
              <w:t> </w:t>
            </w:r>
          </w:p>
        </w:tc>
      </w:tr>
      <w:tr>
        <w:trPr/>
        <w:tc>
          <w:tcPr>
            <w:tcW w:w="69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260"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Director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5"/>
        <w:gridCol w:w="1535"/>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Torben Madsen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Torben Madsen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35" w:type="dxa"/>
            <w:tcBorders/>
            <w:vAlign w:val="center"/>
          </w:tcPr>
          <w:p>
            <w:pPr>
              <w:pStyle w:val="TableContents"/>
              <w:bidi w:val="0"/>
              <w:spacing w:before="0" w:after="283"/>
              <w:jc w:val="left"/>
              <w:rPr/>
            </w:pPr>
            <w:r>
              <w:rPr/>
              <w:t> </w:t>
            </w:r>
            <w:r>
              <w:rPr>
                <w:rFonts w:ascii="Times New Roman;Times;Serif" w:hAnsi="Times New Roman;Times;Serif"/>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882,863</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28" w:type="dxa"/>
          <w:right w:w="0" w:type="dxa"/>
        </w:tblCellMar>
      </w:tblPr>
      <w:tblGrid>
        <w:gridCol w:w="605"/>
        <w:gridCol w:w="2150"/>
        <w:gridCol w:w="75"/>
      </w:tblGrid>
      <w:tr>
        <w:trPr/>
        <w:tc>
          <w:tcPr>
            <w:tcW w:w="275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Fairmile Holdings, Inc.</w:t>
            </w:r>
          </w:p>
        </w:tc>
        <w:tc>
          <w:tcPr>
            <w:tcW w:w="75" w:type="dxa"/>
            <w:tcBorders/>
            <w:tcMar>
              <w:bottom w:w="0" w:type="dxa"/>
            </w:tcMar>
            <w:vAlign w:val="center"/>
          </w:tcPr>
          <w:p>
            <w:pPr>
              <w:pStyle w:val="TableContents"/>
              <w:bidi w:val="0"/>
              <w:spacing w:before="0" w:after="283"/>
              <w:jc w:val="left"/>
              <w:rPr/>
            </w:pPr>
            <w:r>
              <w:rPr/>
              <w:t> </w:t>
            </w:r>
          </w:p>
        </w:tc>
      </w:tr>
      <w:tr>
        <w:trPr/>
        <w:tc>
          <w:tcPr>
            <w:tcW w:w="275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Mads Gorm P. Mullertz</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Mads Gorm P. Mullertz</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50"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Director/Chairman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300,000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605"/>
        <w:gridCol w:w="2030"/>
        <w:gridCol w:w="75"/>
      </w:tblGrid>
      <w:tr>
        <w:trPr/>
        <w:tc>
          <w:tcPr>
            <w:tcW w:w="263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Christopher Hollyday</w:t>
            </w:r>
          </w:p>
        </w:tc>
        <w:tc>
          <w:tcPr>
            <w:tcW w:w="75" w:type="dxa"/>
            <w:tcBorders/>
            <w:tcMar>
              <w:bottom w:w="0" w:type="dxa"/>
            </w:tcMar>
            <w:vAlign w:val="center"/>
          </w:tcPr>
          <w:p>
            <w:pPr>
              <w:pStyle w:val="TableContents"/>
              <w:bidi w:val="0"/>
              <w:spacing w:before="0" w:after="283"/>
              <w:jc w:val="left"/>
              <w:rPr/>
            </w:pPr>
            <w:r>
              <w:rPr/>
              <w:t> </w:t>
            </w:r>
          </w:p>
        </w:tc>
      </w:tr>
      <w:tr>
        <w:trPr/>
        <w:tc>
          <w:tcPr>
            <w:tcW w:w="263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3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Hollyday</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Hollyday</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3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2,650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28" w:type="dxa"/>
          <w:right w:w="0" w:type="dxa"/>
        </w:tblCellMar>
      </w:tblPr>
      <w:tblGrid>
        <w:gridCol w:w="605"/>
        <w:gridCol w:w="2150"/>
        <w:gridCol w:w="75"/>
      </w:tblGrid>
      <w:tr>
        <w:trPr/>
        <w:tc>
          <w:tcPr>
            <w:tcW w:w="275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Fairmile Holdings, Inc.</w:t>
            </w:r>
          </w:p>
        </w:tc>
        <w:tc>
          <w:tcPr>
            <w:tcW w:w="75" w:type="dxa"/>
            <w:tcBorders/>
            <w:tcMar>
              <w:bottom w:w="0" w:type="dxa"/>
            </w:tcMar>
            <w:vAlign w:val="center"/>
          </w:tcPr>
          <w:p>
            <w:pPr>
              <w:pStyle w:val="TableContents"/>
              <w:bidi w:val="0"/>
              <w:spacing w:before="0" w:after="283"/>
              <w:jc w:val="left"/>
              <w:rPr/>
            </w:pPr>
            <w:r>
              <w:rPr/>
              <w:t> </w:t>
            </w:r>
          </w:p>
        </w:tc>
      </w:tr>
      <w:tr>
        <w:trPr/>
        <w:tc>
          <w:tcPr>
            <w:tcW w:w="275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215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Mads Gorm P. Mullertz</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Mads Gorm P. Mullertz</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50"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Director/Chairman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300,000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28" w:type="dxa"/>
          <w:right w:w="0" w:type="dxa"/>
        </w:tblCellMar>
      </w:tblPr>
      <w:tblGrid>
        <w:gridCol w:w="605"/>
        <w:gridCol w:w="1460"/>
        <w:gridCol w:w="75"/>
      </w:tblGrid>
      <w:tr>
        <w:trPr/>
        <w:tc>
          <w:tcPr>
            <w:tcW w:w="206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IEI Finans A/S</w:t>
            </w:r>
          </w:p>
        </w:tc>
        <w:tc>
          <w:tcPr>
            <w:tcW w:w="75" w:type="dxa"/>
            <w:tcBorders/>
            <w:tcMar>
              <w:bottom w:w="0" w:type="dxa"/>
            </w:tcMar>
            <w:vAlign w:val="center"/>
          </w:tcPr>
          <w:p>
            <w:pPr>
              <w:pStyle w:val="TableContents"/>
              <w:bidi w:val="0"/>
              <w:spacing w:before="0" w:after="283"/>
              <w:jc w:val="left"/>
              <w:rPr/>
            </w:pPr>
            <w:r>
              <w:rPr/>
              <w:t> </w:t>
            </w:r>
          </w:p>
        </w:tc>
      </w:tr>
      <w:tr>
        <w:trPr/>
        <w:tc>
          <w:tcPr>
            <w:tcW w:w="206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Klaus Skovsen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4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Klaus Skovsen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460"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CEO</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05"/>
        <w:gridCol w:w="1595"/>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Poul Kristiansen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Poul Kristiansen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95" w:type="dxa"/>
            <w:tcBorders/>
            <w:vAlign w:val="center"/>
          </w:tcPr>
          <w:p>
            <w:pPr>
              <w:pStyle w:val="TableContents"/>
              <w:bidi w:val="0"/>
              <w:spacing w:before="0" w:after="283"/>
              <w:jc w:val="left"/>
              <w:rPr/>
            </w:pPr>
            <w:r>
              <w:rPr/>
              <w:t> </w:t>
            </w:r>
            <w:r>
              <w:rPr>
                <w:rFonts w:ascii="Times New Roman;Times;Serif" w:hAnsi="Times New Roman;Times;Serif"/>
                <w:sz w:val="20"/>
              </w:rPr>
              <w:t>Member of Board</w:t>
            </w:r>
          </w:p>
        </w:tc>
        <w:tc>
          <w:tcPr>
            <w:tcW w:w="75"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605"/>
        <w:gridCol w:w="1505"/>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Jan Kristiansen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 Kristiansen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05" w:type="dxa"/>
            <w:tcBorders/>
            <w:vAlign w:val="center"/>
          </w:tcPr>
          <w:p>
            <w:pPr>
              <w:pStyle w:val="TableContents"/>
              <w:bidi w:val="0"/>
              <w:spacing w:before="0" w:after="283"/>
              <w:jc w:val="left"/>
              <w:rPr/>
            </w:pPr>
            <w:r>
              <w:rPr/>
              <w:t> </w:t>
            </w:r>
            <w:r>
              <w:rPr>
                <w:rFonts w:ascii="Times New Roman;Times;Serif" w:hAnsi="Times New Roman;Times;Serif"/>
                <w:sz w:val="20"/>
              </w:rPr>
              <w:t>Member of Board</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1,680,000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28" w:type="dxa"/>
          <w:right w:w="0" w:type="dxa"/>
        </w:tblCellMar>
      </w:tblPr>
      <w:tblGrid>
        <w:gridCol w:w="605"/>
        <w:gridCol w:w="1580"/>
        <w:gridCol w:w="75"/>
      </w:tblGrid>
      <w:tr>
        <w:trPr/>
        <w:tc>
          <w:tcPr>
            <w:tcW w:w="218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JeenJoo S. Kang</w:t>
            </w:r>
          </w:p>
        </w:tc>
        <w:tc>
          <w:tcPr>
            <w:tcW w:w="75" w:type="dxa"/>
            <w:tcBorders/>
            <w:tcMar>
              <w:bottom w:w="0" w:type="dxa"/>
            </w:tcMar>
            <w:vAlign w:val="center"/>
          </w:tcPr>
          <w:p>
            <w:pPr>
              <w:pStyle w:val="TableContents"/>
              <w:bidi w:val="0"/>
              <w:spacing w:before="0" w:after="283"/>
              <w:jc w:val="left"/>
              <w:rPr/>
            </w:pPr>
            <w:r>
              <w:rPr/>
              <w:t> </w:t>
            </w:r>
          </w:p>
        </w:tc>
      </w:tr>
      <w:tr>
        <w:trPr/>
        <w:tc>
          <w:tcPr>
            <w:tcW w:w="218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8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JeenJoo S. Kang</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JeenJoo S. Kang</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8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497</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28" w:type="dxa"/>
          <w:right w:w="0" w:type="dxa"/>
        </w:tblCellMar>
      </w:tblPr>
      <w:tblGrid>
        <w:gridCol w:w="605"/>
        <w:gridCol w:w="1250"/>
        <w:gridCol w:w="75"/>
      </w:tblGrid>
      <w:tr>
        <w:trPr/>
        <w:tc>
          <w:tcPr>
            <w:tcW w:w="185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Mikael Skaj</w:t>
            </w:r>
          </w:p>
        </w:tc>
        <w:tc>
          <w:tcPr>
            <w:tcW w:w="75" w:type="dxa"/>
            <w:tcBorders/>
            <w:tcMar>
              <w:bottom w:w="0" w:type="dxa"/>
            </w:tcMar>
            <w:vAlign w:val="center"/>
          </w:tcPr>
          <w:p>
            <w:pPr>
              <w:pStyle w:val="TableContents"/>
              <w:bidi w:val="0"/>
              <w:spacing w:before="0" w:after="283"/>
              <w:jc w:val="left"/>
              <w:rPr/>
            </w:pPr>
            <w:r>
              <w:rPr/>
              <w:t> </w:t>
            </w:r>
          </w:p>
        </w:tc>
      </w:tr>
      <w:tr>
        <w:trPr/>
        <w:tc>
          <w:tcPr>
            <w:tcW w:w="185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Mikael Skaj</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2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Mikael Skaj</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25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239,000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28" w:type="dxa"/>
          <w:right w:w="0" w:type="dxa"/>
        </w:tblCellMar>
      </w:tblPr>
      <w:tblGrid>
        <w:gridCol w:w="605"/>
        <w:gridCol w:w="1325"/>
        <w:gridCol w:w="75"/>
      </w:tblGrid>
      <w:tr>
        <w:trPr/>
        <w:tc>
          <w:tcPr>
            <w:tcW w:w="193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Tim Kutzkey</w:t>
            </w:r>
          </w:p>
        </w:tc>
        <w:tc>
          <w:tcPr>
            <w:tcW w:w="75" w:type="dxa"/>
            <w:tcBorders/>
            <w:tcMar>
              <w:bottom w:w="0" w:type="dxa"/>
            </w:tcMar>
            <w:vAlign w:val="center"/>
          </w:tcPr>
          <w:p>
            <w:pPr>
              <w:pStyle w:val="TableContents"/>
              <w:bidi w:val="0"/>
              <w:spacing w:before="0" w:after="283"/>
              <w:jc w:val="left"/>
              <w:rPr/>
            </w:pPr>
            <w:r>
              <w:rPr/>
              <w:t> </w:t>
            </w:r>
          </w:p>
        </w:tc>
      </w:tr>
      <w:tr>
        <w:trPr/>
        <w:tc>
          <w:tcPr>
            <w:tcW w:w="193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2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 Kutzkey</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3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 Kutzkey</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32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15,000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28" w:type="dxa"/>
          <w:right w:w="0" w:type="dxa"/>
        </w:tblCellMar>
      </w:tblPr>
      <w:tblGrid>
        <w:gridCol w:w="605"/>
        <w:gridCol w:w="1940"/>
        <w:gridCol w:w="75"/>
      </w:tblGrid>
      <w:tr>
        <w:trPr/>
        <w:tc>
          <w:tcPr>
            <w:tcW w:w="254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Betina Steen Isacson</w:t>
            </w:r>
          </w:p>
        </w:tc>
        <w:tc>
          <w:tcPr>
            <w:tcW w:w="75" w:type="dxa"/>
            <w:tcBorders/>
            <w:tcMar>
              <w:bottom w:w="0" w:type="dxa"/>
            </w:tcMar>
            <w:vAlign w:val="center"/>
          </w:tcPr>
          <w:p>
            <w:pPr>
              <w:pStyle w:val="TableContents"/>
              <w:bidi w:val="0"/>
              <w:spacing w:before="0" w:after="283"/>
              <w:jc w:val="left"/>
              <w:rPr/>
            </w:pPr>
            <w:r>
              <w:rPr/>
              <w:t> </w:t>
            </w:r>
          </w:p>
        </w:tc>
      </w:tr>
      <w:tr>
        <w:trPr/>
        <w:tc>
          <w:tcPr>
            <w:tcW w:w="254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Betina Steen Isacson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Betina Steen Isacson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4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22,095</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28" w:type="dxa"/>
          <w:right w:w="0" w:type="dxa"/>
        </w:tblCellMar>
      </w:tblPr>
      <w:tblGrid>
        <w:gridCol w:w="605"/>
        <w:gridCol w:w="1460"/>
        <w:gridCol w:w="75"/>
      </w:tblGrid>
      <w:tr>
        <w:trPr/>
        <w:tc>
          <w:tcPr>
            <w:tcW w:w="206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Pontus Isacson</w:t>
            </w:r>
          </w:p>
        </w:tc>
        <w:tc>
          <w:tcPr>
            <w:tcW w:w="75" w:type="dxa"/>
            <w:tcBorders/>
            <w:tcMar>
              <w:bottom w:w="0" w:type="dxa"/>
            </w:tcMar>
            <w:vAlign w:val="center"/>
          </w:tcPr>
          <w:p>
            <w:pPr>
              <w:pStyle w:val="TableContents"/>
              <w:bidi w:val="0"/>
              <w:spacing w:before="0" w:after="283"/>
              <w:jc w:val="left"/>
              <w:rPr/>
            </w:pPr>
            <w:r>
              <w:rPr/>
              <w:t> </w:t>
            </w:r>
          </w:p>
        </w:tc>
      </w:tr>
      <w:tr>
        <w:trPr/>
        <w:tc>
          <w:tcPr>
            <w:tcW w:w="206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Pontus Isacson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4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Pontus Isacson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4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36,200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28" w:type="dxa"/>
          <w:right w:w="0" w:type="dxa"/>
        </w:tblCellMar>
      </w:tblPr>
      <w:tblGrid>
        <w:gridCol w:w="605"/>
        <w:gridCol w:w="1295"/>
        <w:gridCol w:w="75"/>
      </w:tblGrid>
      <w:tr>
        <w:trPr/>
        <w:tc>
          <w:tcPr>
            <w:tcW w:w="190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Olga Isacson</w:t>
            </w:r>
          </w:p>
        </w:tc>
        <w:tc>
          <w:tcPr>
            <w:tcW w:w="75" w:type="dxa"/>
            <w:tcBorders/>
            <w:tcMar>
              <w:bottom w:w="0" w:type="dxa"/>
            </w:tcMar>
            <w:vAlign w:val="center"/>
          </w:tcPr>
          <w:p>
            <w:pPr>
              <w:pStyle w:val="TableContents"/>
              <w:bidi w:val="0"/>
              <w:spacing w:before="0" w:after="283"/>
              <w:jc w:val="left"/>
              <w:rPr/>
            </w:pPr>
            <w:r>
              <w:rPr/>
              <w:t> </w:t>
            </w:r>
          </w:p>
        </w:tc>
      </w:tr>
      <w:tr>
        <w:trPr/>
        <w:tc>
          <w:tcPr>
            <w:tcW w:w="190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2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Olga Isacson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2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Olga Isacson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29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750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28" w:type="dxa"/>
          <w:right w:w="0" w:type="dxa"/>
        </w:tblCellMar>
      </w:tblPr>
      <w:tblGrid>
        <w:gridCol w:w="605"/>
        <w:gridCol w:w="1955"/>
        <w:gridCol w:w="75"/>
      </w:tblGrid>
      <w:tr>
        <w:trPr/>
        <w:tc>
          <w:tcPr>
            <w:tcW w:w="256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Alterna Diversified S.A. SPF</w:t>
            </w:r>
          </w:p>
        </w:tc>
        <w:tc>
          <w:tcPr>
            <w:tcW w:w="75" w:type="dxa"/>
            <w:tcBorders/>
            <w:tcMar>
              <w:bottom w:w="0" w:type="dxa"/>
            </w:tcMar>
            <w:vAlign w:val="center"/>
          </w:tcPr>
          <w:p>
            <w:pPr>
              <w:pStyle w:val="TableContents"/>
              <w:bidi w:val="0"/>
              <w:spacing w:before="0" w:after="283"/>
              <w:jc w:val="left"/>
              <w:rPr/>
            </w:pPr>
            <w:r>
              <w:rPr/>
              <w:t> </w:t>
            </w:r>
          </w:p>
        </w:tc>
      </w:tr>
      <w:tr>
        <w:trPr/>
        <w:tc>
          <w:tcPr>
            <w:tcW w:w="25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Mads Gorm Mullertz</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Mads Gorm Mullertz</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Director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5"/>
        <w:gridCol w:w="1535"/>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Torben Madsen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Torben Madsen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35" w:type="dxa"/>
            <w:tcBorders/>
            <w:vAlign w:val="center"/>
          </w:tcPr>
          <w:p>
            <w:pPr>
              <w:pStyle w:val="TableContents"/>
              <w:bidi w:val="0"/>
              <w:spacing w:before="0" w:after="283"/>
              <w:jc w:val="left"/>
              <w:rPr/>
            </w:pPr>
            <w:r>
              <w:rPr/>
              <w:t> </w:t>
            </w:r>
            <w:r>
              <w:rPr>
                <w:rFonts w:ascii="Times New Roman;Times;Serif" w:hAnsi="Times New Roman;Times;Serif"/>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882,863</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tbl>
      <w:tblPr>
        <w:tblW w:w="2635" w:type="dxa"/>
        <w:jc w:val="left"/>
        <w:tblInd w:w="0" w:type="dxa"/>
        <w:tblLayout w:type="fixed"/>
        <w:tblCellMar>
          <w:top w:w="0" w:type="dxa"/>
          <w:left w:w="0" w:type="dxa"/>
          <w:bottom w:w="28" w:type="dxa"/>
          <w:right w:w="0" w:type="dxa"/>
        </w:tblCellMar>
      </w:tblPr>
      <w:tblGrid>
        <w:gridCol w:w="605"/>
        <w:gridCol w:w="1955"/>
        <w:gridCol w:w="75"/>
      </w:tblGrid>
      <w:tr>
        <w:trPr/>
        <w:tc>
          <w:tcPr>
            <w:tcW w:w="256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Alterna Invest S.A. SPF</w:t>
            </w:r>
          </w:p>
        </w:tc>
        <w:tc>
          <w:tcPr>
            <w:tcW w:w="75" w:type="dxa"/>
            <w:tcBorders/>
            <w:tcMar>
              <w:bottom w:w="0" w:type="dxa"/>
            </w:tcMar>
            <w:vAlign w:val="center"/>
          </w:tcPr>
          <w:p>
            <w:pPr>
              <w:pStyle w:val="TableContents"/>
              <w:bidi w:val="0"/>
              <w:spacing w:before="0" w:after="283"/>
              <w:jc w:val="left"/>
              <w:rPr/>
            </w:pPr>
            <w:r>
              <w:rPr/>
              <w:t> </w:t>
            </w:r>
          </w:p>
        </w:tc>
      </w:tr>
      <w:tr>
        <w:trPr/>
        <w:tc>
          <w:tcPr>
            <w:tcW w:w="25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Mads Gorm Mullertz</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Mads Gorm Mullertz</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Director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5"/>
        <w:gridCol w:w="1535"/>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Torben Madsen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Torben Madsen</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35" w:type="dxa"/>
            <w:tcBorders/>
            <w:vAlign w:val="center"/>
          </w:tcPr>
          <w:p>
            <w:pPr>
              <w:pStyle w:val="TableContents"/>
              <w:bidi w:val="0"/>
              <w:spacing w:before="0" w:after="283"/>
              <w:jc w:val="left"/>
              <w:rPr/>
            </w:pPr>
            <w:r>
              <w:rPr/>
              <w:t> </w:t>
            </w:r>
            <w:r>
              <w:rPr>
                <w:rFonts w:ascii="Times New Roman;Times;Serif" w:hAnsi="Times New Roman;Times;Serif"/>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1,324,294</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28" w:type="dxa"/>
          <w:right w:w="0" w:type="dxa"/>
        </w:tblCellMar>
      </w:tblPr>
      <w:tblGrid>
        <w:gridCol w:w="605"/>
        <w:gridCol w:w="1700"/>
        <w:gridCol w:w="75"/>
      </w:tblGrid>
      <w:tr>
        <w:trPr/>
        <w:tc>
          <w:tcPr>
            <w:tcW w:w="230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William J. Rieflin</w:t>
            </w:r>
          </w:p>
        </w:tc>
        <w:tc>
          <w:tcPr>
            <w:tcW w:w="75" w:type="dxa"/>
            <w:tcBorders/>
            <w:tcMar>
              <w:bottom w:w="0" w:type="dxa"/>
            </w:tcMar>
            <w:vAlign w:val="center"/>
          </w:tcPr>
          <w:p>
            <w:pPr>
              <w:pStyle w:val="TableContents"/>
              <w:bidi w:val="0"/>
              <w:spacing w:before="0" w:after="283"/>
              <w:jc w:val="left"/>
              <w:rPr/>
            </w:pPr>
            <w:r>
              <w:rPr/>
              <w:t> </w:t>
            </w:r>
          </w:p>
        </w:tc>
      </w:tr>
      <w:tr>
        <w:trPr/>
        <w:tc>
          <w:tcPr>
            <w:tcW w:w="230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J. Rieflin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Rieflin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70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2,774,340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28" w:type="dxa"/>
          <w:right w:w="0" w:type="dxa"/>
        </w:tblCellMar>
      </w:tblPr>
      <w:tblGrid>
        <w:gridCol w:w="605"/>
        <w:gridCol w:w="1715"/>
        <w:gridCol w:w="75"/>
      </w:tblGrid>
      <w:tr>
        <w:trPr/>
        <w:tc>
          <w:tcPr>
            <w:tcW w:w="232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Goeddel 2004 Trust</w:t>
            </w:r>
          </w:p>
        </w:tc>
        <w:tc>
          <w:tcPr>
            <w:tcW w:w="75" w:type="dxa"/>
            <w:tcBorders/>
            <w:tcMar>
              <w:bottom w:w="0" w:type="dxa"/>
            </w:tcMar>
            <w:vAlign w:val="center"/>
          </w:tcPr>
          <w:p>
            <w:pPr>
              <w:pStyle w:val="TableContents"/>
              <w:bidi w:val="0"/>
              <w:spacing w:before="0" w:after="283"/>
              <w:jc w:val="left"/>
              <w:rPr/>
            </w:pPr>
            <w:r>
              <w:rPr/>
              <w:t> </w:t>
            </w:r>
          </w:p>
        </w:tc>
      </w:tr>
      <w:tr>
        <w:trPr/>
        <w:tc>
          <w:tcPr>
            <w:tcW w:w="23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1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V. Goeddel</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V. Goeddel</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71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Trustee</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164,180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28" w:type="dxa"/>
          <w:right w:w="0" w:type="dxa"/>
        </w:tblCellMar>
      </w:tblPr>
      <w:tblGrid>
        <w:gridCol w:w="767"/>
        <w:gridCol w:w="2177"/>
        <w:gridCol w:w="75"/>
      </w:tblGrid>
      <w:tr>
        <w:trPr/>
        <w:tc>
          <w:tcPr>
            <w:tcW w:w="2944"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Alena Z. Goeddel Irrevocable Trust</w:t>
            </w:r>
          </w:p>
        </w:tc>
        <w:tc>
          <w:tcPr>
            <w:tcW w:w="75" w:type="dxa"/>
            <w:tcBorders/>
            <w:tcMar>
              <w:bottom w:w="0" w:type="dxa"/>
            </w:tcMar>
            <w:vAlign w:val="center"/>
          </w:tcPr>
          <w:p>
            <w:pPr>
              <w:pStyle w:val="TableContents"/>
              <w:bidi w:val="0"/>
              <w:spacing w:before="0" w:after="283"/>
              <w:jc w:val="left"/>
              <w:rPr/>
            </w:pPr>
            <w:r>
              <w:rPr/>
              <w:t> </w:t>
            </w:r>
          </w:p>
        </w:tc>
      </w:tr>
      <w:tr>
        <w:trPr/>
        <w:tc>
          <w:tcPr>
            <w:tcW w:w="294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r>
              <w:rPr/>
              <w:t> </w:t>
            </w:r>
          </w:p>
        </w:tc>
        <w:tc>
          <w:tcPr>
            <w:tcW w:w="2177"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77"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V. Goeddel</w:t>
            </w:r>
          </w:p>
        </w:tc>
        <w:tc>
          <w:tcPr>
            <w:tcW w:w="75"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17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V. Goeddel</w:t>
            </w:r>
          </w:p>
        </w:tc>
        <w:tc>
          <w:tcPr>
            <w:tcW w:w="75"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77"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Trustee</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110,000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99" w:type="dxa"/>
        <w:jc w:val="left"/>
        <w:tblInd w:w="0" w:type="dxa"/>
        <w:tblLayout w:type="fixed"/>
        <w:tblCellMar>
          <w:top w:w="0" w:type="dxa"/>
          <w:left w:w="0" w:type="dxa"/>
          <w:bottom w:w="28" w:type="dxa"/>
          <w:right w:w="0" w:type="dxa"/>
        </w:tblCellMar>
      </w:tblPr>
      <w:tblGrid>
        <w:gridCol w:w="893"/>
        <w:gridCol w:w="2531"/>
        <w:gridCol w:w="75"/>
      </w:tblGrid>
      <w:tr>
        <w:trPr/>
        <w:tc>
          <w:tcPr>
            <w:tcW w:w="3424"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David V. Goeddel Goeddel Rollover IRA</w:t>
            </w:r>
          </w:p>
        </w:tc>
        <w:tc>
          <w:tcPr>
            <w:tcW w:w="75" w:type="dxa"/>
            <w:tcBorders/>
            <w:tcMar>
              <w:bottom w:w="0" w:type="dxa"/>
            </w:tcMar>
            <w:vAlign w:val="center"/>
          </w:tcPr>
          <w:p>
            <w:pPr>
              <w:pStyle w:val="TableContents"/>
              <w:bidi w:val="0"/>
              <w:spacing w:before="0" w:after="283"/>
              <w:jc w:val="left"/>
              <w:rPr/>
            </w:pPr>
            <w:r>
              <w:rPr/>
              <w:t> </w:t>
            </w:r>
          </w:p>
        </w:tc>
      </w:tr>
      <w:tr>
        <w:trPr/>
        <w:tc>
          <w:tcPr>
            <w:tcW w:w="342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893" w:type="dxa"/>
            <w:tcBorders/>
            <w:tcMar>
              <w:bottom w:w="0" w:type="dxa"/>
            </w:tcMar>
            <w:vAlign w:val="center"/>
          </w:tcPr>
          <w:p>
            <w:pPr>
              <w:pStyle w:val="TableContents"/>
              <w:bidi w:val="0"/>
              <w:spacing w:before="0" w:after="283"/>
              <w:jc w:val="left"/>
              <w:rPr/>
            </w:pPr>
            <w:r>
              <w:rPr/>
              <w:t> </w:t>
            </w:r>
          </w:p>
        </w:tc>
        <w:tc>
          <w:tcPr>
            <w:tcW w:w="2531"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8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31"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V. Goeddel</w:t>
            </w:r>
          </w:p>
        </w:tc>
        <w:tc>
          <w:tcPr>
            <w:tcW w:w="75" w:type="dxa"/>
            <w:tcBorders/>
            <w:tcMar>
              <w:bottom w:w="0" w:type="dxa"/>
            </w:tcMar>
            <w:vAlign w:val="center"/>
          </w:tcPr>
          <w:p>
            <w:pPr>
              <w:pStyle w:val="TableContents"/>
              <w:bidi w:val="0"/>
              <w:spacing w:before="0" w:after="283"/>
              <w:jc w:val="left"/>
              <w:rPr/>
            </w:pPr>
            <w:r>
              <w:rPr/>
              <w:t> </w:t>
            </w:r>
          </w:p>
        </w:tc>
      </w:tr>
      <w:tr>
        <w:trPr/>
        <w:tc>
          <w:tcPr>
            <w:tcW w:w="8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53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V. Goeddel</w:t>
            </w:r>
          </w:p>
        </w:tc>
        <w:tc>
          <w:tcPr>
            <w:tcW w:w="75" w:type="dxa"/>
            <w:tcBorders/>
            <w:tcMar>
              <w:bottom w:w="0" w:type="dxa"/>
            </w:tcMar>
            <w:vAlign w:val="center"/>
          </w:tcPr>
          <w:p>
            <w:pPr>
              <w:pStyle w:val="TableContents"/>
              <w:bidi w:val="0"/>
              <w:spacing w:before="0" w:after="283"/>
              <w:jc w:val="left"/>
              <w:rPr/>
            </w:pPr>
            <w:r>
              <w:rPr/>
              <w:t> </w:t>
            </w:r>
          </w:p>
        </w:tc>
      </w:tr>
      <w:tr>
        <w:trPr/>
        <w:tc>
          <w:tcPr>
            <w:tcW w:w="8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31"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50,000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28" w:type="dxa"/>
          <w:right w:w="0" w:type="dxa"/>
        </w:tblCellMar>
      </w:tblPr>
      <w:tblGrid>
        <w:gridCol w:w="605"/>
        <w:gridCol w:w="4955"/>
        <w:gridCol w:w="75"/>
      </w:tblGrid>
      <w:tr>
        <w:trPr/>
        <w:tc>
          <w:tcPr>
            <w:tcW w:w="556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Freedom Capital Ventures Limited</w:t>
            </w:r>
          </w:p>
        </w:tc>
        <w:tc>
          <w:tcPr>
            <w:tcW w:w="75" w:type="dxa"/>
            <w:tcBorders/>
            <w:tcMar>
              <w:bottom w:w="0" w:type="dxa"/>
            </w:tcMar>
            <w:vAlign w:val="center"/>
          </w:tcPr>
          <w:p>
            <w:pPr>
              <w:pStyle w:val="TableContents"/>
              <w:bidi w:val="0"/>
              <w:spacing w:before="0" w:after="283"/>
              <w:jc w:val="left"/>
              <w:rPr/>
            </w:pPr>
            <w:r>
              <w:rPr/>
              <w:t> </w:t>
            </w:r>
          </w:p>
        </w:tc>
      </w:tr>
      <w:tr>
        <w:trPr/>
        <w:tc>
          <w:tcPr>
            <w:tcW w:w="55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Monique Miller</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Monique Miller</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of Euclidean Capital LLC, its Manager</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245,494</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84" w:type="dxa"/>
        <w:jc w:val="left"/>
        <w:tblInd w:w="0" w:type="dxa"/>
        <w:tblLayout w:type="fixed"/>
        <w:tblCellMar>
          <w:top w:w="0" w:type="dxa"/>
          <w:left w:w="0" w:type="dxa"/>
          <w:bottom w:w="28" w:type="dxa"/>
          <w:right w:w="0" w:type="dxa"/>
        </w:tblCellMar>
      </w:tblPr>
      <w:tblGrid>
        <w:gridCol w:w="767"/>
        <w:gridCol w:w="2042"/>
        <w:gridCol w:w="75"/>
      </w:tblGrid>
      <w:tr>
        <w:trPr/>
        <w:tc>
          <w:tcPr>
            <w:tcW w:w="2809"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Purple Mountain Capital Limited</w:t>
            </w:r>
          </w:p>
        </w:tc>
        <w:tc>
          <w:tcPr>
            <w:tcW w:w="75" w:type="dxa"/>
            <w:tcBorders/>
            <w:tcMar>
              <w:bottom w:w="0" w:type="dxa"/>
            </w:tcMar>
            <w:vAlign w:val="center"/>
          </w:tcPr>
          <w:p>
            <w:pPr>
              <w:pStyle w:val="TableContents"/>
              <w:bidi w:val="0"/>
              <w:spacing w:before="0" w:after="283"/>
              <w:jc w:val="left"/>
              <w:rPr/>
            </w:pPr>
            <w:r>
              <w:rPr/>
              <w:t> </w:t>
            </w:r>
          </w:p>
        </w:tc>
      </w:tr>
      <w:tr>
        <w:trPr/>
        <w:tc>
          <w:tcPr>
            <w:tcW w:w="280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pPr>
            <w:r>
              <w:rPr/>
              <w:t> </w:t>
            </w:r>
          </w:p>
        </w:tc>
        <w:tc>
          <w:tcPr>
            <w:tcW w:w="2042"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42"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Cosmai</w:t>
            </w:r>
          </w:p>
        </w:tc>
        <w:tc>
          <w:tcPr>
            <w:tcW w:w="75"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4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Cosmai</w:t>
            </w:r>
          </w:p>
        </w:tc>
        <w:tc>
          <w:tcPr>
            <w:tcW w:w="75" w:type="dxa"/>
            <w:tcBorders/>
            <w:tcMar>
              <w:bottom w:w="0" w:type="dxa"/>
            </w:tcMar>
            <w:vAlign w:val="center"/>
          </w:tcPr>
          <w:p>
            <w:pPr>
              <w:pStyle w:val="TableContents"/>
              <w:bidi w:val="0"/>
              <w:spacing w:before="0" w:after="283"/>
              <w:jc w:val="left"/>
              <w:rPr/>
            </w:pPr>
            <w:r>
              <w:rPr/>
              <w:t> </w:t>
            </w:r>
          </w:p>
        </w:tc>
      </w:tr>
      <w:tr>
        <w:trPr/>
        <w:tc>
          <w:tcPr>
            <w:tcW w:w="76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42"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Assistant Secretary</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208,567</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28" w:type="dxa"/>
          <w:right w:w="0" w:type="dxa"/>
        </w:tblCellMar>
      </w:tblPr>
      <w:tblGrid>
        <w:gridCol w:w="605"/>
        <w:gridCol w:w="4955"/>
        <w:gridCol w:w="75"/>
      </w:tblGrid>
      <w:tr>
        <w:trPr/>
        <w:tc>
          <w:tcPr>
            <w:tcW w:w="556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Symmetry Group Ltd.</w:t>
            </w:r>
          </w:p>
        </w:tc>
        <w:tc>
          <w:tcPr>
            <w:tcW w:w="75" w:type="dxa"/>
            <w:tcBorders/>
            <w:tcMar>
              <w:bottom w:w="0" w:type="dxa"/>
            </w:tcMar>
            <w:vAlign w:val="center"/>
          </w:tcPr>
          <w:p>
            <w:pPr>
              <w:pStyle w:val="TableContents"/>
              <w:bidi w:val="0"/>
              <w:spacing w:before="0" w:after="283"/>
              <w:jc w:val="left"/>
              <w:rPr/>
            </w:pPr>
            <w:r>
              <w:rPr/>
              <w:t> </w:t>
            </w:r>
          </w:p>
        </w:tc>
      </w:tr>
      <w:tr>
        <w:trPr/>
        <w:tc>
          <w:tcPr>
            <w:tcW w:w="55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Monique Miller</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Monique Miller</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of Euclidean Capital LLC, its Manager</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746,674</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28" w:type="dxa"/>
          <w:right w:w="0" w:type="dxa"/>
        </w:tblCellMar>
      </w:tblPr>
      <w:tblGrid>
        <w:gridCol w:w="605"/>
        <w:gridCol w:w="1130"/>
        <w:gridCol w:w="75"/>
      </w:tblGrid>
      <w:tr>
        <w:trPr/>
        <w:tc>
          <w:tcPr>
            <w:tcW w:w="173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Karina Tin</w:t>
            </w:r>
          </w:p>
        </w:tc>
        <w:tc>
          <w:tcPr>
            <w:tcW w:w="75" w:type="dxa"/>
            <w:tcBorders/>
            <w:tcMar>
              <w:bottom w:w="0" w:type="dxa"/>
            </w:tcMar>
            <w:vAlign w:val="center"/>
          </w:tcPr>
          <w:p>
            <w:pPr>
              <w:pStyle w:val="TableContents"/>
              <w:bidi w:val="0"/>
              <w:spacing w:before="0" w:after="283"/>
              <w:jc w:val="left"/>
              <w:rPr/>
            </w:pPr>
            <w:r>
              <w:rPr/>
              <w:t> </w:t>
            </w:r>
          </w:p>
        </w:tc>
      </w:tr>
      <w:tr>
        <w:trPr/>
        <w:tc>
          <w:tcPr>
            <w:tcW w:w="173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3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Karina Tin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130" w:type="dxa"/>
            <w:tcBorders/>
            <w:tcMar>
              <w:bottom w:w="0" w:type="dxa"/>
            </w:tcMar>
            <w:vAlign w:val="center"/>
          </w:tcPr>
          <w:p>
            <w:pPr>
              <w:pStyle w:val="TableContents"/>
              <w:bidi w:val="0"/>
              <w:spacing w:before="0" w:after="283"/>
              <w:jc w:val="left"/>
              <w:rPr/>
            </w:pPr>
            <w:r>
              <w:rPr/>
              <w:t>Karina Tin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13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700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28" w:type="dxa"/>
          <w:right w:w="0" w:type="dxa"/>
        </w:tblCellMar>
      </w:tblPr>
      <w:tblGrid>
        <w:gridCol w:w="605"/>
        <w:gridCol w:w="2315"/>
        <w:gridCol w:w="75"/>
      </w:tblGrid>
      <w:tr>
        <w:trPr/>
        <w:tc>
          <w:tcPr>
            <w:tcW w:w="2920"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Stanhope Investments</w:t>
            </w:r>
          </w:p>
        </w:tc>
        <w:tc>
          <w:tcPr>
            <w:tcW w:w="75" w:type="dxa"/>
            <w:tcBorders/>
            <w:tcMar>
              <w:bottom w:w="0" w:type="dxa"/>
            </w:tcMar>
            <w:vAlign w:val="center"/>
          </w:tcPr>
          <w:p>
            <w:pPr>
              <w:pStyle w:val="TableContents"/>
              <w:bidi w:val="0"/>
              <w:spacing w:before="0" w:after="283"/>
              <w:jc w:val="left"/>
              <w:rPr/>
            </w:pPr>
            <w:r>
              <w:rPr/>
              <w:t> </w:t>
            </w:r>
          </w:p>
        </w:tc>
      </w:tr>
      <w:tr>
        <w:trPr/>
        <w:tc>
          <w:tcPr>
            <w:tcW w:w="29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231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Salem Mohamed Alameri</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Salem Mohamed Alameri</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31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Director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4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605"/>
        <w:gridCol w:w="1460"/>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Athra Al Zaabi</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Athra Al Zaabi</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460" w:type="dxa"/>
            <w:tcBorders/>
            <w:vAlign w:val="center"/>
          </w:tcPr>
          <w:p>
            <w:pPr>
              <w:pStyle w:val="TableContents"/>
              <w:bidi w:val="0"/>
              <w:spacing w:before="0" w:after="283"/>
              <w:jc w:val="left"/>
              <w:rPr/>
            </w:pPr>
            <w:r>
              <w:rPr/>
              <w:t> </w:t>
            </w:r>
            <w:r>
              <w:rPr>
                <w:rFonts w:ascii="Times New Roman;Times;Serif" w:hAnsi="Times New Roman;Times;Serif"/>
                <w:sz w:val="20"/>
              </w:rPr>
              <w:t>Director</w:t>
            </w:r>
          </w:p>
        </w:tc>
        <w:tc>
          <w:tcPr>
            <w:tcW w:w="75" w:type="dxa"/>
            <w:tcBorders/>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2,083,333</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28" w:type="dxa"/>
          <w:right w:w="0" w:type="dxa"/>
        </w:tblCellMar>
      </w:tblPr>
      <w:tblGrid>
        <w:gridCol w:w="605"/>
        <w:gridCol w:w="1475"/>
        <w:gridCol w:w="75"/>
      </w:tblGrid>
      <w:tr>
        <w:trPr/>
        <w:tc>
          <w:tcPr>
            <w:tcW w:w="2080"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Jin-Long Chen</w:t>
            </w:r>
          </w:p>
        </w:tc>
        <w:tc>
          <w:tcPr>
            <w:tcW w:w="75" w:type="dxa"/>
            <w:tcBorders/>
            <w:tcMar>
              <w:bottom w:w="0" w:type="dxa"/>
            </w:tcMar>
            <w:vAlign w:val="center"/>
          </w:tcPr>
          <w:p>
            <w:pPr>
              <w:pStyle w:val="TableContents"/>
              <w:bidi w:val="0"/>
              <w:spacing w:before="0" w:after="283"/>
              <w:jc w:val="left"/>
              <w:rPr/>
            </w:pPr>
            <w:r>
              <w:rPr/>
              <w:t> </w:t>
            </w:r>
          </w:p>
        </w:tc>
      </w:tr>
      <w:tr>
        <w:trPr/>
        <w:tc>
          <w:tcPr>
            <w:tcW w:w="208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7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Jin-Long Chen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4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Jin-Long Chen</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47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400,000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74" w:type="dxa"/>
        <w:jc w:val="left"/>
        <w:tblInd w:w="0" w:type="dxa"/>
        <w:tblLayout w:type="fixed"/>
        <w:tblCellMar>
          <w:top w:w="0" w:type="dxa"/>
          <w:left w:w="0" w:type="dxa"/>
          <w:bottom w:w="28" w:type="dxa"/>
          <w:right w:w="0" w:type="dxa"/>
        </w:tblCellMar>
      </w:tblPr>
      <w:tblGrid>
        <w:gridCol w:w="660"/>
        <w:gridCol w:w="1939"/>
        <w:gridCol w:w="75"/>
      </w:tblGrid>
      <w:tr>
        <w:trPr/>
        <w:tc>
          <w:tcPr>
            <w:tcW w:w="2599"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Lynx1 Capital Management LP</w:t>
            </w:r>
          </w:p>
        </w:tc>
        <w:tc>
          <w:tcPr>
            <w:tcW w:w="75" w:type="dxa"/>
            <w:tcBorders/>
            <w:tcMar>
              <w:bottom w:w="0" w:type="dxa"/>
            </w:tcMar>
            <w:vAlign w:val="center"/>
          </w:tcPr>
          <w:p>
            <w:pPr>
              <w:pStyle w:val="TableContents"/>
              <w:bidi w:val="0"/>
              <w:spacing w:before="0" w:after="283"/>
              <w:jc w:val="left"/>
              <w:rPr/>
            </w:pPr>
            <w:r>
              <w:rPr/>
              <w:t> </w:t>
            </w:r>
          </w:p>
        </w:tc>
      </w:tr>
      <w:tr>
        <w:trPr/>
        <w:tc>
          <w:tcPr>
            <w:tcW w:w="259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0" w:type="dxa"/>
            <w:tcBorders/>
            <w:tcMar>
              <w:bottom w:w="0" w:type="dxa"/>
            </w:tcMar>
            <w:vAlign w:val="center"/>
          </w:tcPr>
          <w:p>
            <w:pPr>
              <w:pStyle w:val="TableContents"/>
              <w:bidi w:val="0"/>
              <w:spacing w:before="0" w:after="283"/>
              <w:jc w:val="left"/>
              <w:rPr/>
            </w:pPr>
            <w:r>
              <w:rPr/>
              <w:t> </w:t>
            </w:r>
          </w:p>
        </w:tc>
        <w:tc>
          <w:tcPr>
            <w:tcW w:w="1939"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39"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Weston A. Nichols</w:t>
            </w:r>
          </w:p>
        </w:tc>
        <w:tc>
          <w:tcPr>
            <w:tcW w:w="75" w:type="dxa"/>
            <w:tcBorders/>
            <w:tcMar>
              <w:bottom w:w="0" w:type="dxa"/>
            </w:tcMar>
            <w:vAlign w:val="center"/>
          </w:tcPr>
          <w:p>
            <w:pPr>
              <w:pStyle w:val="TableContents"/>
              <w:bidi w:val="0"/>
              <w:spacing w:before="0" w:after="283"/>
              <w:jc w:val="left"/>
              <w:rPr/>
            </w:pPr>
            <w:r>
              <w:rPr/>
              <w:t> </w:t>
            </w:r>
          </w:p>
        </w:tc>
      </w:tr>
      <w:tr>
        <w:trPr/>
        <w:tc>
          <w:tcPr>
            <w:tcW w:w="6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3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Weston A. Nichols</w:t>
            </w:r>
          </w:p>
        </w:tc>
        <w:tc>
          <w:tcPr>
            <w:tcW w:w="75" w:type="dxa"/>
            <w:tcBorders/>
            <w:tcMar>
              <w:bottom w:w="0" w:type="dxa"/>
            </w:tcMar>
            <w:vAlign w:val="center"/>
          </w:tcPr>
          <w:p>
            <w:pPr>
              <w:pStyle w:val="TableContents"/>
              <w:bidi w:val="0"/>
              <w:spacing w:before="0" w:after="283"/>
              <w:jc w:val="left"/>
              <w:rPr/>
            </w:pPr>
            <w:r>
              <w:rPr/>
              <w:t> </w:t>
            </w:r>
          </w:p>
        </w:tc>
      </w:tr>
      <w:tr>
        <w:trPr/>
        <w:tc>
          <w:tcPr>
            <w:tcW w:w="6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39"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Managing Partner</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931,546</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 Lynx1 Capital Management LP </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28" w:type="dxa"/>
          <w:right w:w="0" w:type="dxa"/>
        </w:tblCellMar>
      </w:tblPr>
      <w:tblGrid>
        <w:gridCol w:w="605"/>
        <w:gridCol w:w="2285"/>
        <w:gridCol w:w="75"/>
      </w:tblGrid>
      <w:tr>
        <w:trPr/>
        <w:tc>
          <w:tcPr>
            <w:tcW w:w="2890"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Tichenor Ventures, LLC</w:t>
            </w:r>
          </w:p>
        </w:tc>
        <w:tc>
          <w:tcPr>
            <w:tcW w:w="75" w:type="dxa"/>
            <w:tcBorders/>
            <w:tcMar>
              <w:bottom w:w="0" w:type="dxa"/>
            </w:tcMar>
            <w:vAlign w:val="center"/>
          </w:tcPr>
          <w:p>
            <w:pPr>
              <w:pStyle w:val="TableContents"/>
              <w:bidi w:val="0"/>
              <w:spacing w:before="0" w:after="283"/>
              <w:jc w:val="left"/>
              <w:rPr/>
            </w:pPr>
            <w:r>
              <w:rPr/>
              <w:t> </w:t>
            </w:r>
          </w:p>
        </w:tc>
      </w:tr>
      <w:tr>
        <w:trPr/>
        <w:tc>
          <w:tcPr>
            <w:tcW w:w="289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228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McHenry T. Tichenor, Jr.</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McHenry T. Tichenor, Jr.</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28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President</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1,522,314</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28" w:type="dxa"/>
          <w:right w:w="0" w:type="dxa"/>
        </w:tblCellMar>
      </w:tblPr>
      <w:tblGrid>
        <w:gridCol w:w="605"/>
        <w:gridCol w:w="1700"/>
        <w:gridCol w:w="75"/>
      </w:tblGrid>
      <w:tr>
        <w:trPr/>
        <w:tc>
          <w:tcPr>
            <w:tcW w:w="2305"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63019 Holdings, LLC</w:t>
            </w:r>
          </w:p>
        </w:tc>
        <w:tc>
          <w:tcPr>
            <w:tcW w:w="75" w:type="dxa"/>
            <w:tcBorders/>
            <w:tcMar>
              <w:bottom w:w="0" w:type="dxa"/>
            </w:tcMar>
            <w:vAlign w:val="center"/>
          </w:tcPr>
          <w:p>
            <w:pPr>
              <w:pStyle w:val="TableContents"/>
              <w:bidi w:val="0"/>
              <w:spacing w:before="0" w:after="283"/>
              <w:jc w:val="left"/>
              <w:rPr/>
            </w:pPr>
            <w:r>
              <w:rPr/>
              <w:t> </w:t>
            </w:r>
          </w:p>
        </w:tc>
      </w:tr>
      <w:tr>
        <w:trPr/>
        <w:tc>
          <w:tcPr>
            <w:tcW w:w="230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70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Mulderry</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Mulderry</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700"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Authorized Person</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53,360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854" w:type="dxa"/>
        <w:jc w:val="left"/>
        <w:tblInd w:w="0" w:type="dxa"/>
        <w:tblLayout w:type="fixed"/>
        <w:tblCellMar>
          <w:top w:w="0" w:type="dxa"/>
          <w:left w:w="0" w:type="dxa"/>
          <w:bottom w:w="28" w:type="dxa"/>
          <w:right w:w="0" w:type="dxa"/>
        </w:tblCellMar>
      </w:tblPr>
      <w:tblGrid>
        <w:gridCol w:w="729"/>
        <w:gridCol w:w="2050"/>
        <w:gridCol w:w="75"/>
      </w:tblGrid>
      <w:tr>
        <w:trPr/>
        <w:tc>
          <w:tcPr>
            <w:tcW w:w="2779"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91313 Investment Holdings LLC</w:t>
            </w:r>
          </w:p>
        </w:tc>
        <w:tc>
          <w:tcPr>
            <w:tcW w:w="75" w:type="dxa"/>
            <w:tcBorders/>
            <w:tcMar>
              <w:bottom w:w="0" w:type="dxa"/>
            </w:tcMar>
            <w:vAlign w:val="center"/>
          </w:tcPr>
          <w:p>
            <w:pPr>
              <w:pStyle w:val="TableContents"/>
              <w:bidi w:val="0"/>
              <w:spacing w:before="0" w:after="283"/>
              <w:jc w:val="left"/>
              <w:rPr/>
            </w:pPr>
            <w:r>
              <w:rPr/>
              <w:t> </w:t>
            </w:r>
          </w:p>
        </w:tc>
      </w:tr>
      <w:tr>
        <w:trPr/>
        <w:tc>
          <w:tcPr>
            <w:tcW w:w="277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29" w:type="dxa"/>
            <w:tcBorders/>
            <w:tcMar>
              <w:bottom w:w="0" w:type="dxa"/>
            </w:tcMar>
            <w:vAlign w:val="center"/>
          </w:tcPr>
          <w:p>
            <w:pPr>
              <w:pStyle w:val="TableContents"/>
              <w:bidi w:val="0"/>
              <w:spacing w:before="0" w:after="283"/>
              <w:jc w:val="left"/>
              <w:rPr/>
            </w:pPr>
            <w:r>
              <w:rPr/>
              <w:t> </w:t>
            </w:r>
          </w:p>
        </w:tc>
        <w:tc>
          <w:tcPr>
            <w:tcW w:w="205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Mulderry</w:t>
            </w:r>
          </w:p>
        </w:tc>
        <w:tc>
          <w:tcPr>
            <w:tcW w:w="75" w:type="dxa"/>
            <w:tcBorders/>
            <w:tcMar>
              <w:bottom w:w="0" w:type="dxa"/>
            </w:tcMar>
            <w:vAlign w:val="center"/>
          </w:tcPr>
          <w:p>
            <w:pPr>
              <w:pStyle w:val="TableContents"/>
              <w:bidi w:val="0"/>
              <w:spacing w:before="0" w:after="283"/>
              <w:jc w:val="left"/>
              <w:rPr/>
            </w:pPr>
            <w:r>
              <w:rPr/>
              <w:t> </w:t>
            </w:r>
          </w:p>
        </w:tc>
      </w:tr>
      <w:tr>
        <w:trPr/>
        <w:tc>
          <w:tcPr>
            <w:tcW w:w="7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Mulderry</w:t>
            </w:r>
          </w:p>
        </w:tc>
        <w:tc>
          <w:tcPr>
            <w:tcW w:w="75" w:type="dxa"/>
            <w:tcBorders/>
            <w:tcMar>
              <w:bottom w:w="0" w:type="dxa"/>
            </w:tcMar>
            <w:vAlign w:val="center"/>
          </w:tcPr>
          <w:p>
            <w:pPr>
              <w:pStyle w:val="TableContents"/>
              <w:bidi w:val="0"/>
              <w:spacing w:before="0" w:after="283"/>
              <w:jc w:val="left"/>
              <w:rPr/>
            </w:pPr>
            <w:r>
              <w:rPr/>
              <w:t> </w:t>
            </w:r>
          </w:p>
        </w:tc>
      </w:tr>
      <w:tr>
        <w:trPr/>
        <w:tc>
          <w:tcPr>
            <w:tcW w:w="72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50"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Authorized Person</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111,660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29" w:type="dxa"/>
        <w:jc w:val="left"/>
        <w:tblInd w:w="0" w:type="dxa"/>
        <w:tblLayout w:type="fixed"/>
        <w:tblCellMar>
          <w:top w:w="0" w:type="dxa"/>
          <w:left w:w="0" w:type="dxa"/>
          <w:bottom w:w="28" w:type="dxa"/>
          <w:right w:w="0" w:type="dxa"/>
        </w:tblCellMar>
      </w:tblPr>
      <w:tblGrid>
        <w:gridCol w:w="906"/>
        <w:gridCol w:w="2548"/>
        <w:gridCol w:w="75"/>
      </w:tblGrid>
      <w:tr>
        <w:trPr/>
        <w:tc>
          <w:tcPr>
            <w:tcW w:w="3454"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Willett Select Investors (Tax Exempt) I LP</w:t>
            </w:r>
          </w:p>
        </w:tc>
        <w:tc>
          <w:tcPr>
            <w:tcW w:w="75" w:type="dxa"/>
            <w:tcBorders/>
            <w:tcMar>
              <w:bottom w:w="0" w:type="dxa"/>
            </w:tcMar>
            <w:vAlign w:val="center"/>
          </w:tcPr>
          <w:p>
            <w:pPr>
              <w:pStyle w:val="TableContents"/>
              <w:bidi w:val="0"/>
              <w:spacing w:before="0" w:after="283"/>
              <w:jc w:val="left"/>
              <w:rPr/>
            </w:pPr>
            <w:r>
              <w:rPr/>
              <w:t> </w:t>
            </w:r>
          </w:p>
        </w:tc>
      </w:tr>
      <w:tr>
        <w:trPr/>
        <w:tc>
          <w:tcPr>
            <w:tcW w:w="345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06" w:type="dxa"/>
            <w:tcBorders/>
            <w:tcMar>
              <w:bottom w:w="0" w:type="dxa"/>
            </w:tcMar>
            <w:vAlign w:val="center"/>
          </w:tcPr>
          <w:p>
            <w:pPr>
              <w:pStyle w:val="TableContents"/>
              <w:bidi w:val="0"/>
              <w:spacing w:before="0" w:after="283"/>
              <w:jc w:val="left"/>
              <w:rPr/>
            </w:pPr>
            <w:r>
              <w:rPr/>
              <w:t> </w:t>
            </w:r>
          </w:p>
        </w:tc>
        <w:tc>
          <w:tcPr>
            <w:tcW w:w="2548"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48"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Mulderry</w:t>
            </w:r>
          </w:p>
        </w:tc>
        <w:tc>
          <w:tcPr>
            <w:tcW w:w="75" w:type="dxa"/>
            <w:tcBorders/>
            <w:tcMar>
              <w:bottom w:w="0" w:type="dxa"/>
            </w:tcMar>
            <w:vAlign w:val="center"/>
          </w:tcPr>
          <w:p>
            <w:pPr>
              <w:pStyle w:val="TableContents"/>
              <w:bidi w:val="0"/>
              <w:spacing w:before="0" w:after="283"/>
              <w:jc w:val="left"/>
              <w:rPr/>
            </w:pPr>
            <w:r>
              <w:rPr/>
              <w:t> </w:t>
            </w:r>
          </w:p>
        </w:tc>
      </w:tr>
      <w:tr>
        <w:trPr/>
        <w:tc>
          <w:tcPr>
            <w:tcW w:w="9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54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Mulderry</w:t>
            </w:r>
          </w:p>
        </w:tc>
        <w:tc>
          <w:tcPr>
            <w:tcW w:w="75" w:type="dxa"/>
            <w:tcBorders/>
            <w:tcMar>
              <w:bottom w:w="0" w:type="dxa"/>
            </w:tcMar>
            <w:vAlign w:val="center"/>
          </w:tcPr>
          <w:p>
            <w:pPr>
              <w:pStyle w:val="TableContents"/>
              <w:bidi w:val="0"/>
              <w:spacing w:before="0" w:after="283"/>
              <w:jc w:val="left"/>
              <w:rPr/>
            </w:pPr>
            <w:r>
              <w:rPr/>
              <w:t> </w:t>
            </w:r>
          </w:p>
        </w:tc>
      </w:tr>
      <w:tr>
        <w:trPr/>
        <w:tc>
          <w:tcPr>
            <w:tcW w:w="9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48"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Authorized Person</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835,968</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28" w:type="dxa"/>
          <w:right w:w="0" w:type="dxa"/>
        </w:tblCellMar>
      </w:tblPr>
      <w:tblGrid>
        <w:gridCol w:w="633"/>
        <w:gridCol w:w="1906"/>
        <w:gridCol w:w="75"/>
      </w:tblGrid>
      <w:tr>
        <w:trPr/>
        <w:tc>
          <w:tcPr>
            <w:tcW w:w="2539"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Kate Bach Medina 2018 Trust</w:t>
            </w:r>
          </w:p>
        </w:tc>
        <w:tc>
          <w:tcPr>
            <w:tcW w:w="75" w:type="dxa"/>
            <w:tcBorders/>
            <w:tcMar>
              <w:bottom w:w="0" w:type="dxa"/>
            </w:tcMar>
            <w:vAlign w:val="center"/>
          </w:tcPr>
          <w:p>
            <w:pPr>
              <w:pStyle w:val="TableContents"/>
              <w:bidi w:val="0"/>
              <w:spacing w:before="0" w:after="283"/>
              <w:jc w:val="left"/>
              <w:rPr/>
            </w:pPr>
            <w:r>
              <w:rPr/>
              <w:t> </w:t>
            </w:r>
          </w:p>
        </w:tc>
      </w:tr>
      <w:tr>
        <w:trPr/>
        <w:tc>
          <w:tcPr>
            <w:tcW w:w="253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33" w:type="dxa"/>
            <w:tcBorders/>
            <w:tcMar>
              <w:bottom w:w="0" w:type="dxa"/>
            </w:tcMar>
            <w:vAlign w:val="center"/>
          </w:tcPr>
          <w:p>
            <w:pPr>
              <w:pStyle w:val="TableContents"/>
              <w:bidi w:val="0"/>
              <w:spacing w:before="0" w:after="283"/>
              <w:jc w:val="left"/>
              <w:rPr/>
            </w:pPr>
            <w:r>
              <w:rPr/>
              <w:t> </w:t>
            </w:r>
          </w:p>
        </w:tc>
        <w:tc>
          <w:tcPr>
            <w:tcW w:w="1906"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3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06"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Kathryn B. Medina</w:t>
            </w:r>
          </w:p>
        </w:tc>
        <w:tc>
          <w:tcPr>
            <w:tcW w:w="75" w:type="dxa"/>
            <w:tcBorders/>
            <w:tcMar>
              <w:bottom w:w="0" w:type="dxa"/>
            </w:tcMar>
            <w:vAlign w:val="center"/>
          </w:tcPr>
          <w:p>
            <w:pPr>
              <w:pStyle w:val="TableContents"/>
              <w:bidi w:val="0"/>
              <w:spacing w:before="0" w:after="283"/>
              <w:jc w:val="left"/>
              <w:rPr/>
            </w:pPr>
            <w:r>
              <w:rPr/>
              <w:t> </w:t>
            </w:r>
          </w:p>
        </w:tc>
      </w:tr>
      <w:tr>
        <w:trPr/>
        <w:tc>
          <w:tcPr>
            <w:tcW w:w="63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0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Kathryn B. Medina</w:t>
            </w:r>
          </w:p>
        </w:tc>
        <w:tc>
          <w:tcPr>
            <w:tcW w:w="75" w:type="dxa"/>
            <w:tcBorders/>
            <w:tcMar>
              <w:bottom w:w="0" w:type="dxa"/>
            </w:tcMar>
            <w:vAlign w:val="center"/>
          </w:tcPr>
          <w:p>
            <w:pPr>
              <w:pStyle w:val="TableContents"/>
              <w:bidi w:val="0"/>
              <w:spacing w:before="0" w:after="283"/>
              <w:jc w:val="left"/>
              <w:rPr/>
            </w:pPr>
            <w:r>
              <w:rPr/>
              <w:t> </w:t>
            </w:r>
          </w:p>
        </w:tc>
      </w:tr>
      <w:tr>
        <w:trPr/>
        <w:tc>
          <w:tcPr>
            <w:tcW w:w="63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06"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55,732</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94" w:type="dxa"/>
        <w:jc w:val="left"/>
        <w:tblInd w:w="0" w:type="dxa"/>
        <w:tblLayout w:type="fixed"/>
        <w:tblCellMar>
          <w:top w:w="0" w:type="dxa"/>
          <w:left w:w="0" w:type="dxa"/>
          <w:bottom w:w="28" w:type="dxa"/>
          <w:right w:w="0" w:type="dxa"/>
        </w:tblCellMar>
      </w:tblPr>
      <w:tblGrid>
        <w:gridCol w:w="607"/>
        <w:gridCol w:w="1512"/>
        <w:gridCol w:w="75"/>
      </w:tblGrid>
      <w:tr>
        <w:trPr/>
        <w:tc>
          <w:tcPr>
            <w:tcW w:w="2119"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Leo A. Guthart Roth IRA</w:t>
            </w:r>
          </w:p>
        </w:tc>
        <w:tc>
          <w:tcPr>
            <w:tcW w:w="75" w:type="dxa"/>
            <w:tcBorders/>
            <w:tcMar>
              <w:bottom w:w="0" w:type="dxa"/>
            </w:tcMar>
            <w:vAlign w:val="center"/>
          </w:tcPr>
          <w:p>
            <w:pPr>
              <w:pStyle w:val="TableContents"/>
              <w:bidi w:val="0"/>
              <w:spacing w:before="0" w:after="283"/>
              <w:jc w:val="left"/>
              <w:rPr/>
            </w:pPr>
            <w:r>
              <w:rPr/>
              <w:t> </w:t>
            </w:r>
          </w:p>
        </w:tc>
      </w:tr>
      <w:tr>
        <w:trPr/>
        <w:tc>
          <w:tcPr>
            <w:tcW w:w="211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7" w:type="dxa"/>
            <w:tcBorders/>
            <w:tcMar>
              <w:bottom w:w="0" w:type="dxa"/>
            </w:tcMar>
            <w:vAlign w:val="center"/>
          </w:tcPr>
          <w:p>
            <w:pPr>
              <w:pStyle w:val="TableContents"/>
              <w:bidi w:val="0"/>
              <w:spacing w:before="0" w:after="283"/>
              <w:jc w:val="left"/>
              <w:rPr/>
            </w:pPr>
            <w:r>
              <w:rPr/>
              <w:t> </w:t>
            </w:r>
          </w:p>
        </w:tc>
        <w:tc>
          <w:tcPr>
            <w:tcW w:w="1512"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12"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Leo A. Guthart </w:t>
            </w:r>
          </w:p>
        </w:tc>
        <w:tc>
          <w:tcPr>
            <w:tcW w:w="75" w:type="dxa"/>
            <w:tcBorders/>
            <w:tcMar>
              <w:bottom w:w="0" w:type="dxa"/>
            </w:tcMar>
            <w:vAlign w:val="center"/>
          </w:tcPr>
          <w:p>
            <w:pPr>
              <w:pStyle w:val="TableContents"/>
              <w:bidi w:val="0"/>
              <w:spacing w:before="0" w:after="283"/>
              <w:jc w:val="left"/>
              <w:rPr/>
            </w:pPr>
            <w:r>
              <w:rPr/>
              <w:t> </w:t>
            </w:r>
          </w:p>
        </w:tc>
      </w:tr>
      <w:tr>
        <w:trPr/>
        <w:tc>
          <w:tcPr>
            <w:tcW w:w="60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1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Leo A. Guthart </w:t>
            </w:r>
          </w:p>
        </w:tc>
        <w:tc>
          <w:tcPr>
            <w:tcW w:w="75" w:type="dxa"/>
            <w:tcBorders/>
            <w:tcMar>
              <w:bottom w:w="0" w:type="dxa"/>
            </w:tcMar>
            <w:vAlign w:val="center"/>
          </w:tcPr>
          <w:p>
            <w:pPr>
              <w:pStyle w:val="TableContents"/>
              <w:bidi w:val="0"/>
              <w:spacing w:before="0" w:after="283"/>
              <w:jc w:val="left"/>
              <w:rPr/>
            </w:pPr>
            <w:r>
              <w:rPr/>
              <w:t> </w:t>
            </w:r>
          </w:p>
        </w:tc>
      </w:tr>
      <w:tr>
        <w:trPr/>
        <w:tc>
          <w:tcPr>
            <w:tcW w:w="60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12"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Owner</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78,043</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59" w:type="dxa"/>
        <w:jc w:val="left"/>
        <w:tblInd w:w="0" w:type="dxa"/>
        <w:tblLayout w:type="fixed"/>
        <w:tblCellMar>
          <w:top w:w="0" w:type="dxa"/>
          <w:left w:w="0" w:type="dxa"/>
          <w:bottom w:w="28" w:type="dxa"/>
          <w:right w:w="0" w:type="dxa"/>
        </w:tblCellMar>
      </w:tblPr>
      <w:tblGrid>
        <w:gridCol w:w="913"/>
        <w:gridCol w:w="2271"/>
        <w:gridCol w:w="75"/>
      </w:tblGrid>
      <w:tr>
        <w:trPr/>
        <w:tc>
          <w:tcPr>
            <w:tcW w:w="3184"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Margaret Strauss Irrevocable NY Trust</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13" w:type="dxa"/>
            <w:tcBorders/>
            <w:tcMar>
              <w:bottom w:w="0" w:type="dxa"/>
            </w:tcMar>
            <w:vAlign w:val="center"/>
          </w:tcPr>
          <w:p>
            <w:pPr>
              <w:pStyle w:val="TableContents"/>
              <w:bidi w:val="0"/>
              <w:spacing w:before="0" w:after="283"/>
              <w:jc w:val="left"/>
              <w:rPr/>
            </w:pPr>
            <w:r>
              <w:rPr/>
              <w:t> </w:t>
            </w:r>
          </w:p>
        </w:tc>
        <w:tc>
          <w:tcPr>
            <w:tcW w:w="2271"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71"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Leo A. Guthart </w:t>
            </w:r>
          </w:p>
        </w:tc>
        <w:tc>
          <w:tcPr>
            <w:tcW w:w="75" w:type="dxa"/>
            <w:tcBorders/>
            <w:tcMar>
              <w:bottom w:w="0" w:type="dxa"/>
            </w:tcMar>
            <w:vAlign w:val="center"/>
          </w:tcPr>
          <w:p>
            <w:pPr>
              <w:pStyle w:val="TableContents"/>
              <w:bidi w:val="0"/>
              <w:spacing w:before="0" w:after="283"/>
              <w:jc w:val="left"/>
              <w:rPr/>
            </w:pPr>
            <w:r>
              <w:rPr/>
              <w:t> </w:t>
            </w:r>
          </w:p>
        </w:tc>
      </w:tr>
      <w:tr>
        <w:trPr/>
        <w:tc>
          <w:tcPr>
            <w:tcW w:w="9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Leo A. Guthart </w:t>
            </w:r>
          </w:p>
        </w:tc>
        <w:tc>
          <w:tcPr>
            <w:tcW w:w="75" w:type="dxa"/>
            <w:tcBorders/>
            <w:tcMar>
              <w:bottom w:w="0" w:type="dxa"/>
            </w:tcMar>
            <w:vAlign w:val="center"/>
          </w:tcPr>
          <w:p>
            <w:pPr>
              <w:pStyle w:val="TableContents"/>
              <w:bidi w:val="0"/>
              <w:spacing w:before="0" w:after="283"/>
              <w:jc w:val="left"/>
              <w:rPr/>
            </w:pPr>
            <w:r>
              <w:rPr/>
              <w:t> </w:t>
            </w:r>
          </w:p>
        </w:tc>
      </w:tr>
      <w:tr>
        <w:trPr/>
        <w:tc>
          <w:tcPr>
            <w:tcW w:w="91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271"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24,167</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28" w:type="dxa"/>
          <w:right w:w="0" w:type="dxa"/>
        </w:tblCellMar>
      </w:tblPr>
      <w:tblGrid>
        <w:gridCol w:w="605"/>
        <w:gridCol w:w="1460"/>
        <w:gridCol w:w="75"/>
      </w:tblGrid>
      <w:tr>
        <w:trPr/>
        <w:tc>
          <w:tcPr>
            <w:tcW w:w="2065" w:type="dxa"/>
            <w:gridSpan w:val="2"/>
            <w:tcBorders>
              <w:bottom w:val="single" w:sz="8" w:space="0" w:color="000000"/>
            </w:tcBorders>
            <w:vAlign w:val="center"/>
          </w:tcPr>
          <w:p>
            <w:pPr>
              <w:pStyle w:val="TableContents"/>
              <w:bidi w:val="0"/>
              <w:spacing w:before="0" w:after="283"/>
              <w:jc w:val="left"/>
              <w:rPr/>
            </w:pPr>
            <w:r>
              <w:rPr/>
              <w:t>Leo A. Guthart</w:t>
            </w:r>
          </w:p>
        </w:tc>
        <w:tc>
          <w:tcPr>
            <w:tcW w:w="75" w:type="dxa"/>
            <w:tcBorders/>
            <w:tcMar>
              <w:bottom w:w="0" w:type="dxa"/>
            </w:tcMar>
            <w:vAlign w:val="center"/>
          </w:tcPr>
          <w:p>
            <w:pPr>
              <w:pStyle w:val="TableContents"/>
              <w:bidi w:val="0"/>
              <w:spacing w:before="0" w:after="283"/>
              <w:jc w:val="left"/>
              <w:rPr/>
            </w:pPr>
            <w:r>
              <w:rPr/>
              <w:t> </w:t>
            </w:r>
          </w:p>
        </w:tc>
      </w:tr>
      <w:tr>
        <w:trPr/>
        <w:tc>
          <w:tcPr>
            <w:tcW w:w="2065"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6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Leo A. Guthart</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4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Leo A. Guthart</w:t>
            </w:r>
          </w:p>
        </w:tc>
        <w:tc>
          <w:tcPr>
            <w:tcW w:w="75" w:type="dxa"/>
            <w:tcBorders/>
            <w:tcMar>
              <w:bottom w:w="0" w:type="dxa"/>
            </w:tcMar>
            <w:vAlign w:val="center"/>
          </w:tcPr>
          <w:p>
            <w:pPr>
              <w:pStyle w:val="TableContents"/>
              <w:bidi w:val="0"/>
              <w:spacing w:before="0" w:after="283"/>
              <w:jc w:val="left"/>
              <w:rPr/>
            </w:pPr>
            <w:r>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4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101,500</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59" w:type="dxa"/>
        <w:jc w:val="left"/>
        <w:tblInd w:w="0" w:type="dxa"/>
        <w:tblLayout w:type="fixed"/>
        <w:tblCellMar>
          <w:top w:w="0" w:type="dxa"/>
          <w:left w:w="0" w:type="dxa"/>
          <w:bottom w:w="28" w:type="dxa"/>
          <w:right w:w="0" w:type="dxa"/>
        </w:tblCellMar>
      </w:tblPr>
      <w:tblGrid>
        <w:gridCol w:w="933"/>
        <w:gridCol w:w="2251"/>
        <w:gridCol w:w="75"/>
      </w:tblGrid>
      <w:tr>
        <w:trPr/>
        <w:tc>
          <w:tcPr>
            <w:tcW w:w="3184"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Rebecca Guthart Irrevocable NY Trust</w:t>
            </w:r>
          </w:p>
        </w:tc>
        <w:tc>
          <w:tcPr>
            <w:tcW w:w="75" w:type="dxa"/>
            <w:tcBorders/>
            <w:tcMar>
              <w:bottom w:w="0" w:type="dxa"/>
            </w:tcMar>
            <w:vAlign w:val="center"/>
          </w:tcPr>
          <w:p>
            <w:pPr>
              <w:pStyle w:val="TableContents"/>
              <w:bidi w:val="0"/>
              <w:spacing w:before="0" w:after="283"/>
              <w:jc w:val="left"/>
              <w:rPr/>
            </w:pPr>
            <w:r>
              <w:rPr/>
              <w:t> </w:t>
            </w:r>
          </w:p>
        </w:tc>
      </w:tr>
      <w:tr>
        <w:trPr/>
        <w:tc>
          <w:tcPr>
            <w:tcW w:w="318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33" w:type="dxa"/>
            <w:tcBorders/>
            <w:tcMar>
              <w:bottom w:w="0" w:type="dxa"/>
            </w:tcMar>
            <w:vAlign w:val="center"/>
          </w:tcPr>
          <w:p>
            <w:pPr>
              <w:pStyle w:val="TableContents"/>
              <w:bidi w:val="0"/>
              <w:spacing w:before="0" w:after="283"/>
              <w:jc w:val="left"/>
              <w:rPr/>
            </w:pPr>
            <w:r>
              <w:rPr/>
              <w:t> </w:t>
            </w:r>
          </w:p>
        </w:tc>
        <w:tc>
          <w:tcPr>
            <w:tcW w:w="2251"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93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51"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Leo A. Guthart</w:t>
            </w:r>
          </w:p>
        </w:tc>
        <w:tc>
          <w:tcPr>
            <w:tcW w:w="75" w:type="dxa"/>
            <w:tcBorders/>
            <w:tcMar>
              <w:bottom w:w="0" w:type="dxa"/>
            </w:tcMar>
            <w:vAlign w:val="center"/>
          </w:tcPr>
          <w:p>
            <w:pPr>
              <w:pStyle w:val="TableContents"/>
              <w:bidi w:val="0"/>
              <w:spacing w:before="0" w:after="283"/>
              <w:jc w:val="left"/>
              <w:rPr/>
            </w:pPr>
            <w:r>
              <w:rPr/>
              <w:t> </w:t>
            </w:r>
          </w:p>
        </w:tc>
      </w:tr>
      <w:tr>
        <w:trPr/>
        <w:tc>
          <w:tcPr>
            <w:tcW w:w="93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5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Leo A. Guthart</w:t>
            </w:r>
          </w:p>
        </w:tc>
        <w:tc>
          <w:tcPr>
            <w:tcW w:w="75" w:type="dxa"/>
            <w:tcBorders/>
            <w:tcMar>
              <w:bottom w:w="0" w:type="dxa"/>
            </w:tcMar>
            <w:vAlign w:val="center"/>
          </w:tcPr>
          <w:p>
            <w:pPr>
              <w:pStyle w:val="TableContents"/>
              <w:bidi w:val="0"/>
              <w:spacing w:before="0" w:after="283"/>
              <w:jc w:val="left"/>
              <w:rPr/>
            </w:pPr>
            <w:r>
              <w:rPr/>
              <w:t> </w:t>
            </w:r>
          </w:p>
        </w:tc>
      </w:tr>
      <w:tr>
        <w:trPr/>
        <w:tc>
          <w:tcPr>
            <w:tcW w:w="93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251"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24,166</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ADDITIONAL HOLDER</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764" w:type="dxa"/>
        <w:jc w:val="left"/>
        <w:tblInd w:w="0" w:type="dxa"/>
        <w:tblLayout w:type="fixed"/>
        <w:tblCellMar>
          <w:top w:w="0" w:type="dxa"/>
          <w:left w:w="0" w:type="dxa"/>
          <w:bottom w:w="28" w:type="dxa"/>
          <w:right w:w="0" w:type="dxa"/>
        </w:tblCellMar>
      </w:tblPr>
      <w:tblGrid>
        <w:gridCol w:w="788"/>
        <w:gridCol w:w="1901"/>
        <w:gridCol w:w="75"/>
      </w:tblGrid>
      <w:tr>
        <w:trPr/>
        <w:tc>
          <w:tcPr>
            <w:tcW w:w="2689" w:type="dxa"/>
            <w:gridSpan w:val="2"/>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Nathaniel F. Medina 2013 Trust</w:t>
            </w:r>
          </w:p>
        </w:tc>
        <w:tc>
          <w:tcPr>
            <w:tcW w:w="75" w:type="dxa"/>
            <w:tcBorders/>
            <w:tcMar>
              <w:bottom w:w="0" w:type="dxa"/>
            </w:tcMar>
            <w:vAlign w:val="center"/>
          </w:tcPr>
          <w:p>
            <w:pPr>
              <w:pStyle w:val="TableContents"/>
              <w:bidi w:val="0"/>
              <w:spacing w:before="0" w:after="283"/>
              <w:jc w:val="left"/>
              <w:rPr/>
            </w:pPr>
            <w:r>
              <w:rPr/>
              <w:t> </w:t>
            </w:r>
          </w:p>
        </w:tc>
      </w:tr>
      <w:tr>
        <w:trPr/>
        <w:tc>
          <w:tcPr>
            <w:tcW w:w="268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88" w:type="dxa"/>
            <w:tcBorders/>
            <w:tcMar>
              <w:bottom w:w="0" w:type="dxa"/>
            </w:tcMar>
            <w:vAlign w:val="center"/>
          </w:tcPr>
          <w:p>
            <w:pPr>
              <w:pStyle w:val="TableContents"/>
              <w:bidi w:val="0"/>
              <w:spacing w:before="0" w:after="283"/>
              <w:jc w:val="left"/>
              <w:rPr/>
            </w:pPr>
            <w:r>
              <w:rPr/>
              <w:t> </w:t>
            </w:r>
          </w:p>
        </w:tc>
        <w:tc>
          <w:tcPr>
            <w:tcW w:w="1901"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7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01"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Leo A. Guthart</w:t>
            </w:r>
          </w:p>
        </w:tc>
        <w:tc>
          <w:tcPr>
            <w:tcW w:w="75" w:type="dxa"/>
            <w:tcBorders/>
            <w:tcMar>
              <w:bottom w:w="0" w:type="dxa"/>
            </w:tcMar>
            <w:vAlign w:val="center"/>
          </w:tcPr>
          <w:p>
            <w:pPr>
              <w:pStyle w:val="TableContents"/>
              <w:bidi w:val="0"/>
              <w:spacing w:before="0" w:after="283"/>
              <w:jc w:val="left"/>
              <w:rPr/>
            </w:pPr>
            <w:r>
              <w:rPr/>
              <w:t> </w:t>
            </w:r>
          </w:p>
        </w:tc>
      </w:tr>
      <w:tr>
        <w:trPr/>
        <w:tc>
          <w:tcPr>
            <w:tcW w:w="7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0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Leo A. Guthart</w:t>
            </w:r>
          </w:p>
        </w:tc>
        <w:tc>
          <w:tcPr>
            <w:tcW w:w="75" w:type="dxa"/>
            <w:tcBorders/>
            <w:tcMar>
              <w:bottom w:w="0" w:type="dxa"/>
            </w:tcMar>
            <w:vAlign w:val="center"/>
          </w:tcPr>
          <w:p>
            <w:pPr>
              <w:pStyle w:val="TableContents"/>
              <w:bidi w:val="0"/>
              <w:spacing w:before="0" w:after="283"/>
              <w:jc w:val="left"/>
              <w:rPr/>
            </w:pPr>
            <w:r>
              <w:rPr/>
              <w:t> </w:t>
            </w:r>
          </w:p>
        </w:tc>
      </w:tr>
      <w:tr>
        <w:trPr/>
        <w:tc>
          <w:tcPr>
            <w:tcW w:w="7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01"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Trustee</w:t>
            </w:r>
          </w:p>
        </w:tc>
        <w:tc>
          <w:tcPr>
            <w:tcW w:w="75" w:type="dxa"/>
            <w:tcBorders/>
            <w:tcMar>
              <w:bottom w:w="0" w:type="dxa"/>
            </w:tcMar>
            <w:vAlign w:val="center"/>
          </w:tcPr>
          <w:p>
            <w:pPr>
              <w:pStyle w:val="TableContents"/>
              <w:bidi w:val="0"/>
              <w:spacing w:before="0" w:after="283"/>
              <w:jc w:val="left"/>
              <w:rPr/>
            </w:pPr>
            <w:r>
              <w:rPr/>
              <w:t> </w:t>
            </w:r>
          </w:p>
        </w:tc>
      </w:tr>
    </w:tbl>
    <w:tbl>
      <w:tblPr>
        <w:tblW w:w="1210" w:type="dxa"/>
        <w:jc w:val="left"/>
        <w:tblInd w:w="0" w:type="dxa"/>
        <w:tblLayout w:type="fixed"/>
        <w:tblCellMar>
          <w:top w:w="0" w:type="dxa"/>
          <w:left w:w="0" w:type="dxa"/>
          <w:bottom w:w="0" w:type="dxa"/>
          <w:right w:w="0" w:type="dxa"/>
        </w:tblCellMar>
      </w:tblPr>
      <w:tblGrid>
        <w:gridCol w:w="740"/>
        <w:gridCol w:w="470"/>
      </w:tblGrid>
      <w:tr>
        <w:trPr/>
        <w:tc>
          <w:tcPr>
            <w:tcW w:w="740" w:type="dxa"/>
            <w:tcBorders/>
            <w:vAlign w:val="center"/>
          </w:tcPr>
          <w:p>
            <w:pPr>
              <w:pStyle w:val="TableContents"/>
              <w:bidi w:val="0"/>
              <w:spacing w:before="0" w:after="283"/>
              <w:jc w:val="left"/>
              <w:rPr>
                <w:sz w:val="20"/>
              </w:rPr>
            </w:pPr>
            <w:r>
              <w:rPr>
                <w:sz w:val="20"/>
              </w:rPr>
              <w:t>Address:</w:t>
            </w:r>
          </w:p>
        </w:tc>
        <w:tc>
          <w:tcPr>
            <w:tcW w:w="470" w:type="dxa"/>
            <w:tcBorders/>
            <w:vAlign w:val="center"/>
          </w:tcPr>
          <w:p>
            <w:pPr>
              <w:pStyle w:val="TableContents"/>
              <w:bidi w:val="0"/>
              <w:spacing w:before="0" w:after="283"/>
              <w:jc w:val="left"/>
              <w:rPr>
                <w:sz w:val="20"/>
              </w:rPr>
            </w:pPr>
            <w:r>
              <w:rPr>
                <w:sz w:val="20"/>
              </w:rPr>
              <w:t>[***]</w:t>
            </w:r>
          </w:p>
        </w:tc>
      </w:tr>
      <w:tr>
        <w:trPr/>
        <w:tc>
          <w:tcPr>
            <w:tcW w:w="74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Email:</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12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Rollover Shares:</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of record: ☒</w:t>
      </w:r>
    </w:p>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 through a broker: ☒   Broker name: </w:t>
      </w:r>
      <w:r>
        <w:rPr>
          <w:rFonts w:ascii="Times New Roman;Times;Serif" w:hAnsi="Times New Roman;Times;Serif"/>
          <w:b w:val="false"/>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ROLLOVER SHARES: </w:t>
      </w:r>
      <w:r>
        <w:rPr>
          <w:rFonts w:ascii="Times New Roman;Times;Serif" w:hAnsi="Times New Roman;Times;Serif"/>
          <w:b w:val="false"/>
          <w:i w:val="false"/>
          <w:caps w:val="false"/>
          <w:smallCaps w:val="false"/>
          <w:sz w:val="20"/>
          <w:u w:val="single"/>
        </w:rPr>
        <w:t>18,666</w:t>
      </w:r>
    </w:p>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Rollover Agreement]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Agreement Term Sheet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3"/>
        <w:gridCol w:w="8542"/>
      </w:tblGrid>
      <w:tr>
        <w:trPr/>
        <w:tc>
          <w:tcPr>
            <w:tcW w:w="1663" w:type="dxa"/>
            <w:tcBorders/>
            <w:vAlign w:val="center"/>
          </w:tcPr>
          <w:p>
            <w:pPr>
              <w:pStyle w:val="TableContents"/>
              <w:bidi w:val="0"/>
              <w:spacing w:before="0" w:after="283"/>
              <w:jc w:val="left"/>
              <w:rPr>
                <w:b/>
              </w:rPr>
            </w:pPr>
            <w:r>
              <w:rPr>
                <w:b/>
              </w:rPr>
              <w:t>Documentation:</w:t>
            </w:r>
          </w:p>
        </w:tc>
        <w:tc>
          <w:tcPr>
            <w:tcW w:w="8542" w:type="dxa"/>
            <w:tcBorders/>
            <w:vAlign w:val="center"/>
          </w:tcPr>
          <w:p>
            <w:pPr>
              <w:pStyle w:val="TableContents"/>
              <w:bidi w:val="0"/>
              <w:spacing w:before="0" w:after="283"/>
              <w:jc w:val="left"/>
              <w:rPr/>
            </w:pPr>
            <w:r>
              <w:rPr/>
              <w:t>At closing, Parent and the Holders will enter into a Shareholder Agreement containing the terms summarized below.</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Security:</w:t>
            </w:r>
          </w:p>
        </w:tc>
        <w:tc>
          <w:tcPr>
            <w:tcW w:w="8542" w:type="dxa"/>
            <w:tcBorders/>
            <w:vAlign w:val="center"/>
          </w:tcPr>
          <w:p>
            <w:pPr>
              <w:pStyle w:val="TableContents"/>
              <w:bidi w:val="0"/>
              <w:spacing w:before="0" w:after="283"/>
              <w:jc w:val="left"/>
              <w:rPr/>
            </w:pPr>
            <w:r>
              <w:rPr/>
              <w:t>The Holders will all hold equity interests (“</w:t>
            </w:r>
            <w:r>
              <w:rPr>
                <w:u w:val="single"/>
              </w:rPr>
              <w:t>Shares</w:t>
            </w:r>
            <w:r>
              <w:rPr/>
              <w:t>”) in Parent of the same class, type and preference, and at the same price per Share.  The parties intend for the Shares to be common stock and for Parent to be a Delaware corporation.</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Board:</w:t>
            </w:r>
          </w:p>
        </w:tc>
        <w:tc>
          <w:tcPr>
            <w:tcW w:w="8542" w:type="dxa"/>
            <w:tcBorders/>
            <w:vAlign w:val="center"/>
          </w:tcPr>
          <w:p>
            <w:pPr>
              <w:pStyle w:val="TableContents"/>
              <w:bidi w:val="0"/>
              <w:spacing w:before="0" w:after="283"/>
              <w:jc w:val="left"/>
              <w:rPr/>
            </w:pPr>
            <w:r>
              <w:rPr/>
              <w:t>The board of directors of Parent (the “</w:t>
            </w:r>
            <w:r>
              <w:rPr>
                <w:u w:val="single"/>
              </w:rPr>
              <w:t>Board</w:t>
            </w:r>
            <w:r>
              <w:rPr/>
              <w:t>”) will be elected by Holders holding a majority of Parent’s then-outstanding Shares.  Subject to the foregoing, the parties desire for the members of the Board to be substantially similar to those in effect prior to the Transactions.</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Transfer:</w:t>
            </w:r>
          </w:p>
        </w:tc>
        <w:tc>
          <w:tcPr>
            <w:tcW w:w="8542" w:type="dxa"/>
            <w:tcBorders/>
            <w:vAlign w:val="center"/>
          </w:tcPr>
          <w:p>
            <w:pPr>
              <w:pStyle w:val="TableContents"/>
              <w:bidi w:val="0"/>
              <w:spacing w:before="0" w:after="283"/>
              <w:jc w:val="left"/>
              <w:rPr/>
            </w:pPr>
            <w:r>
              <w:rPr/>
              <w:t xml:space="preserve">No Additional Holder may directly or indirectly Transfer, other than to customary affiliates, any Shares without the prior written consent of the Board.  Transfers by an Additional Holder to which the Board consents will also be subject to a right of first refusal in favor of Parent. </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Tag-Along:</w:t>
            </w:r>
          </w:p>
        </w:tc>
        <w:tc>
          <w:tcPr>
            <w:tcW w:w="8542" w:type="dxa"/>
            <w:tcBorders/>
            <w:vAlign w:val="center"/>
          </w:tcPr>
          <w:p>
            <w:pPr>
              <w:pStyle w:val="TableContents"/>
              <w:bidi w:val="0"/>
              <w:spacing w:before="0" w:after="283"/>
              <w:jc w:val="left"/>
              <w:rPr/>
            </w:pPr>
            <w:r>
              <w:rPr/>
              <w:t>Each Holder will have customary tag-along rights in connection with Transfers by a Holder to non-affiliates, subject to customary exceptions.</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Drag-Along:</w:t>
            </w:r>
          </w:p>
        </w:tc>
        <w:tc>
          <w:tcPr>
            <w:tcW w:w="8542" w:type="dxa"/>
            <w:tcBorders/>
            <w:vAlign w:val="center"/>
          </w:tcPr>
          <w:p>
            <w:pPr>
              <w:pStyle w:val="TableContents"/>
              <w:bidi w:val="0"/>
              <w:spacing w:before="0" w:after="283"/>
              <w:jc w:val="left"/>
              <w:rPr/>
            </w:pPr>
            <w:r>
              <w:rPr/>
              <w:t>If the Board proposes to Transfer to a non-affiliate all or any portion of the outstanding Shares or all or substantially all of the assets or business of Parent and its subsidiaries (in each case including in connection with an initial public offering), the Board will have the right to cause each Holder, to the extent applicable, to vote in favor of, reasonably cooperate with, waive any appraisal rights in respect of, and not oppose such transaction, in each case subject to customary limitations for the Holders being dragged.</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Preemptive Rights:</w:t>
            </w:r>
          </w:p>
        </w:tc>
        <w:tc>
          <w:tcPr>
            <w:tcW w:w="8542" w:type="dxa"/>
            <w:tcBorders/>
            <w:vAlign w:val="center"/>
          </w:tcPr>
          <w:p>
            <w:pPr>
              <w:pStyle w:val="TableContents"/>
              <w:bidi w:val="0"/>
              <w:spacing w:before="0" w:after="283"/>
              <w:jc w:val="left"/>
              <w:rPr/>
            </w:pPr>
            <w:r>
              <w:rPr/>
              <w:t xml:space="preserve">If Parent wishes to issue any equity of Parent or its subsidiaries, each Holder holding at least 1% of Parent’s then-outstanding Shares will have preemptive rights to its pro rata portion of such Shares (or equivalents), subject to customary exceptions. </w:t>
            </w:r>
          </w:p>
        </w:tc>
      </w:tr>
      <w:tr>
        <w:trPr/>
        <w:tc>
          <w:tcPr>
            <w:tcW w:w="1663" w:type="dxa"/>
            <w:tcBorders/>
            <w:vAlign w:val="center"/>
          </w:tcPr>
          <w:p>
            <w:pPr>
              <w:pStyle w:val="TableContents"/>
              <w:bidi w:val="0"/>
              <w:spacing w:before="0" w:after="283"/>
              <w:jc w:val="left"/>
              <w:rPr/>
            </w:pPr>
            <w:r>
              <w:rPr/>
              <w:t> </w:t>
            </w:r>
          </w:p>
        </w:tc>
        <w:tc>
          <w:tcPr>
            <w:tcW w:w="8542"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left"/>
              <w:rPr>
                <w:b/>
              </w:rPr>
            </w:pPr>
            <w:r>
              <w:rPr>
                <w:b/>
              </w:rPr>
              <w:t>Information Rights:</w:t>
            </w:r>
          </w:p>
        </w:tc>
        <w:tc>
          <w:tcPr>
            <w:tcW w:w="8542" w:type="dxa"/>
            <w:tcBorders/>
            <w:vAlign w:val="center"/>
          </w:tcPr>
          <w:p>
            <w:pPr>
              <w:pStyle w:val="TableContents"/>
              <w:bidi w:val="0"/>
              <w:spacing w:before="0" w:after="283"/>
              <w:jc w:val="left"/>
              <w:rPr/>
            </w:pPr>
            <w:r>
              <w:rPr/>
              <w:t>Parent will provide to each Holder holding at least 5% of Parent’s then-outstanding Shares quarterly unaudited financial</w:t>
            </w:r>
          </w:p>
        </w:tc>
      </w:tr>
    </w:tbl>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94"/>
        <w:gridCol w:w="8811"/>
      </w:tblGrid>
      <w:tr>
        <w:trPr/>
        <w:tc>
          <w:tcPr>
            <w:tcW w:w="1394" w:type="dxa"/>
            <w:tcBorders/>
            <w:vAlign w:val="center"/>
          </w:tcPr>
          <w:p>
            <w:pPr>
              <w:pStyle w:val="TableContents"/>
              <w:bidi w:val="0"/>
              <w:spacing w:before="0" w:after="283"/>
              <w:jc w:val="left"/>
              <w:rPr/>
            </w:pPr>
            <w:r>
              <w:rPr/>
              <w:t> </w:t>
            </w:r>
          </w:p>
        </w:tc>
        <w:tc>
          <w:tcPr>
            <w:tcW w:w="8811" w:type="dxa"/>
            <w:tcBorders/>
            <w:vAlign w:val="center"/>
          </w:tcPr>
          <w:p>
            <w:pPr>
              <w:pStyle w:val="TableContents"/>
              <w:bidi w:val="0"/>
              <w:spacing w:before="0" w:after="283"/>
              <w:jc w:val="left"/>
              <w:rPr/>
            </w:pPr>
            <w:r>
              <w:rPr/>
              <w:t>reports and annual audited financial reports, subject to customary limitations.</w:t>
            </w:r>
          </w:p>
        </w:tc>
      </w:tr>
      <w:tr>
        <w:trPr/>
        <w:tc>
          <w:tcPr>
            <w:tcW w:w="1394" w:type="dxa"/>
            <w:tcBorders/>
            <w:vAlign w:val="center"/>
          </w:tcPr>
          <w:p>
            <w:pPr>
              <w:pStyle w:val="TableContents"/>
              <w:bidi w:val="0"/>
              <w:spacing w:before="0" w:after="283"/>
              <w:jc w:val="left"/>
              <w:rPr/>
            </w:pPr>
            <w:r>
              <w:rPr/>
              <w:t> </w:t>
            </w:r>
          </w:p>
        </w:tc>
        <w:tc>
          <w:tcPr>
            <w:tcW w:w="8811" w:type="dxa"/>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b/>
              </w:rPr>
            </w:pPr>
            <w:r>
              <w:rPr>
                <w:b/>
              </w:rPr>
              <w:t>Management:</w:t>
            </w:r>
          </w:p>
        </w:tc>
        <w:tc>
          <w:tcPr>
            <w:tcW w:w="8811" w:type="dxa"/>
            <w:tcBorders/>
            <w:vAlign w:val="center"/>
          </w:tcPr>
          <w:p>
            <w:pPr>
              <w:pStyle w:val="TableContents"/>
              <w:bidi w:val="0"/>
              <w:spacing w:before="0" w:after="283"/>
              <w:jc w:val="left"/>
              <w:rPr/>
            </w:pPr>
            <w:r>
              <w:rPr/>
              <w:t>Parent will have the right to repurchase Shares held by employees or service providers who are terminated or voluntarily terminate employment with the Company on terms customary for transactions of this nature (including satisfaction of all or a portion of the purchase price with a subordinated note on customary terms).  Additional Holders who are employees or service providers will also agree to confidentiality, non-compete and non-solicit restrictive covenants on customary terms effective until one year following the date on which they no longer hold Shares and are no longer an employee or service provider.</w:t>
            </w:r>
          </w:p>
        </w:tc>
      </w:tr>
      <w:tr>
        <w:trPr/>
        <w:tc>
          <w:tcPr>
            <w:tcW w:w="1394" w:type="dxa"/>
            <w:tcBorders/>
            <w:vAlign w:val="center"/>
          </w:tcPr>
          <w:p>
            <w:pPr>
              <w:pStyle w:val="TableContents"/>
              <w:bidi w:val="0"/>
              <w:spacing w:before="0" w:after="283"/>
              <w:jc w:val="left"/>
              <w:rPr/>
            </w:pPr>
            <w:r>
              <w:rPr/>
              <w:t> </w:t>
            </w:r>
          </w:p>
        </w:tc>
        <w:tc>
          <w:tcPr>
            <w:tcW w:w="8811" w:type="dxa"/>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b/>
              </w:rPr>
            </w:pPr>
            <w:r>
              <w:rPr>
                <w:b/>
              </w:rPr>
              <w:t>Amendments:</w:t>
            </w:r>
          </w:p>
        </w:tc>
        <w:tc>
          <w:tcPr>
            <w:tcW w:w="8811" w:type="dxa"/>
            <w:tcBorders/>
            <w:vAlign w:val="center"/>
          </w:tcPr>
          <w:p>
            <w:pPr>
              <w:pStyle w:val="TableContents"/>
              <w:bidi w:val="0"/>
              <w:spacing w:before="0" w:after="283"/>
              <w:jc w:val="left"/>
              <w:rPr/>
            </w:pPr>
            <w:r>
              <w:rPr/>
              <w:t>The Shareholder Agreement may be amended or waived by Holders holding a majority of the then-outstanding Shares, provided, subject to customary exceptions, no amendment or waiver will apply to any Holders disproportionately adversely effected thereby, relative to the Holders approving such amendment or waiver, without the prior written consent of the Holders holdings of a majority of the Shares held by such disproportionately adversely effected Holders.</w:t>
            </w:r>
          </w:p>
        </w:tc>
      </w:tr>
      <w:tr>
        <w:trPr/>
        <w:tc>
          <w:tcPr>
            <w:tcW w:w="1394" w:type="dxa"/>
            <w:tcBorders/>
            <w:vAlign w:val="center"/>
          </w:tcPr>
          <w:p>
            <w:pPr>
              <w:pStyle w:val="TableContents"/>
              <w:bidi w:val="0"/>
              <w:spacing w:before="0" w:after="283"/>
              <w:jc w:val="left"/>
              <w:rPr/>
            </w:pPr>
            <w:r>
              <w:rPr/>
              <w:t> </w:t>
            </w:r>
          </w:p>
        </w:tc>
        <w:tc>
          <w:tcPr>
            <w:tcW w:w="8811" w:type="dxa"/>
            <w:tcBorders/>
            <w:vAlign w:val="center"/>
          </w:tcPr>
          <w:p>
            <w:pPr>
              <w:pStyle w:val="TableContents"/>
              <w:bidi w:val="0"/>
              <w:spacing w:before="0" w:after="283"/>
              <w:jc w:val="left"/>
              <w:rPr/>
            </w:pPr>
            <w:r>
              <w:rPr/>
              <w:t> </w:t>
            </w:r>
          </w:p>
        </w:tc>
      </w:tr>
      <w:tr>
        <w:trPr/>
        <w:tc>
          <w:tcPr>
            <w:tcW w:w="1394" w:type="dxa"/>
            <w:tcBorders/>
            <w:vAlign w:val="center"/>
          </w:tcPr>
          <w:p>
            <w:pPr>
              <w:pStyle w:val="TableContents"/>
              <w:bidi w:val="0"/>
              <w:spacing w:before="0" w:after="283"/>
              <w:jc w:val="left"/>
              <w:rPr>
                <w:b/>
              </w:rPr>
            </w:pPr>
            <w:r>
              <w:rPr>
                <w:b/>
              </w:rPr>
              <w:t>Expenses:</w:t>
            </w:r>
          </w:p>
        </w:tc>
        <w:tc>
          <w:tcPr>
            <w:tcW w:w="8811" w:type="dxa"/>
            <w:tcBorders/>
            <w:vAlign w:val="center"/>
          </w:tcPr>
          <w:p>
            <w:pPr>
              <w:pStyle w:val="TableContents"/>
              <w:bidi w:val="0"/>
              <w:spacing w:before="0" w:after="283"/>
              <w:jc w:val="left"/>
              <w:rPr/>
            </w:pPr>
            <w:r>
              <w:rPr/>
              <w:t>Parent will be responsible for the payment or reimbursement of fees, costs and expenses incurred by the Sponsors in connection with the Transactions.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24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Accredited Investor Certificate</w: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Accredited Investor Certificate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represents and warrants that the Holder is an “accredited investor” (an “</w:t>
      </w:r>
      <w:r>
        <w:rPr>
          <w:rFonts w:ascii="Times New Roman;Times;Serif" w:hAnsi="Times New Roman;Times;Serif"/>
          <w:b/>
          <w:i w:val="false"/>
          <w:caps w:val="false"/>
          <w:smallCaps w:val="false"/>
          <w:sz w:val="20"/>
        </w:rPr>
        <w:t>Accredited Investor</w:t>
      </w:r>
      <w:r>
        <w:rPr>
          <w:rFonts w:ascii="Times New Roman;Times;Serif" w:hAnsi="Times New Roman;Times;Serif"/>
          <w:b w:val="false"/>
          <w:i w:val="false"/>
          <w:caps w:val="false"/>
          <w:smallCaps w:val="false"/>
          <w:sz w:val="20"/>
        </w:rPr>
        <w:t>”) as such term is defined in Rule 501(a) of Regulation D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for </w:t>
      </w:r>
      <w:r>
        <w:rPr>
          <w:rFonts w:ascii="Times New Roman;Times;Serif" w:hAnsi="Times New Roman;Times;Serif"/>
          <w:b w:val="false"/>
          <w:i/>
          <w:caps w:val="false"/>
          <w:smallCaps w:val="false"/>
          <w:sz w:val="20"/>
          <w:u w:val="single"/>
        </w:rPr>
        <w:t>one or more</w:t>
      </w:r>
      <w:r>
        <w:rPr>
          <w:rFonts w:ascii="Times New Roman;Times;Serif" w:hAnsi="Times New Roman;Times;Serif"/>
          <w:b w:val="false"/>
          <w:i w:val="false"/>
          <w:caps w:val="false"/>
          <w:smallCaps w:val="false"/>
          <w:sz w:val="20"/>
        </w:rPr>
        <w:t xml:space="preserve"> of the reasons specified below (please check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boxes that apply):</w:t>
      </w:r>
    </w:p>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 Natural Persons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 is a </w:t>
      </w:r>
      <w:r>
        <w:rPr>
          <w:rFonts w:ascii="Times New Roman;Times;Serif" w:hAnsi="Times New Roman;Times;Serif"/>
          <w:b/>
          <w:i w:val="false"/>
          <w:caps w:val="false"/>
          <w:smallCaps w:val="false"/>
          <w:sz w:val="20"/>
          <w:u w:val="single"/>
        </w:rPr>
        <w:t>natural person</w:t>
      </w:r>
      <w:r>
        <w:rPr>
          <w:rFonts w:ascii="Times New Roman;Times;Serif" w:hAnsi="Times New Roman;Times;Serif"/>
          <w:b w:val="false"/>
          <w:i w:val="false"/>
          <w:caps w:val="false"/>
          <w:smallCaps w:val="false"/>
          <w:sz w:val="20"/>
        </w:rPr>
        <w:t xml:space="preserve"> and (please check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boxes that apply):</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has an individual net worth or a joint net worth with the Holder’s Spousal Equivalent</w:t>
            </w:r>
            <w:r>
              <w:rPr>
                <w:position w:val="7"/>
                <w:sz w:val="16"/>
                <w:sz w:val="20"/>
              </w:rPr>
              <w:t>1</w:t>
            </w:r>
            <w:r>
              <w:rPr>
                <w:sz w:val="20"/>
              </w:rPr>
              <w:t xml:space="preserve"> in excess of $1,000,000 (determined by subtracting total liabilities from total assets)</w:t>
            </w:r>
            <w:r>
              <w:rPr>
                <w:position w:val="7"/>
                <w:sz w:val="16"/>
                <w:sz w:val="20"/>
              </w:rPr>
              <w:t>2</w:t>
            </w:r>
            <w:r>
              <w:rPr>
                <w:sz w:val="20"/>
              </w:rPr>
              <w: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had an individual income in excess of $200,000 (or a joint income together with the Holder’s spouse or Spousal Equivalent in excess of $300,000) in each of the two most recently completed calendar years, and reasonably expects to have an individual income in excess of $200,000 (or a joint income together with the Holder’s spouse or Spousal Equivalent in excess of $300,000) in the current calendar year;</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holds in good standing one or more of the following professional certifications: General Securities Representative license (Series 7), Private Securities Offerings Representative license (Series 82), or Investment Adviser Representative license (Series 65); and/or</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“family client,” as defined in Rule 202(a)(11)(G)-1 under the U.S. Investment Advisers Act of 1940, as amended (the “</w:t>
            </w:r>
            <w:r>
              <w:rPr>
                <w:b/>
                <w:sz w:val="20"/>
              </w:rPr>
              <w:t>Advisers Act</w:t>
            </w:r>
            <w:r>
              <w:rPr>
                <w:sz w:val="20"/>
              </w:rPr>
              <w:t>”), whose prospective investment in the Partnership is directed by that person’s Qualified Family Office (as defined below).</w:t>
            </w:r>
          </w:p>
        </w:tc>
      </w:tr>
    </w:tbl>
    <w:p>
      <w:pPr>
        <w:pStyle w:val="TextBody"/>
        <w:bidi w:val="0"/>
        <w:spacing w:before="0" w:after="240"/>
        <w:ind w:left="54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 Entities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 is an </w:t>
      </w:r>
      <w:r>
        <w:rPr>
          <w:rFonts w:ascii="Times New Roman;Times;Serif" w:hAnsi="Times New Roman;Times;Serif"/>
          <w:b/>
          <w:i w:val="false"/>
          <w:caps w:val="false"/>
          <w:smallCaps w:val="false"/>
          <w:sz w:val="20"/>
          <w:u w:val="single"/>
        </w:rPr>
        <w:t>entity</w:t>
      </w:r>
      <w:r>
        <w:rPr>
          <w:rFonts w:ascii="Times New Roman;Times;Serif" w:hAnsi="Times New Roman;Times;Serif"/>
          <w:b w:val="false"/>
          <w:i w:val="false"/>
          <w:caps w:val="false"/>
          <w:smallCaps w:val="false"/>
          <w:sz w:val="20"/>
        </w:rPr>
        <w:t xml:space="preserve"> and (please check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boxes that apply):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corporation, partnership, limited liability company, Massachusetts or similar business trust or organization described in Section 501(c)(3) of the U.S. Internal</w:t>
            </w:r>
          </w:p>
        </w:tc>
      </w:tr>
    </w:tbl>
    <w:p>
      <w:pPr>
        <w:pStyle w:val="TextBody"/>
        <w:bidi w:val="0"/>
        <w:spacing w:before="0" w:after="283"/>
        <w:jc w:val="left"/>
        <w:rPr/>
      </w:pPr>
      <w:r>
        <w:rPr/>
        <w:t> </w:t>
      </w:r>
    </w:p>
    <w:p>
      <w:pPr>
        <w:pStyle w:val="TextBody"/>
        <w:bidi w:val="0"/>
        <w:ind w:left="54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8" w:type="dxa"/>
            <w:tcBorders/>
            <w:vAlign w:val="center"/>
          </w:tcPr>
          <w:p>
            <w:pPr>
              <w:pStyle w:val="TableContents"/>
              <w:bidi w:val="0"/>
              <w:spacing w:before="0" w:after="283"/>
              <w:jc w:val="left"/>
              <w:rPr/>
            </w:pPr>
            <w:r>
              <w:rPr/>
              <w:t>“</w:t>
            </w:r>
            <w:r>
              <w:rPr>
                <w:b/>
              </w:rPr>
              <w:t>Spousal Equivalent</w:t>
            </w:r>
            <w:r>
              <w:rPr/>
              <w:t>” means the Holder’s spouse or a cohabitant occupying a relationship generally equivalent to that of a spouse.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58" w:type="dxa"/>
            <w:tcBorders/>
            <w:vAlign w:val="center"/>
          </w:tcPr>
          <w:p>
            <w:pPr>
              <w:pStyle w:val="TableContents"/>
              <w:bidi w:val="0"/>
              <w:spacing w:before="0" w:after="283"/>
              <w:jc w:val="left"/>
              <w:rPr/>
            </w:pPr>
            <w:r>
              <w:rPr/>
              <w:t xml:space="preserve">For purposes of calculating the Holder’s net worth or joint net worth with the Holder’s Spousal Equivalent, the calculation should exclude the Holder’s primary residence and indebtedness thereon up to the gross value of such residence; </w:t>
            </w:r>
            <w:r>
              <w:rPr>
                <w:i/>
              </w:rPr>
              <w:t>provided</w:t>
            </w:r>
            <w:r>
              <w:rPr/>
              <w:t>, that if the amount of such indebtedness outstanding at the time of Holder’s admission to the Partnership would exceed the amount of such indebtedness outstanding 60 days before such time, other than as a result of the acquisition of the primary residence, the amount of such excess shall be included as a liability in the determination of Holder’s net worth. Further, for purposes of calculating the joint net worth of the Holder and the Holder’s Spousal Equivalent, the assets of the Holder and Spousal Equivalent need not be held jointly.</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Revenue Code of 1986, as amended, not formed for the specific purpose of acquiring interests in the Partnership that has total assets in excess of $5,000,000;</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bank as defined in Section 3(a)(2) of the Securities Act, a savings and loan association, or other institution defined in Section 3(a)(5)(A) of the Securities Act acting in either its individual or fiduciary capacity (this includes a trust for which a bank acts as trustee and exercises investment discretion with respect to the trust’s decision to invest in the Partnership);</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broker dealer registered pursuant to Section 15 of the U.S. Securities Exchange Act of 1934, as amended (the “</w:t>
            </w:r>
            <w:r>
              <w:rPr>
                <w:b/>
                <w:sz w:val="20"/>
              </w:rPr>
              <w:t>Exchange Act</w:t>
            </w:r>
            <w:r>
              <w:rPr>
                <w:sz w:val="20"/>
              </w:rPr>
              <w: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investment adviser registered pursuant to Section 203 of the Advisers Act, or registered pursuant to the laws of a U.S. state;</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investment adviser relying on the exemption from registering with the U.S. Securities and Exchange Commission under Section 203(l) or (m) of the Advisers Act;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insurance company as defined in Section 2(a)(13) of the Securities Act;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investment company registered under the U.S. Investment Company Act of 1940, as amended (the “</w:t>
            </w:r>
            <w:r>
              <w:rPr>
                <w:b/>
                <w:sz w:val="20"/>
              </w:rPr>
              <w:t>Investment Company Act</w:t>
            </w:r>
            <w:r>
              <w:rPr>
                <w:sz w:val="20"/>
              </w:rPr>
              <w:t>”), or a business development company as defined in Section 2(a)(48) of the Investment Company Act;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Small Business Investment Company licensed by the U.S. Small Business Administration under Section 301(c) or (d) of the U.S. Small Business Investment Act of 1958, as amended;</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Rural Business Investment Company as defined in Section 384A of the Consolidated Farm and Rural Development Act of 1972, as amended;</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plan established and maintained by a state, its political subdivisions, or an agency or instrumentality of a state or its political subdivisions, for the benefit of employees, having total assets in excess of $5,000,000;</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employee benefit plan within the meaning of the U.S. Employee Retirement Income Security Act of 1974, as amended (“</w:t>
            </w:r>
            <w:r>
              <w:rPr>
                <w:b/>
                <w:sz w:val="20"/>
              </w:rPr>
              <w:t>ERISA</w:t>
            </w:r>
            <w:r>
              <w:rPr>
                <w:sz w:val="20"/>
              </w:rPr>
              <w:t>”), (a) for which the investment decision to acquire an interest in the Partnership is being made by a plan fiduciary, as defined in Section 3(21) of ERISA, that is either a bank, savings and loan association, insurance company, or registered investment adviser, (b) which has total assets in excess of $5,000,000, or (c) which is self-directed, with the investment decisions made solely by persons who are Accredited Investors;</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private business development company as defined in Section 202(a)(22) of the Advisers Act;</w:t>
            </w:r>
          </w:p>
        </w:tc>
      </w:tr>
    </w:tbl>
    <w:p>
      <w:pPr>
        <w:pStyle w:val="TextBody"/>
        <w:bidi w:val="0"/>
        <w:ind w:left="54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trust not formed for the specific purpose of acquiring interests in the Partnership with total assets in excess of $5,000,000 and directed by a person who has such knowledge and experience in financial and business matters as to be capable of evaluating the merits and risks of investing in the Partnership;</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revocable trust (including a revocable trust formed for the specific purpose of acquiring an interest in the Partnership) and the grantor or settlor of such trust is an Accredited Investor;</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“family office” as defined in Rule 202(a)(11)(G)-1 under the Advisers Act, (a) with assets under management in excess of $5,000,000, (b) that was not formed for the specific purpose of acquiring interests in the Partnership, and (c) whose prospective investment in the Partnership is directed by a person who has such knowledge and experience in financial and business matters that such family office is capable of evaluating the merits and risks of an investment in the Partnership (such a family office, a “</w:t>
            </w:r>
            <w:r>
              <w:rPr>
                <w:b/>
                <w:sz w:val="20"/>
              </w:rPr>
              <w:t>Qualified Family Office</w:t>
            </w:r>
            <w:r>
              <w:rPr>
                <w:sz w:val="20"/>
              </w:rPr>
              <w:t>”);</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 “family client,” as defined in Rule 202(a)(11)(G)-1 under the Advisers Act, whose prospective investment in the Partnership is directed by its Qualified Family Office;</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entity of a type not listed above that (i) was not formed for the specific purpose of acquiring interests in the Partnership and (ii) that owns “investments” (as defined in Rule 2a51-1(b) under the Investment Company Act) in excess of $5,000,000; and/or</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sz w:val="20"/>
              </w:rPr>
            </w:pPr>
            <w:r>
              <w:rPr>
                <w:sz w:val="20"/>
              </w:rPr>
              <w:t>is an entity in which each equity owner is an Accredited Investor.</w:t>
            </w:r>
            <w:r>
              <w:rPr>
                <w:position w:val="7"/>
                <w:sz w:val="16"/>
                <w:sz w:val="20"/>
              </w:rPr>
              <w:t>3</w:t>
            </w:r>
          </w:p>
        </w:tc>
      </w:tr>
    </w:tbl>
    <w:p>
      <w:pPr>
        <w:pStyle w:val="TextBody"/>
        <w:bidi w:val="0"/>
        <w:spacing w:before="0" w:after="240"/>
        <w:ind w:left="540" w:right="0" w:hanging="0"/>
        <w:jc w:val="left"/>
        <w:rPr>
          <w:caps w:val="false"/>
          <w:smallCaps w:val="false"/>
          <w:color w:val="44546A"/>
        </w:rPr>
      </w:pPr>
      <w:r>
        <w:rPr>
          <w:caps w:val="false"/>
          <w:smallCaps w:val="false"/>
          <w:color w:val="44546A"/>
        </w:rPr>
        <w:t> </w:t>
      </w:r>
    </w:p>
    <w:p>
      <w:pPr>
        <w:pStyle w:val="TextBody"/>
        <w:bidi w:val="0"/>
        <w:ind w:left="540" w:right="0" w:hanging="540"/>
        <w:jc w:val="left"/>
        <w:rPr>
          <w:caps w:val="false"/>
          <w:smallCaps w:val="false"/>
        </w:rPr>
      </w:pPr>
      <w:r>
        <w:rPr>
          <w:caps w:val="false"/>
          <w:smallCaps w:val="false"/>
        </w:rPr>
        <w:t> </w:t>
      </w:r>
    </w:p>
    <w:p>
      <w:pPr>
        <w:pStyle w:val="TextBody"/>
        <w:bidi w:val="0"/>
        <w:spacing w:before="0" w:after="240"/>
        <w:ind w:left="540" w:right="0" w:hanging="54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58" w:type="dxa"/>
            <w:tcBorders/>
            <w:vAlign w:val="center"/>
          </w:tcPr>
          <w:p>
            <w:pPr>
              <w:pStyle w:val="TableContents"/>
              <w:bidi w:val="0"/>
              <w:spacing w:before="0" w:after="283"/>
              <w:jc w:val="left"/>
              <w:rPr/>
            </w:pPr>
            <w:r>
              <w:rPr/>
              <w:t>For purposes of selecting this response, it is permissible to look through various forms of equity ownership to natural persons. Those natural persons and all other equity owners of the entity seeking Accredited Investor status must be Accredited Investors.</w:t>
            </w:r>
          </w:p>
        </w:tc>
      </w:tr>
    </w:tbl>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certification as of the date first written above.</w:t>
      </w:r>
    </w:p>
    <w:tbl>
      <w:tblPr>
        <w:tblW w:w="949" w:type="dxa"/>
        <w:jc w:val="left"/>
        <w:tblInd w:w="0" w:type="dxa"/>
        <w:tblLayout w:type="fixed"/>
        <w:tblCellMar>
          <w:top w:w="0" w:type="dxa"/>
          <w:left w:w="0" w:type="dxa"/>
          <w:bottom w:w="0" w:type="dxa"/>
          <w:right w:w="0" w:type="dxa"/>
        </w:tblCellMar>
      </w:tblPr>
      <w:tblGrid>
        <w:gridCol w:w="75"/>
        <w:gridCol w:w="737"/>
        <w:gridCol w:w="62"/>
        <w:gridCol w:w="75"/>
      </w:tblGrid>
      <w:tr>
        <w:trPr/>
        <w:tc>
          <w:tcPr>
            <w:tcW w:w="75"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left"/>
              <w:rPr>
                <w:b/>
              </w:rPr>
            </w:pPr>
            <w:r>
              <w:rPr>
                <w:b/>
              </w:rPr>
              <w:t>Holder: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By:</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xml:space="preserve">Name: </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Title:</w:t>
            </w:r>
          </w:p>
        </w:tc>
        <w:tc>
          <w:tcPr>
            <w:tcW w:w="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40"/>
        <w:ind w:left="0" w:right="0" w:firstLine="540"/>
        <w:jc w:val="left"/>
        <w:rPr>
          <w:caps w:val="false"/>
          <w:smallCaps w:val="false"/>
        </w:rPr>
      </w:pPr>
      <w:r>
        <w:rPr>
          <w:caps w:val="false"/>
          <w:smallCaps w:val="false"/>
        </w:rPr>
        <w:t> </w:t>
      </w:r>
    </w:p>
    <w:p>
      <w:pPr>
        <w:pStyle w:val="TextBody"/>
        <w:bidi w:val="0"/>
        <w:ind w:left="5040" w:right="0" w:hanging="0"/>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6332/000119312524046296/d796872dex21.htm" TargetMode="External"/><Relationship Id="rId3" Type="http://schemas.openxmlformats.org/officeDocument/2006/relationships/hyperlink" Target="https://www.sec.gov/Archives/edgar/data/1426332/000119312524046296/d796872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30257</Words>
  <Characters>155756</Characters>
  <CharactersWithSpaces>188157</CharactersWithSpaces>
  <Paragraphs>6420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