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Svennilson Peter</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4">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060" w:type="dxa"/>
            <w:vAlign w:val="bottom"/>
            <w:gridSpan w:val="3"/>
          </w:tcPr>
          <w:p>
            <w:pPr>
              <w:spacing w:after="0"/>
              <w:rPr>
                <w:sz w:val="20"/>
                <w:szCs w:val="20"/>
                <w:color w:val="auto"/>
              </w:rPr>
            </w:pPr>
            <w:r>
              <w:rPr>
                <w:rFonts w:ascii="Arial" w:cs="Arial" w:eastAsia="Arial" w:hAnsi="Arial"/>
                <w:sz w:val="17"/>
                <w:szCs w:val="17"/>
                <w:color w:val="0000FF"/>
              </w:rPr>
              <w:t>1700 OWENS STREET</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SUITE 500</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03/23/2020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420" w:type="dxa"/>
            <w:vAlign w:val="bottom"/>
            <w:tcBorders>
              <w:top w:val="single" w:sz="8" w:color="9A9A9A"/>
            </w:tcBorders>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5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gridSpan w:val="11"/>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tcPr>
          <w:p>
            <w:pPr>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Arial" w:cs="Arial" w:eastAsia="Arial" w:hAnsi="Arial"/>
                <w:sz w:val="13"/>
                <w:szCs w:val="13"/>
                <w:color w:val="auto"/>
              </w:rPr>
              <w:t>Line)</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20" w:type="dxa"/>
            <w:vAlign w:val="bottom"/>
          </w:tcPr>
          <w:p>
            <w:pPr>
              <w:spacing w:after="0"/>
              <w:rPr>
                <w:sz w:val="20"/>
                <w:szCs w:val="20"/>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7"/>
                <w:szCs w:val="17"/>
                <w:color w:val="0000FF"/>
              </w:rPr>
              <w:t>94158</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9"/>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60" w:type="dxa"/>
            <w:vAlign w:val="bottom"/>
            <w:gridSpan w:val="8"/>
            <w:vMerge w:val="restart"/>
          </w:tcPr>
          <w:p>
            <w:pPr>
              <w:ind w:left="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color w:val="auto"/>
              </w:rPr>
              <w:t>Person</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5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500" w:type="dxa"/>
            <w:vAlign w:val="bottom"/>
            <w:tcBorders>
              <w:bottom w:val="single" w:sz="8" w:color="2C2C2C"/>
            </w:tcBorders>
            <w:gridSpan w:val="11"/>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9"/>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3.</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11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Ownership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jc w:val="center"/>
              <w:ind w:left="2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jc w:val="center"/>
              <w:ind w:left="23"/>
              <w:spacing w:after="0"/>
              <w:rPr>
                <w:sz w:val="20"/>
                <w:szCs w:val="20"/>
                <w:color w:val="auto"/>
              </w:rPr>
            </w:pPr>
            <w:r>
              <w:rPr>
                <w:rFonts w:ascii="Arial" w:cs="Arial" w:eastAsia="Arial" w:hAnsi="Arial"/>
                <w:sz w:val="17"/>
                <w:szCs w:val="17"/>
                <w:color w:val="0000FF"/>
                <w:w w:val="91"/>
              </w:rPr>
              <w:t>03/23/2020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60" w:type="dxa"/>
            <w:vAlign w:val="bottom"/>
            <w:gridSpan w:val="2"/>
          </w:tcPr>
          <w:p>
            <w:pPr>
              <w:jc w:val="center"/>
              <w:ind w:right="36"/>
              <w:spacing w:after="0"/>
              <w:rPr>
                <w:sz w:val="20"/>
                <w:szCs w:val="20"/>
                <w:color w:val="auto"/>
              </w:rPr>
            </w:pPr>
            <w:r>
              <w:rPr>
                <w:rFonts w:ascii="Arial" w:cs="Arial" w:eastAsia="Arial" w:hAnsi="Arial"/>
                <w:sz w:val="17"/>
                <w:szCs w:val="17"/>
                <w:color w:val="0000FF"/>
                <w:w w:val="85"/>
              </w:rPr>
              <w:t>170,387</w:t>
            </w:r>
            <w:r>
              <w:rPr>
                <w:rFonts w:ascii="Arial" w:cs="Arial" w:eastAsia="Arial" w:hAnsi="Arial"/>
                <w:sz w:val="22"/>
                <w:szCs w:val="22"/>
                <w:color w:val="008000"/>
                <w:w w:val="85"/>
                <w:vertAlign w:val="superscript"/>
              </w:rPr>
              <w:t>(1)</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11.63</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91"/>
              </w:rPr>
              <w:t>17,074,284</w:t>
            </w:r>
          </w:p>
        </w:tc>
        <w:tc>
          <w:tcPr>
            <w:tcW w:w="34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jc w:val="center"/>
              <w:ind w:left="23"/>
              <w:spacing w:after="0"/>
              <w:rPr>
                <w:sz w:val="20"/>
                <w:szCs w:val="20"/>
                <w:color w:val="auto"/>
              </w:rPr>
            </w:pPr>
            <w:r>
              <w:rPr>
                <w:rFonts w:ascii="Arial" w:cs="Arial" w:eastAsia="Arial" w:hAnsi="Arial"/>
                <w:sz w:val="17"/>
                <w:szCs w:val="17"/>
                <w:color w:val="0000FF"/>
                <w:w w:val="91"/>
              </w:rPr>
              <w:t>03/24/2020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60" w:type="dxa"/>
            <w:vAlign w:val="bottom"/>
            <w:gridSpan w:val="2"/>
          </w:tcPr>
          <w:p>
            <w:pPr>
              <w:jc w:val="center"/>
              <w:ind w:right="36"/>
              <w:spacing w:after="0"/>
              <w:rPr>
                <w:sz w:val="20"/>
                <w:szCs w:val="20"/>
                <w:color w:val="auto"/>
              </w:rPr>
            </w:pPr>
            <w:r>
              <w:rPr>
                <w:rFonts w:ascii="Arial" w:cs="Arial" w:eastAsia="Arial" w:hAnsi="Arial"/>
                <w:sz w:val="17"/>
                <w:szCs w:val="17"/>
                <w:color w:val="0000FF"/>
                <w:w w:val="86"/>
              </w:rPr>
              <w:t>128,377</w:t>
            </w:r>
            <w:r>
              <w:rPr>
                <w:rFonts w:ascii="Arial" w:cs="Arial" w:eastAsia="Arial" w:hAnsi="Arial"/>
                <w:sz w:val="22"/>
                <w:szCs w:val="22"/>
                <w:color w:val="008000"/>
                <w:w w:val="86"/>
                <w:vertAlign w:val="superscript"/>
              </w:rPr>
              <w:t>(10)</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12.22</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91"/>
              </w:rPr>
              <w:t>17,202,661</w:t>
            </w:r>
          </w:p>
        </w:tc>
        <w:tc>
          <w:tcPr>
            <w:tcW w:w="34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jc w:val="center"/>
              <w:ind w:left="23"/>
              <w:spacing w:after="0"/>
              <w:rPr>
                <w:sz w:val="20"/>
                <w:szCs w:val="20"/>
                <w:color w:val="auto"/>
              </w:rPr>
            </w:pPr>
            <w:r>
              <w:rPr>
                <w:rFonts w:ascii="Arial" w:cs="Arial" w:eastAsia="Arial" w:hAnsi="Arial"/>
                <w:sz w:val="17"/>
                <w:szCs w:val="17"/>
                <w:color w:val="0000FF"/>
                <w:w w:val="91"/>
              </w:rPr>
              <w:t>03/25/2020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center"/>
              <w:ind w:right="116"/>
              <w:spacing w:after="0"/>
              <w:rPr>
                <w:sz w:val="20"/>
                <w:szCs w:val="20"/>
                <w:color w:val="auto"/>
              </w:rPr>
            </w:pPr>
            <w:r>
              <w:rPr>
                <w:rFonts w:ascii="Arial" w:cs="Arial" w:eastAsia="Arial" w:hAnsi="Arial"/>
                <w:sz w:val="17"/>
                <w:szCs w:val="17"/>
                <w:color w:val="0000FF"/>
                <w:w w:val="81"/>
              </w:rPr>
              <w:t>2,416</w:t>
            </w:r>
            <w:r>
              <w:rPr>
                <w:rFonts w:ascii="Arial" w:cs="Arial" w:eastAsia="Arial" w:hAnsi="Arial"/>
                <w:sz w:val="22"/>
                <w:szCs w:val="22"/>
                <w:color w:val="008000"/>
                <w:w w:val="81"/>
                <w:vertAlign w:val="superscript"/>
              </w:rPr>
              <w:t>(11)</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12.49</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88"/>
              </w:rPr>
              <w:t>17,205,077</w:t>
            </w:r>
            <w:r>
              <w:rPr>
                <w:rFonts w:ascii="Arial" w:cs="Arial" w:eastAsia="Arial" w:hAnsi="Arial"/>
                <w:sz w:val="22"/>
                <w:szCs w:val="22"/>
                <w:color w:val="008000"/>
                <w:w w:val="88"/>
                <w:vertAlign w:val="superscript"/>
              </w:rPr>
              <w:t>(12)</w:t>
            </w:r>
          </w:p>
        </w:tc>
        <w:tc>
          <w:tcPr>
            <w:tcW w:w="34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88"/>
              </w:rPr>
              <w:t>20,000</w:t>
            </w:r>
          </w:p>
        </w:tc>
        <w:tc>
          <w:tcPr>
            <w:tcW w:w="34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D</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gridSpan w:val="11"/>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60" w:type="dxa"/>
            <w:vAlign w:val="bottom"/>
            <w:gridSpan w:val="16"/>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Acquired</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34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24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3"/>
                <w:szCs w:val="13"/>
                <w:color w:val="auto"/>
              </w:rPr>
            </w:pPr>
          </w:p>
        </w:tc>
        <w:tc>
          <w:tcPr>
            <w:tcW w:w="320" w:type="dxa"/>
            <w:vAlign w:val="bottom"/>
          </w:tcPr>
          <w:p>
            <w:pPr>
              <w:ind w:left="140"/>
              <w:spacing w:after="0"/>
              <w:rPr>
                <w:sz w:val="20"/>
                <w:szCs w:val="20"/>
                <w:color w:val="auto"/>
              </w:rPr>
            </w:pPr>
            <w:r>
              <w:rPr>
                <w:rFonts w:ascii="Arial" w:cs="Arial" w:eastAsia="Arial" w:hAnsi="Arial"/>
                <w:sz w:val="12"/>
                <w:szCs w:val="12"/>
                <w:b w:val="1"/>
                <w:bCs w:val="1"/>
                <w:color w:val="auto"/>
                <w:w w:val="95"/>
              </w:rPr>
              <w:t>(A)</w:t>
            </w:r>
          </w:p>
        </w:tc>
        <w:tc>
          <w:tcPr>
            <w:tcW w:w="360" w:type="dxa"/>
            <w:vAlign w:val="bottom"/>
          </w:tcPr>
          <w:p>
            <w:pPr>
              <w:ind w:left="180"/>
              <w:spacing w:after="0"/>
              <w:rPr>
                <w:sz w:val="20"/>
                <w:szCs w:val="20"/>
                <w:color w:val="auto"/>
              </w:rPr>
            </w:pPr>
            <w:r>
              <w:rPr>
                <w:rFonts w:ascii="Arial" w:cs="Arial" w:eastAsia="Arial" w:hAnsi="Arial"/>
                <w:sz w:val="12"/>
                <w:szCs w:val="12"/>
                <w:b w:val="1"/>
                <w:bCs w:val="1"/>
                <w:color w:val="auto"/>
                <w:w w:val="95"/>
              </w:rPr>
              <w:t>(D)</w:t>
            </w:r>
          </w:p>
        </w:tc>
        <w:tc>
          <w:tcPr>
            <w:tcW w:w="8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w w:val="99"/>
              </w:rPr>
              <w:t>Date</w:t>
            </w:r>
          </w:p>
        </w:tc>
        <w:tc>
          <w:tcPr>
            <w:tcW w:w="38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-3897630</wp:posOffset>
            </wp:positionV>
            <wp:extent cx="7031355" cy="3943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943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80,020 shares held directly by The Column Group III, LP ("TCG III LP") and 90,367 shares held directly by The Column Group III-A, LP ("TCG III-A LP").</w:t>
      </w:r>
    </w:p>
    <w:p>
      <w:pPr>
        <w:spacing w:after="0" w:line="50"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 and indirectly held by The Column Group GP, LP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6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60,290 shares held directly by TCG III LP and 68,087 shares held directly by TCG III-A LP.</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1,135 shares held directly by TCG III LP and 1,281 shares held directly by TCG III-A LP.</w:t>
      </w:r>
    </w:p>
    <w:p>
      <w:pPr>
        <w:spacing w:after="0" w:line="50" w:lineRule="exact"/>
        <w:rPr>
          <w:rFonts w:ascii="Arial" w:cs="Arial" w:eastAsia="Arial" w:hAnsi="Arial"/>
          <w:sz w:val="13"/>
          <w:szCs w:val="13"/>
          <w:color w:val="008000"/>
        </w:rPr>
      </w:pPr>
    </w:p>
    <w:p>
      <w:pPr>
        <w:ind w:left="40" w:right="180" w:firstLine="7"/>
        <w:spacing w:after="0" w:line="245"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11,103,333 shares of Common Stock held directly by TCG LP, 2,265,758 shares of Common Stock held directly by TCG II LP, 100,000 shares of Common Stock held directly by TCG GP, 100,000 shares of Common Stock held directly by TCGM LP, 1,298,908 shares of Common Stock held directly by Ponoi LP, 1,298,908 shares of Common Stock held directly by Ponoi II LP, 487,561 shares of Common Stock held directly by TCG III LP and 550,609 shares of Common Stock held directly by TCG III-A LP. The Reporting Person disclaims beneficial ownership of the securities except to the extent of his pecuniary interest therein.</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03/25/2020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6074"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2020-03-25T18:46:31Z</dcterms:created>
  <dcterms:modified xsi:type="dcterms:W3CDTF">2020-03-25T18:46:31Z</dcterms:modified>
</cp:coreProperties>
</file>