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UNITED STATES</w:t>
      </w:r>
    </w:p>
    <w:p>
      <w:pPr>
        <w:pStyle w:val="TextBody"/>
        <w:bidi w:val="0"/>
        <w:spacing w:lineRule="auto" w:line="288"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12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8-K</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180" w:after="283"/>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CURRENT REPORT</w:t>
      </w:r>
    </w:p>
    <w:p>
      <w:pPr>
        <w:pStyle w:val="TextBody"/>
        <w:bidi w:val="0"/>
        <w:spacing w:lineRule="auto" w:line="288" w:before="120" w:after="283"/>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Date of Report (Date of earliest event reported): November 2, 2023</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12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NGM Biopharmaceuticals, Inc.</w:t>
      </w:r>
    </w:p>
    <w:p>
      <w:pPr>
        <w:pStyle w:val="TextBody"/>
        <w:bidi w:val="0"/>
        <w:spacing w:lineRule="auto" w:line="288" w:before="0" w:after="0"/>
        <w:jc w:val="center"/>
        <w:rPr>
          <w:rFonts w:ascii="Times New Roman;sans-serif" w:hAnsi="Times New Roman;sans-serif"/>
          <w:b/>
          <w:color w:val="000000"/>
          <w:sz w:val="14"/>
          <w:shd w:fill="FFFFFF" w:val="clear"/>
        </w:rPr>
      </w:pPr>
      <w:r>
        <w:rPr>
          <w:rFonts w:ascii="Times New Roman;sans-serif" w:hAnsi="Times New Roman;sans-serif"/>
          <w:b/>
          <w:color w:val="000000"/>
          <w:sz w:val="14"/>
          <w:shd w:fill="FFFFFF" w:val="clear"/>
        </w:rPr>
        <w:t>(Exact name of Registrant as Specified in Its Charter)</w:t>
      </w:r>
    </w:p>
    <w:p>
      <w:pPr>
        <w:pStyle w:val="TextBody"/>
        <w:bidi w:val="0"/>
        <w:spacing w:lineRule="auto" w:line="360" w:before="120" w:after="283"/>
        <w:jc w:val="center"/>
        <w:rPr>
          <w:rFonts w:ascii="Arial;sans-serif" w:hAnsi="Arial;sans-serif"/>
          <w:b w:val="false"/>
          <w:color w:val="000000"/>
          <w:sz w:val="24"/>
        </w:rPr>
      </w:pPr>
      <w:r>
        <w:rPr>
          <w:rFonts w:ascii="Arial;sans-serif" w:hAnsi="Arial;sans-serif"/>
          <w:b w:val="false"/>
          <w:color w:val="000000"/>
          <w:sz w:val="24"/>
        </w:rPr>
        <w:t>___________________</w:t>
      </w:r>
    </w:p>
    <w:tbl>
      <w:tblPr>
        <w:tblW w:w="5668" w:type="dxa"/>
        <w:jc w:val="left"/>
        <w:tblInd w:w="0" w:type="dxa"/>
        <w:tblLayout w:type="fixed"/>
        <w:tblCellMar>
          <w:top w:w="28" w:type="dxa"/>
          <w:left w:w="28" w:type="dxa"/>
          <w:bottom w:w="28" w:type="dxa"/>
          <w:right w:w="28" w:type="dxa"/>
        </w:tblCellMar>
      </w:tblPr>
      <w:tblGrid>
        <w:gridCol w:w="776"/>
        <w:gridCol w:w="680"/>
        <w:gridCol w:w="688"/>
        <w:gridCol w:w="678"/>
        <w:gridCol w:w="678"/>
        <w:gridCol w:w="684"/>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001-38853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26-1679911</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3943" w:type="dxa"/>
        <w:jc w:val="left"/>
        <w:tblInd w:w="0" w:type="dxa"/>
        <w:tblLayout w:type="fixed"/>
        <w:tblCellMar>
          <w:top w:w="28" w:type="dxa"/>
          <w:left w:w="28" w:type="dxa"/>
          <w:bottom w:w="28" w:type="dxa"/>
          <w:right w:w="28" w:type="dxa"/>
        </w:tblCellMar>
      </w:tblPr>
      <w:tblGrid>
        <w:gridCol w:w="1092"/>
        <w:gridCol w:w="959"/>
        <w:gridCol w:w="963"/>
        <w:gridCol w:w="272"/>
        <w:gridCol w:w="272"/>
        <w:gridCol w:w="385"/>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333 Oyster Point Boulevard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South San Francisco, CA </w:t>
            </w:r>
          </w:p>
        </w:tc>
        <w:tc>
          <w:tcPr>
            <w:tcW w:w="92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1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(650) 243-5555</w:t>
      </w:r>
    </w:p>
    <w:p>
      <w:pPr>
        <w:pStyle w:val="TextBody"/>
        <w:bidi w:val="0"/>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 Applicable</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(Former Name or Former Address, if Changed Since Last Report)</w:t>
      </w:r>
    </w:p>
    <w:p>
      <w:pPr>
        <w:pStyle w:val="TextBody"/>
        <w:bidi w:val="0"/>
        <w:spacing w:lineRule="auto" w:line="360" w:before="12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Check the appropriate box below if the Form 8-K filing is intended to simultaneously satisfy the filing obligation of the registrant under any of the following</w:t>
      </w:r>
      <w:r>
        <w:rPr>
          <w:color w:val="000000"/>
          <w:shd w:fill="FFFFFF" w:val="clear"/>
        </w:rPr>
        <w:t> </w:t>
      </w:r>
      <w:r>
        <w:rPr>
          <w:rFonts w:ascii="Times New Roman;sans-serif" w:hAnsi="Times New Roman;sans-serif"/>
          <w:b w:val="false"/>
          <w:color w:val="000000"/>
          <w:sz w:val="20"/>
          <w:shd w:fill="FFFFFF" w:val="clear"/>
        </w:rPr>
        <w:t>provisions (see General Instructions A.2. below):</w:t>
      </w:r>
      <w:r>
        <w:rPr>
          <w:color w:val="000000"/>
          <w:shd w:fill="FFFFFF" w:val="clear"/>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pPr>
      <w:r>
        <w:rPr>
          <w:rFonts w:ascii="Times New Roman;sans-serif" w:hAnsi="Times New Roman;sans-serif"/>
          <w:b w:val="false"/>
          <w:color w:val="000000"/>
          <w:sz w:val="20"/>
          <w:shd w:fill="FFFFFF" w:val="clear"/>
        </w:rPr>
        <w:t>Securities registered pursuant to Section 12(b) of the Act:</w:t>
      </w:r>
      <w:r>
        <w:rPr>
          <w:color w:val="000000"/>
          <w:shd w:fill="FFFFFF" w:val="clear"/>
        </w:rPr>
        <w:t> </w:t>
      </w:r>
    </w:p>
    <w:tbl>
      <w:tblPr>
        <w:tblW w:w="8498" w:type="dxa"/>
        <w:jc w:val="left"/>
        <w:tblInd w:w="0" w:type="dxa"/>
        <w:tblLayout w:type="fixed"/>
        <w:tblCellMar>
          <w:top w:w="28" w:type="dxa"/>
          <w:left w:w="28" w:type="dxa"/>
          <w:bottom w:w="28" w:type="dxa"/>
          <w:right w:w="28" w:type="dxa"/>
        </w:tblCellMar>
      </w:tblPr>
      <w:tblGrid>
        <w:gridCol w:w="1299"/>
        <w:gridCol w:w="1147"/>
        <w:gridCol w:w="1154"/>
        <w:gridCol w:w="109"/>
        <w:gridCol w:w="109"/>
        <w:gridCol w:w="109"/>
        <w:gridCol w:w="274"/>
        <w:gridCol w:w="274"/>
        <w:gridCol w:w="276"/>
        <w:gridCol w:w="109"/>
        <w:gridCol w:w="109"/>
        <w:gridCol w:w="109"/>
        <w:gridCol w:w="1000"/>
        <w:gridCol w:w="1000"/>
        <w:gridCol w:w="1420"/>
      </w:tblGrid>
      <w:tr>
        <w:trPr/>
        <w:tc>
          <w:tcPr>
            <w:tcW w:w="129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(§230.405 of this chapter)</w:t>
      </w:r>
      <w:r>
        <w:rPr>
          <w:color w:val="000000"/>
          <w:shd w:fill="FFFFFF" w:val="clear"/>
        </w:rPr>
        <w:t> </w:t>
      </w:r>
      <w:r>
        <w:rPr>
          <w:rFonts w:ascii="Times New Roman;sans-serif" w:hAnsi="Times New Roman;sans-serif"/>
          <w:b w:val="false"/>
          <w:color w:val="000000"/>
          <w:sz w:val="20"/>
          <w:shd w:fill="FFFFFF" w:val="clear"/>
        </w:rPr>
        <w:t xml:space="preserve">or Rule 12b-2 of the Securities Exchange Act of 1934 (§240.12b-2 of this chapter). Emerging growth company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w:t>
      </w:r>
      <w:r>
        <w:rPr>
          <w:color w:val="000000"/>
          <w:shd w:fill="FFFFFF" w:val="clear"/>
        </w:rPr>
        <w:t> </w:t>
      </w:r>
      <w:r>
        <w:rPr>
          <w:rFonts w:ascii="Times New Roman;sans-serif" w:hAnsi="Times New Roman;sans-serif"/>
          <w:b w:val="false"/>
          <w:color w:val="000000"/>
          <w:sz w:val="20"/>
          <w:shd w:fill="FFFFFF" w:val="clear"/>
        </w:rPr>
        <w:t xml:space="preserve">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2, 2023, NGM Biopharmaceuticals, Inc. reported its financial results for the third quarter ended September 30, 2023. A copy of the press release titled “NGM Bio Reports Third Quarter 2023 Financial Results and Provides Business Highlights,” is furnished pursuant to Item 2.02. A copy of the press release is attached hereto as Exhibit 99.1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70"/>
        <w:gridCol w:w="2570"/>
        <w:gridCol w:w="36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gm-20231102xexx991.htm">
              <w:r>
                <w:rPr>
                  <w:rStyle w:val="InternetLink"/>
                  <w:rFonts w:ascii="Times New Roman;sans-serif" w:hAnsi="Times New Roman;sans-serif"/>
                  <w:b w:val="false"/>
                  <w:color w:val="000080"/>
                  <w:sz w:val="20"/>
                  <w:u w:val="single"/>
                </w:rPr>
                <w:t xml:space="preserve">Press release, dated </w:t>
              </w:r>
            </w:hyperlink>
            <w:hyperlink w:anchor="ngm-20231102xexx991.htm">
              <w:r>
                <w:rPr>
                  <w:rStyle w:val="InternetLink"/>
                  <w:rFonts w:ascii="Times New Roman;sans-serif" w:hAnsi="Times New Roman;sans-serif"/>
                  <w:b w:val="false"/>
                  <w:color w:val="000080"/>
                  <w:sz w:val="20"/>
                  <w:u w:val="single"/>
                </w:rPr>
                <w:t>N</w:t>
              </w:r>
            </w:hyperlink>
            <w:hyperlink w:anchor="ngm-20231102xexx991.htm">
              <w:r>
                <w:rPr>
                  <w:rStyle w:val="InternetLink"/>
                  <w:rFonts w:ascii="Times New Roman;sans-serif" w:hAnsi="Times New Roman;sans-serif"/>
                  <w:b w:val="false"/>
                  <w:color w:val="000080"/>
                  <w:sz w:val="20"/>
                  <w:u w:val="single"/>
                </w:rPr>
                <w:t>ovember 2</w:t>
              </w:r>
            </w:hyperlink>
            <w:hyperlink w:anchor="ngm-20231102xexx991.htm">
              <w:r>
                <w:rPr>
                  <w:rStyle w:val="InternetLink"/>
                  <w:rFonts w:ascii="Times New Roman;sans-serif" w:hAnsi="Times New Roman;sans-serif"/>
                  <w:b w:val="false"/>
                  <w:color w:val="000080"/>
                  <w:sz w:val="20"/>
                  <w:u w:val="single"/>
                </w:rPr>
                <w:t xml:space="preserve">, 2023, titled “NGM Bio Reports </w:t>
              </w:r>
            </w:hyperlink>
            <w:hyperlink w:anchor="ngm-20231102xexx991.htm">
              <w:r>
                <w:rPr>
                  <w:rStyle w:val="InternetLink"/>
                  <w:rFonts w:ascii="Times New Roman;sans-serif" w:hAnsi="Times New Roman;sans-serif"/>
                  <w:b w:val="false"/>
                  <w:color w:val="000080"/>
                  <w:sz w:val="20"/>
                  <w:u w:val="single"/>
                </w:rPr>
                <w:t>Third</w:t>
              </w:r>
            </w:hyperlink>
            <w:hyperlink w:anchor="ngm-20231102xexx991.htm">
              <w:r>
                <w:rPr>
                  <w:rStyle w:val="InternetLink"/>
                  <w:rFonts w:ascii="Times New Roman;sans-serif" w:hAnsi="Times New Roman;sans-serif"/>
                  <w:b w:val="false"/>
                  <w:color w:val="000080"/>
                  <w:sz w:val="20"/>
                  <w:u w:val="single"/>
                </w:rPr>
                <w:t xml:space="preserve"> Quarter 2023 Financial Results and Provides Business Highlights."</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in this report, including the exhibit hereto, is being furnished and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as amended, the Registrant has duly caused this report to be signed on its behalf by the undersigned hereunto duly authorized. </w:t>
      </w:r>
    </w:p>
    <w:tbl>
      <w:tblPr>
        <w:tblW w:w="6769" w:type="dxa"/>
        <w:jc w:val="left"/>
        <w:tblInd w:w="0" w:type="dxa"/>
        <w:tblLayout w:type="fixed"/>
        <w:tblCellMar>
          <w:top w:w="28" w:type="dxa"/>
          <w:left w:w="28" w:type="dxa"/>
          <w:bottom w:w="28" w:type="dxa"/>
          <w:right w:w="28" w:type="dxa"/>
        </w:tblCellMar>
      </w:tblPr>
      <w:tblGrid>
        <w:gridCol w:w="797"/>
        <w:gridCol w:w="700"/>
        <w:gridCol w:w="707"/>
        <w:gridCol w:w="432"/>
        <w:gridCol w:w="432"/>
        <w:gridCol w:w="432"/>
        <w:gridCol w:w="956"/>
        <w:gridCol w:w="956"/>
        <w:gridCol w:w="1357"/>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NGM Biopharmaceuticals, Inc.</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2, 2023</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Siobhan Nolan Mangini</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Siobhan Nolan Mangini</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240" w:after="120"/>
        <w:jc w:val="center"/>
        <w:rPr/>
      </w:pPr>
      <w:r>
        <w:rPr/>
        <w:drawing>
          <wp:inline distT="0" distB="0" distL="0" distR="0">
            <wp:extent cx="22860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71500"/>
                    </a:xfrm>
                    <a:prstGeom prst="rect">
                      <a:avLst/>
                    </a:prstGeom>
                  </pic:spPr>
                </pic:pic>
              </a:graphicData>
            </a:graphic>
          </wp:inline>
        </w:drawing>
      </w:r>
    </w:p>
    <w:p>
      <w:pPr>
        <w:pStyle w:val="TextBody"/>
        <w:bidi w:val="0"/>
        <w:spacing w:before="240" w:after="120"/>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NGM Bio Reports Third Quarter 2023 Financial Results and Provides Business Highlights</w:t>
      </w:r>
    </w:p>
    <w:p>
      <w:pPr>
        <w:pStyle w:val="TextBody"/>
        <w:bidi w:val="0"/>
        <w:spacing w:before="0" w:after="0"/>
        <w:jc w:val="center"/>
        <w:rPr/>
      </w:pPr>
      <w:r>
        <w:rPr/>
      </w:r>
    </w:p>
    <w:p>
      <w:pPr>
        <w:pStyle w:val="TextBody"/>
        <w:bidi w:val="0"/>
        <w:spacing w:lineRule="auto" w:line="288" w:before="0" w:after="120"/>
        <w:ind w:left="0" w:right="0" w:hanging="360"/>
        <w:jc w:val="left"/>
        <w:rPr/>
      </w:pPr>
      <w:r>
        <w:rPr>
          <w:color w:val="000000"/>
        </w:rPr>
        <w:t>•</w:t>
      </w:r>
      <w:r>
        <w:rPr>
          <w:rFonts w:ascii="Helvetica;sans-serif" w:hAnsi="Helvetica;sans-serif"/>
          <w:b w:val="false"/>
          <w:color w:val="000000"/>
          <w:sz w:val="20"/>
          <w:shd w:fill="FFFFFF" w:val="clear"/>
        </w:rPr>
        <w:t>Jean-Frédéric Viret, Ph.D., has been appointed as Chief Financial Officer effective November 3, 2023</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Continued to progress myeloid checkpoint solid tumor programs: NGM707, NGM831 and NGM438</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Selected for an oral plenary presentation of data from Phase 2b ALPINE 4 trial of aldafermin in compensated cirrhosis (F4) due to NASH at upcoming AASLD The Liver Meeting®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Reported $166.0 million in cash, cash equivalents and marketable securities as of September 30, 2023, with expected cash runway into mid-2025 </w:t>
      </w:r>
    </w:p>
    <w:p>
      <w:pPr>
        <w:pStyle w:val="TextBody"/>
        <w:bidi w:val="0"/>
        <w:spacing w:lineRule="auto" w:line="288" w:before="240" w:after="120"/>
        <w:jc w:val="left"/>
        <w:rPr/>
      </w:pPr>
      <w:r>
        <w:rPr>
          <w:rFonts w:ascii="Arial;sans-serif" w:hAnsi="Arial;sans-serif"/>
          <w:b/>
          <w:color w:val="000000"/>
          <w:sz w:val="20"/>
        </w:rPr>
        <w:t>South San Francisco, CA, </w:t>
      </w:r>
      <w:r>
        <w:rPr>
          <w:rFonts w:ascii="Arial;sans-serif" w:hAnsi="Arial;sans-serif"/>
          <w:b w:val="false"/>
          <w:color w:val="000000"/>
          <w:sz w:val="20"/>
        </w:rPr>
        <w:t>November 2, 2023 – NGM Biopharmaceuticals, Inc. (NGM Bio) (Nasdaq: NGM), a clinical-stage biotechnology company focused on discovering and developing transformative therapeutics for patients, today reported financial results for the quarterly period ended September 30, 2023 and provided business highlights.</w:t>
      </w:r>
      <w:r>
        <w:rPr>
          <w:color w:val="000000"/>
        </w:rPr>
        <w:t> </w:t>
      </w:r>
    </w:p>
    <w:p>
      <w:pPr>
        <w:pStyle w:val="TextBody"/>
        <w:bidi w:val="0"/>
        <w:spacing w:lineRule="auto" w:line="288" w:before="120" w:after="120"/>
        <w:jc w:val="left"/>
        <w:rPr>
          <w:color w:val="000000"/>
        </w:rPr>
      </w:pPr>
      <w:r>
        <w:rPr>
          <w:color w:val="000000"/>
        </w:rPr>
        <w:t>“</w:t>
      </w:r>
      <w:r>
        <w:rPr>
          <w:rFonts w:ascii="Arial;sans-serif" w:hAnsi="Arial;sans-serif"/>
          <w:b w:val="false"/>
          <w:color w:val="000000"/>
          <w:sz w:val="20"/>
        </w:rPr>
        <w:t>In the third quarter, we continued to advance our efforts to develop novel medicines for cancer and other grievous diseases. This includes steady progress across our clinical-stage solid tumor oncology portfolio,” said David J. Woodhouse, Ph.D., Chief Executive Officer at NGM Bio. “We also announced that comprehensive data from our completed Phase 2b 48-week ALPINE 4 trial of aldafermin in compensated cirrhosis, or F4, patients due to NASH was selected for an oral plenary presentation at the upcoming AASLD The Liver Meeting in November. We are pleased that the ALPINE 4 trial achieved its primary endpoint with positive, statistically significant results across multiple measures, demonstrating clinical impact in this very advanced, difficult-to-treat patient population. This is an important milestone as we seek to partner aldafermin for continued, late-stage development.”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Key Third Quarter and Recent Highlights</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Solid Tumor Oncology</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In the Phase 1/2 trial evaluating NGM707, an ILT2/ILT4 antagonist antibody product candidate, as a monotherapy and in combination with KEYTRUDA</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(pembrolizumab) for the treatment of patients with advanced or metastatic solid tumors, completed enrollment in the Phase 1, Part 1a (monotherapy dose escalation) cohort. Enrollment in the Phase 1, Part 1b (combination dose escalation with pembrolizumab) cohort is ongoing.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In the Phase 1/1b trial evaluating NGM438, a LAIR1 antagonist antibody product candidate, as a monotherapy and in combination with pembrolizumab for the treatment of patients with advanced or metastatic solid tumors, completed enrollment in the Phase 1, Part 1a (monotherapy dose escalation) cohort and the Phase 1, Part 1b (combination dose escalation with pembrolizumab) cohort is nearing completion of enrollment.</w:t>
      </w:r>
      <w:r>
        <w:rPr>
          <w:color w:val="000000"/>
        </w:rPr>
        <w:t xml:space="preserve"> </w:t>
      </w:r>
      <w:r>
        <w:rPr>
          <w:rFonts w:ascii="Arial;sans-serif" w:hAnsi="Arial;sans-serif"/>
          <w:b w:val="false"/>
          <w:color w:val="000000"/>
          <w:sz w:val="20"/>
        </w:rPr>
        <w:t>NGM438, alone and in combination with pembrolizumab, has been well-tolerated and there have been no dose limiting toxicities to date.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In the Phase 1/1b trial evaluating NGM831, an ILT3 antagonist antibody product candidate, as a monotherapy and in combination with pembrolizumab for the treatment of patients with advanced or metastatic solid tumors, completed enrollment in both a Phase 1, Part 1a and a Phase 1, Part 1b cohort.</w:t>
      </w:r>
      <w:r>
        <w:rPr>
          <w:color w:val="000000"/>
        </w:rPr>
        <w:t xml:space="preserve"> </w:t>
      </w:r>
      <w:r>
        <w:rPr>
          <w:rFonts w:ascii="Arial;sans-serif" w:hAnsi="Arial;sans-serif"/>
          <w:b w:val="false"/>
          <w:color w:val="000000"/>
          <w:sz w:val="20"/>
        </w:rPr>
        <w:t>NGM831, alone and in combination with pembrolizumab, has been well-tolerated and there have been no dose limiting toxicities to date.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left"/>
        <w:rPr/>
      </w:pPr>
      <w:r>
        <w:rPr>
          <w:rFonts w:ascii="Arial;sans-serif" w:hAnsi="Arial;sans-serif"/>
          <w:b/>
          <w:i/>
          <w:color w:val="000000"/>
          <w:sz w:val="20"/>
        </w:rPr>
        <w:t>Aldafermin</w:t>
      </w:r>
      <w:r>
        <w:rPr>
          <w:color w:val="000000"/>
        </w:rPr>
        <w:t xml:space="preserve">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Upcoming oral plenary presentation of data from Phase 2b ALPINE 4 trial of aldafermin in compensated cirrhosis (F4) due to NASH to be presented at AASLD The Liver Meeting taking place November 10–14, 2023, in Boston, MA.</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Corporate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shd w:fill="FFFFFF" w:val="clear"/>
        </w:rPr>
        <w:t xml:space="preserve">Jean-Frédéric Viret, Ph.D., has been appointed as Chief Financial Officer (CFO) effective November 3, 2023. Dr. Viret brings a wealth of experience to this role, having previously served for seven years (2014–2021) as CFO of Coherus BioSciences, Inc., a commercial-stage, publicly traded, biopharmaceutical company focused on the research, development and commercialization of biosimilars and biologics to treat cancer, and more recently as CFO of Shasqi, Inc. and Blade Therapeutics, Inc., two privately held biotechnology companies focused on oncology and fibrotic disease, respectively. </w:t>
      </w:r>
      <w:r>
        <w:rPr>
          <w:rFonts w:ascii="Arial;sans-serif" w:hAnsi="Arial;sans-serif"/>
          <w:b w:val="false"/>
          <w:color w:val="222222"/>
          <w:sz w:val="20"/>
          <w:shd w:fill="FFFFFF" w:val="clear"/>
        </w:rPr>
        <w:t>Earlier in his career, Dr. Viret was CFO at diaDexus, Inc., XDx, Inc. (now CareDx, Inc</w:t>
      </w:r>
      <w:r>
        <w:rPr>
          <w:rFonts w:ascii="Arial;sans-serif" w:hAnsi="Arial;sans-serif"/>
          <w:b w:val="false"/>
          <w:color w:val="222222"/>
          <w:sz w:val="20"/>
        </w:rPr>
        <w:t>.) and Anesiva, I</w:t>
      </w:r>
      <w:r>
        <w:rPr>
          <w:rFonts w:ascii="Arial;sans-serif" w:hAnsi="Arial;sans-serif"/>
          <w:b w:val="false"/>
          <w:color w:val="222222"/>
          <w:sz w:val="20"/>
          <w:shd w:fill="FFFFFF" w:val="clear"/>
        </w:rPr>
        <w:t xml:space="preserve">nc. and worked in a variety of finance roles at Tularik Inc. and </w:t>
      </w:r>
      <w:r>
        <w:rPr>
          <w:rFonts w:ascii="Arial;sans-serif" w:hAnsi="Arial;sans-serif"/>
          <w:b w:val="false"/>
          <w:color w:val="000000"/>
          <w:sz w:val="20"/>
          <w:shd w:fill="FFFFFF" w:val="clear"/>
        </w:rPr>
        <w:t>PricewaterhouseCoopers LLP (now PwC)</w:t>
      </w:r>
      <w:r>
        <w:rPr>
          <w:rFonts w:ascii="Helvetica;sans-serif" w:hAnsi="Helvetica;sans-serif"/>
          <w:b w:val="false"/>
          <w:color w:val="000000"/>
          <w:sz w:val="20"/>
          <w:shd w:fill="FFFFFF" w:val="clear"/>
        </w:rPr>
        <w:t>.</w:t>
      </w: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Third Quarter 2023 Financial Results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NGM Bio reported a net loss of $28.8 million for the quarter ended September 30, 2023, compared to a net loss of $47.3 million for the same period in 2022.</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Related party revenue from our collaboration with Merck Sharp &amp; Dohme LLC, or Merck, was $0.6 million for the quarter ended September 30, 2023, compared to $7.9 million for the same period in 2022. Our related party revenue from Merck will continue to decrease in 2023 and we expect minimal funding from Merck from October 1, 2023 through March 31, 2024.</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Research and development expenses were $22.9 million for the quarter ended September 30, 2023, compared to $46.1 million for the same period in 2022.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General and administrative expenses were $8.7 million for the quarter ended September 30, 2023, compared to $10.1 million for the same period in 2022.</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Cash, cash equivalents and short-term marketable securities were $166.0 million as of September 30, 2023, compared to $271.5 million as of December 31, 2022. NGM Bio expects its cash, cash equivalents and marketable securities will be sufficient to fund its planned operations into mid-2025. NGM Bio has based this estimate on plans and assumptions that may prove to be insufficient or inaccurate (for example, with respect to anticipated costs, timing or success of certain activities), and NGM Bio could utilize its available financial resources sooner than it currently expects. </w:t>
      </w: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About NGM Biopharmaceuticals, Inc.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NGM Bio is focused on discovering and developing novel,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always led by biology and motivated by unmet patient need. Visit us at www.ngmbio.com for more information.</w:t>
      </w:r>
    </w:p>
    <w:p>
      <w:pPr>
        <w:pStyle w:val="TextBody"/>
        <w:bidi w:val="0"/>
        <w:spacing w:lineRule="auto" w:line="288" w:before="120" w:after="120"/>
        <w:jc w:val="left"/>
        <w:rPr>
          <w:rFonts w:ascii="Arial;sans-serif" w:hAnsi="Arial;sans-serif"/>
          <w:b w:val="false"/>
          <w:i/>
          <w:color w:val="000000"/>
          <w:sz w:val="16"/>
        </w:rPr>
      </w:pPr>
      <w:r>
        <w:rPr>
          <w:rFonts w:ascii="Arial;sans-serif" w:hAnsi="Arial;sans-serif"/>
          <w:b w:val="false"/>
          <w:i/>
          <w:color w:val="000000"/>
          <w:sz w:val="16"/>
        </w:rPr>
        <w:t>KEYTRUDA® is a registered trademark of Merck Sharp &amp; Dohme Corp., a subsidiary of Merck &amp; Co., Inc., Rahway, NJ, USA</w:t>
      </w: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Abbreviations (in Alphabetical Order)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F4=Fibrosis stage 4; ILT2=Immunoglobin-Like Transcript 2; ILT3=Immunoglobin-Like Transcript 3; ILT4=Immunoglobin-Like Transcript 4; LAIR1=Leukocyte-Associated Immunoglobulin-Like Receptor 1; NASH=non-alcoholic steatohepatitis </w:t>
      </w: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Statements contained in this press release regarding matters that are not historical facts are “forward-looking statements” within the meaning of the Private Securities Litigation Reform Act of 1995. Words such as “will,” “could,” “expect,” “expected,” “promising,” “aspires,” “aims” and similar expressions (as well as other words or expressions referencing future events, conditions or circumstances) are intended to identify forward-looking statements. These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pPr>
      <w:r>
        <w:rPr>
          <w:rFonts w:ascii="Arial;sans-serif" w:hAnsi="Arial;sans-serif"/>
          <w:b w:val="false"/>
          <w:color w:val="000000"/>
          <w:sz w:val="20"/>
        </w:rPr>
        <w:t>statements include those related to: the therapeutic potential of NGM Bio’s product candidates; NGM Bio’s continued pipeline development, including identification and engagement of third-party partners for potential future business development arrangements (“BD Arrangements”) to determine further development of programs currently without significant resource allocation, including aldafermin, and research and development and discovery engine output; NGM Bio’s expectation of continued decreasing revenue from Merck; the sufficiency of NGM Bio’s cash resources to fund its planned operations into mid-2025; and other statements that are not historical fact.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risks related to failure or delays in successfully initiating, enrolling, reporting data from or completing clinical studies, as well as the risks that results obtained in preclinical or clinical trials to date may not be indicative of results obtained in future trials; NGM Bio’s reliance on its amended collaboration with Merck; NGM Bio’s ability to identify, attract and engage third-party partners for BD Arrangements, if any, relating to its programs currently without significant resource allocation, including NGM621, aldafermin, NGM313 (MK-3655)</w:t>
      </w:r>
      <w:r>
        <w:rPr>
          <w:color w:val="000000"/>
        </w:rPr>
        <w:t xml:space="preserve"> </w:t>
      </w:r>
      <w:r>
        <w:rPr>
          <w:rFonts w:ascii="Arial;sans-serif" w:hAnsi="Arial;sans-serif"/>
          <w:b w:val="false"/>
          <w:color w:val="000000"/>
          <w:sz w:val="20"/>
        </w:rPr>
        <w:t>and NGM936, or otherwise; the time-consuming and uncertain regulatory approval process; NGM Bio’s reliance on third-party manufacturers for its product candidates and the risks inherent in manufacturing and testing pharmaceutical products; the sufficiency of NGM Bio’s cash resources and expected cash runway, including the risk that NGM Bio could utilize its available capital resources sooner than it currently expects and its need for additional capital; macroeconomic conditions (such as the impacts of the ongoing COVID-19 pandemic, global geopolitical conflict, global economic slowdown, increased inflation, rising interest rates and recent and potential future bank failures); and other risks and uncertainties affecting NGM Bio and its development programs, including those discussed in the section titled “Risk Factors” in NGM Bio’s Quarterly Report on Form 10-Q for the quarter ended June 30, 2023 filed with the United States Securities and Exchange Commission (“SEC”) on August 3, 2023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631" w:type="dxa"/>
        <w:jc w:val="left"/>
        <w:tblInd w:w="0" w:type="dxa"/>
        <w:tblLayout w:type="fixed"/>
        <w:tblCellMar>
          <w:top w:w="28" w:type="dxa"/>
          <w:left w:w="28" w:type="dxa"/>
          <w:bottom w:w="28" w:type="dxa"/>
          <w:right w:w="28" w:type="dxa"/>
        </w:tblCellMar>
      </w:tblPr>
      <w:tblGrid>
        <w:gridCol w:w="614"/>
        <w:gridCol w:w="539"/>
        <w:gridCol w:w="542"/>
        <w:gridCol w:w="567"/>
        <w:gridCol w:w="567"/>
        <w:gridCol w:w="802"/>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Investor Contact:</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ir@ngmbio.com</w:t>
            </w:r>
          </w:p>
        </w:tc>
        <w:tc>
          <w:tcPr>
            <w:tcW w:w="19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p>
            <w:pPr>
              <w:pStyle w:val="TableContents"/>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media@ngmbio.com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NGM BIOPHARMACEUTICALS,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OPERATIONS</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 except per share amounts)</w:t>
      </w:r>
    </w:p>
    <w:p>
      <w:pPr>
        <w:pStyle w:val="TextBody"/>
        <w:bidi w:val="0"/>
        <w:spacing w:lineRule="auto" w:line="288" w:before="0" w:after="120"/>
        <w:jc w:val="center"/>
        <w:rPr>
          <w:rFonts w:ascii="Arial;sans-serif" w:hAnsi="Arial;sans-serif"/>
          <w:b/>
          <w:color w:val="000000"/>
          <w:sz w:val="20"/>
          <w:shd w:fill="FFFFFF" w:val="clear"/>
        </w:rPr>
      </w:pPr>
      <w:r>
        <w:rPr>
          <w:rFonts w:ascii="Arial;sans-serif" w:hAnsi="Arial;sans-serif"/>
          <w:b/>
          <w:color w:val="000000"/>
          <w:sz w:val="20"/>
          <w:shd w:fill="FFFFFF" w:val="clear"/>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94"/>
        <w:gridCol w:w="1375"/>
        <w:gridCol w:w="1380"/>
        <w:gridCol w:w="211"/>
        <w:gridCol w:w="784"/>
        <w:gridCol w:w="109"/>
        <w:gridCol w:w="109"/>
        <w:gridCol w:w="109"/>
        <w:gridCol w:w="109"/>
        <w:gridCol w:w="211"/>
        <w:gridCol w:w="784"/>
        <w:gridCol w:w="109"/>
        <w:gridCol w:w="109"/>
        <w:gridCol w:w="109"/>
        <w:gridCol w:w="109"/>
        <w:gridCol w:w="211"/>
        <w:gridCol w:w="889"/>
        <w:gridCol w:w="109"/>
        <w:gridCol w:w="109"/>
        <w:gridCol w:w="109"/>
        <w:gridCol w:w="109"/>
        <w:gridCol w:w="211"/>
        <w:gridCol w:w="889"/>
        <w:gridCol w:w="158"/>
      </w:tblGrid>
      <w:tr>
        <w:trPr/>
        <w:tc>
          <w:tcPr>
            <w:tcW w:w="179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(127,952)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(126,230)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used to compute net loss per share, basic and diluted</w:t>
            </w:r>
          </w:p>
        </w:tc>
        <w:tc>
          <w:tcPr>
            <w:tcW w:w="99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79,331 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NGM BIOPHARMACEUTICALS,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BALANCE SHEETS</w:t>
      </w:r>
    </w:p>
    <w:p>
      <w:pPr>
        <w:pStyle w:val="TextBody"/>
        <w:bidi w:val="0"/>
        <w:spacing w:lineRule="auto" w:line="288" w:before="0" w:after="0"/>
        <w:jc w:val="center"/>
        <w:rPr/>
      </w:pPr>
      <w:r>
        <w:rPr>
          <w:rFonts w:ascii="Arial;sans-serif" w:hAnsi="Arial;sans-serif"/>
          <w:b/>
          <w:color w:val="000000"/>
          <w:sz w:val="20"/>
          <w:shd w:fill="FFFFFF" w:val="clear"/>
        </w:rPr>
        <w:t xml:space="preserve">(In thousands, </w:t>
      </w:r>
      <w:r>
        <w:rPr>
          <w:rFonts w:ascii="Arial;sans-serif" w:hAnsi="Arial;sans-serif"/>
          <w:b/>
          <w:color w:val="000000"/>
          <w:sz w:val="20"/>
        </w:rPr>
        <w:t>except per share amounts</w:t>
      </w:r>
      <w:r>
        <w:rPr>
          <w:rFonts w:ascii="Arial;sans-serif" w:hAnsi="Arial;sans-serif"/>
          <w:b/>
          <w:color w:val="000000"/>
          <w:sz w:val="20"/>
          <w:shd w:fill="FFFFFF" w:val="clear"/>
        </w:rPr>
        <w:t>)</w:t>
      </w:r>
      <w:r>
        <w:rPr>
          <w:color w:val="000000"/>
          <w:shd w:fill="FFFFFF" w:val="clear"/>
        </w:rPr>
        <w:t> </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(Unaudited)</w:t>
      </w:r>
    </w:p>
    <w:p>
      <w:pPr>
        <w:pStyle w:val="TextBody"/>
        <w:bidi w:val="0"/>
        <w:spacing w:before="0" w:after="0"/>
        <w:jc w:val="center"/>
        <w:rPr/>
      </w:pPr>
      <w:r>
        <w:rPr/>
      </w:r>
    </w:p>
    <w:tbl>
      <w:tblPr>
        <w:tblW w:w="7272" w:type="dxa"/>
        <w:jc w:val="left"/>
        <w:tblInd w:w="0" w:type="dxa"/>
        <w:tblLayout w:type="fixed"/>
        <w:tblCellMar>
          <w:top w:w="28" w:type="dxa"/>
          <w:left w:w="28" w:type="dxa"/>
          <w:bottom w:w="28" w:type="dxa"/>
          <w:right w:w="28" w:type="dxa"/>
        </w:tblCellMar>
      </w:tblPr>
      <w:tblGrid>
        <w:gridCol w:w="1538"/>
        <w:gridCol w:w="1349"/>
        <w:gridCol w:w="1358"/>
        <w:gridCol w:w="242"/>
        <w:gridCol w:w="983"/>
        <w:gridCol w:w="125"/>
        <w:gridCol w:w="109"/>
        <w:gridCol w:w="109"/>
        <w:gridCol w:w="109"/>
        <w:gridCol w:w="233"/>
        <w:gridCol w:w="947"/>
        <w:gridCol w:w="170"/>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marketable securities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177,038 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288,859 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$0.001 par value</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$0.001 par value</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841,413 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(696,338)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192,150 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300" w:before="0" w:after="160"/>
        <w:ind w:left="0" w:right="0" w:hanging="360"/>
        <w:jc w:val="left"/>
        <w:rPr>
          <w:color w:val="000000"/>
        </w:rPr>
      </w:pPr>
      <w:r>
        <w:rPr>
          <w:color w:val="000000"/>
        </w:rPr>
        <w:t>    </w:t>
      </w:r>
      <w:r>
        <w:rPr>
          <w:rFonts w:ascii="Arial;sans-serif" w:hAnsi="Arial;sans-serif"/>
          <w:b w:val="false"/>
          <w:color w:val="000000"/>
          <w:sz w:val="18"/>
        </w:rPr>
        <w:t>* Derived from the audited consolidated financial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2427</Words>
  <Characters>14287</Characters>
  <CharactersWithSpaces>16553</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