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4, 2021</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c>
          <w:tcPr>
            <w:tcW w:w="0" w:type="dxa"/>
            <w:vAlign w:val="bottom"/>
          </w:tcPr>
          <w:p>
            <w:pPr>
              <w:spacing w:after="0"/>
              <w:rPr>
                <w:sz w:val="1"/>
                <w:szCs w:val="1"/>
                <w:color w:val="auto"/>
              </w:rPr>
            </w:pPr>
          </w:p>
        </w:tc>
      </w:tr>
      <w:tr>
        <w:trPr>
          <w:trHeight w:val="16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14"/>
                <w:szCs w:val="14"/>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7"/>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333 Oyster Point Boulevard</w:t>
            </w:r>
          </w:p>
        </w:tc>
        <w:tc>
          <w:tcPr>
            <w:tcW w:w="4880" w:type="dxa"/>
            <w:vAlign w:val="bottom"/>
          </w:tcPr>
          <w:p>
            <w:pPr>
              <w:spacing w:after="0"/>
              <w:rPr>
                <w:sz w:val="24"/>
                <w:szCs w:val="24"/>
                <w:color w:val="auto"/>
              </w:rPr>
            </w:pPr>
          </w:p>
        </w:tc>
        <w:tc>
          <w:tcPr>
            <w:tcW w:w="170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220"/>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South San Francisco, CA</w:t>
            </w:r>
          </w:p>
        </w:tc>
        <w:tc>
          <w:tcPr>
            <w:tcW w:w="48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62"/>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60"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20"/>
          <w:szCs w:val="20"/>
          <w:color w:val="auto"/>
        </w:rPr>
        <w:t>☒</w:t>
      </w:r>
    </w:p>
    <w:p>
      <w:pPr>
        <w:spacing w:after="0" w:line="6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November 4, 2021, NGM Biopharmaceuticals, Inc. provided business highlights and reported its financial results for the third quarter ended September 30, 2021. A copy of the press release titled “NGM Bio Provides Business Highlights and Reports Third Quarter 2021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gridSpan w:val="2"/>
          </w:tcPr>
          <w:p>
            <w:pPr>
              <w:ind w:left="2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20" w:type="dxa"/>
            <w:vAlign w:val="bottom"/>
            <w:tcBorders>
              <w:top w:val="single" w:sz="8" w:color="auto"/>
              <w:bottom w:val="single" w:sz="8" w:color="0000FF"/>
            </w:tcBorders>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dated November 4, 2021, titled “NGM Bio Provides Business Highlights and Reports Third Quarter 2021</w:t>
              </w:r>
            </w:hyperlink>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Financial Results.”</w:t>
              </w:r>
            </w:hyperlink>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20"/>
        <w:spacing w:after="0"/>
        <w:tabs>
          <w:tab w:leader="none" w:pos="5520" w:val="left"/>
          <w:tab w:leader="none" w:pos="596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157480</wp:posOffset>
            </wp:positionV>
            <wp:extent cx="152590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Third Quarter 2021 Financial Results</w:t>
      </w:r>
    </w:p>
    <w:p>
      <w:pPr>
        <w:spacing w:after="0" w:line="315" w:lineRule="exact"/>
        <w:rPr>
          <w:sz w:val="20"/>
          <w:szCs w:val="20"/>
          <w:color w:val="auto"/>
        </w:rPr>
      </w:pPr>
    </w:p>
    <w:p>
      <w:pPr>
        <w:ind w:left="660" w:right="160" w:hanging="328"/>
        <w:spacing w:after="0" w:line="23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Presented preliminary Phase 1a/1b trial findings at ESMO 2021 for NGM120, a GFRAL antagonist antibody product candidate, that showed the drug was well tolerated in advanced solid tumors and provided encouraging initial signals of anti-cancer activity in patients with metastatic pancreatic cancer</w:t>
      </w:r>
    </w:p>
    <w:p>
      <w:pPr>
        <w:spacing w:after="0" w:line="41" w:lineRule="exact"/>
        <w:rPr>
          <w:rFonts w:ascii="Arial" w:cs="Arial" w:eastAsia="Arial" w:hAnsi="Arial"/>
          <w:sz w:val="22"/>
          <w:szCs w:val="22"/>
          <w:color w:val="auto"/>
        </w:rPr>
      </w:pPr>
    </w:p>
    <w:p>
      <w:pPr>
        <w:ind w:left="660" w:right="220" w:hanging="328"/>
        <w:spacing w:after="0" w:line="23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Initiated Phase 1/2 clinical study of NGM707, a dual ILT2/ILT4 antagonist antibody product candidate, as a monotherapy and in combination with KEYTRUDA® (pembrolizumab) in patients with advanced solid tumors; trial designed to enroll approximately 180 patients</w:t>
      </w:r>
    </w:p>
    <w:p>
      <w:pPr>
        <w:ind w:left="660" w:right="26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Disclosed NGM831, an ILT3 antagonist antibody product candidate, coinciding with a publication in </w:t>
      </w:r>
      <w:r>
        <w:rPr>
          <w:rFonts w:ascii="Arial" w:cs="Arial" w:eastAsia="Arial" w:hAnsi="Arial"/>
          <w:sz w:val="18"/>
          <w:szCs w:val="18"/>
          <w:i w:val="1"/>
          <w:iCs w:val="1"/>
          <w:color w:val="auto"/>
        </w:rPr>
        <w:t>Cancer Immunology Research</w:t>
      </w:r>
      <w:r>
        <w:rPr>
          <w:rFonts w:ascii="Arial" w:cs="Arial" w:eastAsia="Arial" w:hAnsi="Arial"/>
          <w:sz w:val="18"/>
          <w:szCs w:val="18"/>
          <w:color w:val="auto"/>
        </w:rPr>
        <w:t xml:space="preserve"> revealing the discovery of one of ILT3’s functional ligands, fibronectin; Phase 1 study in cancer patients planned to commence in 1H’22</w:t>
      </w:r>
    </w:p>
    <w:p>
      <w:pPr>
        <w:spacing w:after="0" w:line="33" w:lineRule="exact"/>
        <w:rPr>
          <w:rFonts w:ascii="Arial" w:cs="Arial" w:eastAsia="Arial" w:hAnsi="Arial"/>
          <w:sz w:val="18"/>
          <w:szCs w:val="18"/>
          <w:color w:val="auto"/>
        </w:rPr>
      </w:pPr>
    </w:p>
    <w:p>
      <w:pPr>
        <w:ind w:left="660" w:right="120" w:hanging="328"/>
        <w:spacing w:after="0" w:line="22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Announced completion of enrollment in 320-patient Phase 2 CATALINA study of NGM621, an anti-complement C3 antibody product candidate, being studied for the treatment of geographic atrophy; topline data expected in 2H’22</w:t>
      </w:r>
    </w:p>
    <w:p>
      <w:pPr>
        <w:spacing w:after="0" w:line="38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November 4, 2021 – NGM Biopharmaceuticals, Inc. (NGM) (Nasdaq: NGM), a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discovering and developing transformative therapeutics for patients, today provided business highlights and reported financial results for the quarterly period ended September 30, 2021.</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quarter we made notable progress advancing NGM’s oncology portfolio, now four assets strong, all generated by our in-house discovery engine and wholly owned by NGM,” said David J. Woodhouse, Ph.D., Chief Executive Officer at NGM. “We reported the first preliminary human data from our NGM120 trial at ESMO 2021 and also unveiled our third myeloid reprogramming program, NGM831. Over the past 12 months, we have pulled back the curtain on the intensive discovery work in oncology that has been underway at NGM for several years. Leveraging integrated world-class target discovery research and protein engineering, we’ve created multiple oncology product candidates each with the potential to become next-generation treatment options to help patients mobilize their own immune systems to fight cancer more effectively. We strongly believe myeloid cell reprogramming can be an important additional approach to augment anti-tumor immunity and our portfolio of product candidates provide multiple opportunities to harness that biology.”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Third Quarter and Recent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32" w:lineRule="exact"/>
        <w:rPr>
          <w:sz w:val="20"/>
          <w:szCs w:val="20"/>
          <w:color w:val="auto"/>
        </w:rPr>
      </w:pPr>
    </w:p>
    <w:p>
      <w:pPr>
        <w:ind w:left="660" w:right="8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 xml:space="preserve">Presented preliminary findings from ongoing Phase 1a/1b dose escalation study of NGM120, a first-in-class anti-GDNF family receptor alpha like (GFRAL) antagonist antibody, in patients with advanced solid tumors at the European Society for Medical Oncology (ESMO) Virtual Congress. </w:t>
      </w:r>
      <w:r>
        <w:rPr>
          <w:rFonts w:ascii="Arial" w:cs="Arial" w:eastAsia="Arial" w:hAnsi="Arial"/>
          <w:sz w:val="18"/>
          <w:szCs w:val="18"/>
          <w:color w:val="auto"/>
        </w:rPr>
        <w:t>Preliminary results showed that treatment with the drug was well tolerated with no</w:t>
      </w:r>
      <w:r>
        <w:rPr>
          <w:rFonts w:ascii="Arial" w:cs="Arial" w:eastAsia="Arial" w:hAnsi="Arial"/>
          <w:sz w:val="18"/>
          <w:szCs w:val="18"/>
          <w:b w:val="1"/>
          <w:bCs w:val="1"/>
          <w:color w:val="auto"/>
        </w:rPr>
        <w:t xml:space="preserve"> </w:t>
      </w:r>
      <w:r>
        <w:rPr>
          <w:rFonts w:ascii="Arial" w:cs="Arial" w:eastAsia="Arial" w:hAnsi="Arial"/>
          <w:sz w:val="18"/>
          <w:szCs w:val="18"/>
          <w:color w:val="auto"/>
        </w:rPr>
        <w:t>dose-limiting toxicities. All six evaluable metastatic pancreatic cancer patients in the Phase 1b combination cohort (NGM120 in combination with gemcitabine + Nab-paclitaxel) demonstrated disease control at 16 weeks, with three partial responses (PR) and three stable disease (SD). Four metastatic pancreatic cancer patients in the Phase 1b cohort continued to exhibit PR/SD beyond 36 weeks at the July 26 data cut-off, compared to the historic median progression-free survival in metastatic pancreatic cancer of 22 weeks</w:t>
      </w:r>
      <w:r>
        <w:rPr>
          <w:rFonts w:ascii="Arial" w:cs="Arial" w:eastAsia="Arial" w:hAnsi="Arial"/>
          <w:sz w:val="23"/>
          <w:szCs w:val="23"/>
          <w:color w:val="auto"/>
          <w:vertAlign w:val="superscript"/>
        </w:rPr>
        <w:t>1</w:t>
      </w:r>
      <w:r>
        <w:rPr>
          <w:rFonts w:ascii="Arial" w:cs="Arial" w:eastAsia="Arial" w:hAnsi="Arial"/>
          <w:sz w:val="18"/>
          <w:szCs w:val="18"/>
          <w:color w:val="auto"/>
        </w:rPr>
        <w:t>. As of September 16, 2021, three of those four patients remained on drug, with two patients exhibiting PR and one patient exhibiting SD beyond 44 weeks.</w:t>
      </w:r>
    </w:p>
    <w:p>
      <w:pPr>
        <w:sectPr>
          <w:pgSz w:w="11900" w:h="16838" w:orient="portrait"/>
          <w:cols w:equalWidth="0" w:num="1">
            <w:col w:w="11240"/>
          </w:cols>
          <w:pgMar w:left="320" w:top="927" w:right="339" w:bottom="1440" w:gutter="0" w:footer="0" w:header="0"/>
        </w:sectPr>
      </w:pPr>
    </w:p>
    <w:bookmarkStart w:id="4" w:name="page5"/>
    <w:bookmarkEnd w:id="4"/>
    <w:p>
      <w:pPr>
        <w:ind w:left="660" w:right="20" w:hanging="328"/>
        <w:spacing w:after="0" w:line="24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Continued enrollment in a Phase 2 placebo-controlled component of the ongoing Phase 1/2 PINNACLES study, with the Phase 2 component testing NGM120 as a first-line treatment in combination with gemcitabine and Nab-paclitaxel in patients with metastatic pancreatic cancer. </w:t>
      </w:r>
      <w:r>
        <w:rPr>
          <w:rFonts w:ascii="Arial" w:cs="Arial" w:eastAsia="Arial" w:hAnsi="Arial"/>
          <w:sz w:val="18"/>
          <w:szCs w:val="18"/>
          <w:color w:val="auto"/>
        </w:rPr>
        <w:t>In March 2021, NGM initiated a multi-center, randomized, single-blind (sponsor unblinded),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component of NGM120 in combination with gemcitabine and Nab-paclitaxel as a first-line treatment in patients with metastatic pancreatic cancer as part of the ongoing Phase 1/2 trial. The Phase 2 component of the study is designed to enroll approximately 60 patients and will assess the efficacy, safety and tolerability of NGM120 or placebo in combination with gemcitabine and Nab-paclitaxel against both cancer and cancer-related cachexia endpoints.</w:t>
      </w:r>
    </w:p>
    <w:p>
      <w:pPr>
        <w:spacing w:after="0" w:line="122" w:lineRule="exact"/>
        <w:rPr>
          <w:rFonts w:ascii="Arial" w:cs="Arial" w:eastAsia="Arial" w:hAnsi="Arial"/>
          <w:sz w:val="22"/>
          <w:szCs w:val="22"/>
          <w:color w:val="auto"/>
        </w:rPr>
      </w:pPr>
    </w:p>
    <w:p>
      <w:pPr>
        <w:ind w:left="660" w:hanging="328"/>
        <w:spacing w:after="0" w:line="220" w:lineRule="exact"/>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Initiated the Phase 1 component of a Phase 1/2 Study of NGM707, a novel dual antagonist antibody that inhibits the Immunoglobulin-like Transcript 2 (ILT2) and Immunoglobulin-like Transcript 4 (ILT4) receptors, for the treatment of patients with advanced solid tumors. </w:t>
      </w:r>
      <w:r>
        <w:rPr>
          <w:rFonts w:ascii="Arial" w:cs="Arial" w:eastAsia="Arial" w:hAnsi="Arial"/>
          <w:sz w:val="18"/>
          <w:szCs w:val="18"/>
          <w:color w:val="auto"/>
        </w:rPr>
        <w:t>The Phase 1 portion (n</w:t>
      </w:r>
      <w:r>
        <w:rPr>
          <w:rFonts w:ascii="MS PGothic" w:cs="MS PGothic" w:eastAsia="MS PGothic" w:hAnsi="MS PGothic"/>
          <w:sz w:val="18"/>
          <w:szCs w:val="18"/>
          <w:color w:val="auto"/>
        </w:rPr>
        <w:t>≅</w:t>
      </w:r>
      <w:r>
        <w:rPr>
          <w:rFonts w:ascii="Arial" w:cs="Arial" w:eastAsia="Arial" w:hAnsi="Arial"/>
          <w:sz w:val="18"/>
          <w:szCs w:val="18"/>
          <w:color w:val="auto"/>
        </w:rPr>
        <w:t>60) of the study includes a monotherapy dose escalation arm (Part 1a) and a</w:t>
      </w:r>
      <w:r>
        <w:rPr>
          <w:rFonts w:ascii="Arial" w:cs="Arial" w:eastAsia="Arial" w:hAnsi="Arial"/>
          <w:sz w:val="18"/>
          <w:szCs w:val="18"/>
          <w:b w:val="1"/>
          <w:bCs w:val="1"/>
          <w:color w:val="auto"/>
        </w:rPr>
        <w:t xml:space="preserve"> </w:t>
      </w:r>
      <w:r>
        <w:rPr>
          <w:rFonts w:ascii="Arial" w:cs="Arial" w:eastAsia="Arial" w:hAnsi="Arial"/>
          <w:sz w:val="18"/>
          <w:szCs w:val="18"/>
          <w:color w:val="auto"/>
        </w:rPr>
        <w:t>dose-finding arm in combination with KEYTRUDA® (pembrolizumab) (Part 1b). The Phase 2 portion (n</w:t>
      </w:r>
      <w:r>
        <w:rPr>
          <w:rFonts w:ascii="MS PGothic" w:cs="MS PGothic" w:eastAsia="MS PGothic" w:hAnsi="MS PGothic"/>
          <w:sz w:val="18"/>
          <w:szCs w:val="18"/>
          <w:color w:val="auto"/>
        </w:rPr>
        <w:t>≅</w:t>
      </w:r>
      <w:r>
        <w:rPr>
          <w:rFonts w:ascii="Arial" w:cs="Arial" w:eastAsia="Arial" w:hAnsi="Arial"/>
          <w:sz w:val="18"/>
          <w:szCs w:val="18"/>
          <w:color w:val="auto"/>
        </w:rPr>
        <w:t>120) of the study will employ a basket design that will include expansion cohorts of patients treated with NGM707 monotherapy (Part 2a) or NGM707 in combination with KEYTRUDA (Part 2b) in a variety of selected solid tumor types.</w:t>
      </w:r>
    </w:p>
    <w:p>
      <w:pPr>
        <w:spacing w:after="0" w:line="129" w:lineRule="exact"/>
        <w:rPr>
          <w:rFonts w:ascii="Arial" w:cs="Arial" w:eastAsia="Arial" w:hAnsi="Arial"/>
          <w:sz w:val="22"/>
          <w:szCs w:val="22"/>
          <w:color w:val="auto"/>
        </w:rPr>
      </w:pPr>
    </w:p>
    <w:p>
      <w:pPr>
        <w:ind w:left="660" w:right="120" w:hanging="328"/>
        <w:spacing w:after="0" w:line="24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Disclosed fourth oncology development candidate, NGM831, coinciding with a publication on the ILT3-fibronectin pathway in </w:t>
      </w:r>
      <w:r>
        <w:rPr>
          <w:rFonts w:ascii="Arial" w:cs="Arial" w:eastAsia="Arial" w:hAnsi="Arial"/>
          <w:sz w:val="18"/>
          <w:szCs w:val="18"/>
          <w:b w:val="1"/>
          <w:bCs w:val="1"/>
          <w:i w:val="1"/>
          <w:iCs w:val="1"/>
          <w:color w:val="auto"/>
        </w:rPr>
        <w:t>Cancer Immunology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In August 2021, NGM disclosed its fourth oncology development candidate, NGM831, an</w:t>
      </w:r>
      <w:r>
        <w:rPr>
          <w:rFonts w:ascii="Arial" w:cs="Arial" w:eastAsia="Arial" w:hAnsi="Arial"/>
          <w:sz w:val="18"/>
          <w:szCs w:val="18"/>
          <w:b w:val="1"/>
          <w:bCs w:val="1"/>
          <w:color w:val="auto"/>
        </w:rPr>
        <w:t xml:space="preserve"> </w:t>
      </w:r>
      <w:r>
        <w:rPr>
          <w:rFonts w:ascii="Arial" w:cs="Arial" w:eastAsia="Arial" w:hAnsi="Arial"/>
          <w:sz w:val="18"/>
          <w:szCs w:val="18"/>
          <w:color w:val="auto"/>
        </w:rPr>
        <w:t>antagonist antibody designed to block the interaction of Immunoglobulin-like transcript 3 (ILT3) with fibronectin, a key component of tumor stroma, as well as with other ligands. ILT3-fibronectin interactions within the tumor microenvironment may form a stromal checkpoint that actively suppresses myeloid cell function and inhibits tumor activity. NGM plans to advance NGM831 into a Phase 1 study in the first half of 2022. NGM831 joins NGM438 to become the second program in the Company’s oncology portfolio being studied for the potential to impact the tumor microenvironment by releasing stromal checkpoints.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w:t>
      </w:r>
    </w:p>
    <w:p>
      <w:pPr>
        <w:spacing w:after="0" w:line="32" w:lineRule="exact"/>
        <w:rPr>
          <w:sz w:val="20"/>
          <w:szCs w:val="20"/>
          <w:color w:val="auto"/>
        </w:rPr>
      </w:pPr>
    </w:p>
    <w:p>
      <w:pPr>
        <w:ind w:left="660" w:right="80" w:hanging="328"/>
        <w:spacing w:after="0" w:line="23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b w:val="1"/>
          <w:bCs w:val="1"/>
          <w:color w:val="auto"/>
        </w:rPr>
        <w:t xml:space="preserve">Completed enrollment in the Phase 2 CATALINA study of NGM621 in patients with geographic atrophy. </w:t>
      </w:r>
      <w:r>
        <w:rPr>
          <w:rFonts w:ascii="Arial" w:cs="Arial" w:eastAsia="Arial" w:hAnsi="Arial"/>
          <w:sz w:val="18"/>
          <w:szCs w:val="18"/>
          <w:color w:val="auto"/>
        </w:rPr>
        <w:t>NGM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the Phase 2 CATALINA study, a multi-center, randomized, double-masked, sham-controlled clinical trial to evaluate the safety and efficacy of intravitreal, or IVT, injections of NGM621 every four weeks or every eight weeks in 320 patients with geographic atrophy in one or both eyes secondary to age-related macular degeneration. The primary efficacy endpoint is the rate of change in geographic atrophy lesion area, as measured by fundus autofluorescence imaging over 52 weeks of treatment. NGM anticipates reporting topline data from the CATALINA study in the second half of 2022. Upon completion of a proof-of-concept study in humans, Merck has a one-time option to license NGM621 and its related molecules or to license NGM621 and its related molecules together with all other ophthalmology compounds included within the scope of our ongoing collaboration with Merck.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diseases</w:t>
      </w:r>
    </w:p>
    <w:p>
      <w:pPr>
        <w:spacing w:after="0" w:line="19" w:lineRule="exact"/>
        <w:rPr>
          <w:sz w:val="20"/>
          <w:szCs w:val="20"/>
          <w:color w:val="auto"/>
        </w:rPr>
      </w:pPr>
    </w:p>
    <w:p>
      <w:pPr>
        <w:ind w:left="660" w:right="120" w:hanging="328"/>
        <w:spacing w:after="0" w:line="23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auto"/>
        </w:rPr>
        <w:t xml:space="preserve">Continued enrollment in Phase 2b ALPINE 4 study of aldafermin in patients with compensated non-alcoholic steatohepatitis (NASH) cirrhosis (liver fibrosis stage 4, or F4). </w:t>
      </w:r>
      <w:r>
        <w:rPr>
          <w:rFonts w:ascii="Arial" w:cs="Arial" w:eastAsia="Arial" w:hAnsi="Arial"/>
          <w:sz w:val="18"/>
          <w:szCs w:val="18"/>
          <w:color w:val="auto"/>
        </w:rPr>
        <w:t>The 48-week study is designed to assess the efficacy,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of 0.3 mg, 1 mg and 3 mg doses of aldafermin compared to placebo.</w:t>
      </w:r>
    </w:p>
    <w:p>
      <w:pPr>
        <w:spacing w:after="0" w:line="1" w:lineRule="exact"/>
        <w:rPr>
          <w:rFonts w:ascii="Arial" w:cs="Arial" w:eastAsia="Arial" w:hAnsi="Arial"/>
          <w:sz w:val="22"/>
          <w:szCs w:val="22"/>
          <w:color w:val="auto"/>
        </w:rPr>
      </w:pPr>
    </w:p>
    <w:p>
      <w:pPr>
        <w:ind w:left="660" w:right="6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auto"/>
        </w:rPr>
        <w:t xml:space="preserve">Merck continued enrollment in its Phase 2b study of MK-3655 in patients with NASH and liver fibrosis stage 2 or 3 (F2 or F3). </w:t>
      </w:r>
      <w:r>
        <w:rPr>
          <w:rFonts w:ascii="Arial" w:cs="Arial" w:eastAsia="Arial" w:hAnsi="Arial"/>
          <w:sz w:val="18"/>
          <w:szCs w:val="18"/>
          <w:color w:val="auto"/>
        </w:rPr>
        <w:t>In November 2020, Merck initiated a global Phase 2b multicenter study of MK-3655 for the treatment of patients with F2 or F3</w:t>
      </w:r>
      <w:r>
        <w:rPr>
          <w:rFonts w:ascii="Arial" w:cs="Arial" w:eastAsia="Arial" w:hAnsi="Arial"/>
          <w:sz w:val="18"/>
          <w:szCs w:val="18"/>
          <w:b w:val="1"/>
          <w:bCs w:val="1"/>
          <w:color w:val="auto"/>
        </w:rPr>
        <w:t xml:space="preserve"> </w:t>
      </w:r>
      <w:r>
        <w:rPr>
          <w:rFonts w:ascii="Arial" w:cs="Arial" w:eastAsia="Arial" w:hAnsi="Arial"/>
          <w:sz w:val="18"/>
          <w:szCs w:val="18"/>
          <w:color w:val="auto"/>
        </w:rPr>
        <w:t>NASH. The 52-week randomized, double-blind study is designed to enroll approximately 320 patients and will assess the efficacy, safety and tolerability of 50 mg, 100 mg and 300 mg once monthly doses of MK-3655 compared to placebo. The primary objective of the</w:t>
      </w:r>
    </w:p>
    <w:p>
      <w:pPr>
        <w:sectPr>
          <w:pgSz w:w="11900" w:h="16838" w:orient="portrait"/>
          <w:cols w:equalWidth="0" w:num="1">
            <w:col w:w="11240"/>
          </w:cols>
          <w:pgMar w:left="320" w:top="1075" w:right="339" w:bottom="1440" w:gutter="0" w:footer="0" w:header="0"/>
        </w:sectPr>
      </w:pPr>
    </w:p>
    <w:bookmarkStart w:id="5" w:name="page6"/>
    <w:bookmarkEnd w:id="5"/>
    <w:p>
      <w:pPr>
        <w:ind w:left="660" w:right="40"/>
        <w:spacing w:after="0" w:line="238" w:lineRule="auto"/>
        <w:rPr>
          <w:sz w:val="20"/>
          <w:szCs w:val="20"/>
          <w:color w:val="auto"/>
        </w:rPr>
      </w:pPr>
      <w:r>
        <w:rPr>
          <w:rFonts w:ascii="Arial" w:cs="Arial" w:eastAsia="Arial" w:hAnsi="Arial"/>
          <w:sz w:val="18"/>
          <w:szCs w:val="18"/>
          <w:color w:val="auto"/>
        </w:rPr>
        <w:t>Phase 2b study is NASH resolution without worsening of fibrosis after 52 weeks. Merck licensed MK-3655 following NGM’s completion of a proof-of-concept study. NGM retains an option, at the initiation of the first Phase 3 clinical trial for MK-3655, to either receive milestone and royalty payments or to co-fund development and participate in a global cost and revenue sharing arrangement of up to 50%.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26" w:lineRule="exact"/>
        <w:rPr>
          <w:sz w:val="20"/>
          <w:szCs w:val="20"/>
          <w:color w:val="auto"/>
        </w:rPr>
      </w:pPr>
    </w:p>
    <w:p>
      <w:pPr>
        <w:ind w:left="660" w:right="2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NGM reported a net loss of $28.9 million for the quarter ended September 30, 2021, compared to a net loss of $29.8 million for the same period in 2020.</w:t>
      </w:r>
    </w:p>
    <w:p>
      <w:pPr>
        <w:spacing w:after="0" w:line="49" w:lineRule="exact"/>
        <w:rPr>
          <w:rFonts w:ascii="Arial" w:cs="Arial" w:eastAsia="Arial" w:hAnsi="Arial"/>
          <w:sz w:val="18"/>
          <w:szCs w:val="18"/>
          <w:color w:val="auto"/>
        </w:rPr>
      </w:pPr>
    </w:p>
    <w:p>
      <w:pPr>
        <w:ind w:left="660" w:right="40" w:hanging="328"/>
        <w:spacing w:after="0" w:line="22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Related party revenue from our collaboration with Merck was $18.6 million for the quarter ended September 30, 2021, compared to $23.5 million for the same period in 2020. Related party revenue decreased $4.9 million in the quarter ended September 30, 2021 as compared to the prior year period, primarily due to a decrease in research and development revenue.</w:t>
      </w:r>
    </w:p>
    <w:p>
      <w:pPr>
        <w:spacing w:after="0" w:line="41" w:lineRule="exact"/>
        <w:rPr>
          <w:rFonts w:ascii="Arial" w:cs="Arial" w:eastAsia="Arial" w:hAnsi="Arial"/>
          <w:sz w:val="20"/>
          <w:szCs w:val="20"/>
          <w:color w:val="auto"/>
        </w:rPr>
      </w:pPr>
    </w:p>
    <w:p>
      <w:pPr>
        <w:ind w:left="660" w:right="20" w:hanging="328"/>
        <w:spacing w:after="0" w:line="256"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R&amp;D expenses were $38.7 million for the quarter ended September 30, 2021, compared to $47.0 million for the same period in 2020. R&amp;D expenses decreased $8.3 million in the quarter as compared to the prior year period, primarily due to decreases in expenses for our manufacturing activities and our clinical trials of aldafermin.</w:t>
      </w:r>
    </w:p>
    <w:p>
      <w:pPr>
        <w:spacing w:after="0" w:line="39" w:lineRule="exact"/>
        <w:rPr>
          <w:rFonts w:ascii="Arial" w:cs="Arial" w:eastAsia="Arial" w:hAnsi="Arial"/>
          <w:sz w:val="18"/>
          <w:szCs w:val="18"/>
          <w:b w:val="1"/>
          <w:bCs w:val="1"/>
          <w:color w:val="auto"/>
        </w:rPr>
      </w:pPr>
    </w:p>
    <w:p>
      <w:pPr>
        <w:ind w:left="660" w:right="18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were $8.9 million for the quarter ended September 30, 2021, compared to $6.5 million for the same period in 2020. The $2.4 million increase in general and administrative expenses in 2021 was primarily attributable to increases in personnel-related expenses driven by increased headcount, as well as external expenses to support our operations.</w:t>
      </w:r>
    </w:p>
    <w:p>
      <w:pPr>
        <w:spacing w:after="0" w:line="3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$383.4 million as of September 30, 2021, compared to $295.2 million as of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NGM is a biopharmaceutical company focused on discovering and developing novel therapeutics based on scientific understanding of key biological pathways underlying retinal diseases, cancer and liver and metabolic diseases.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All of our therapeutics have been generated by our in-house discovery engine; today, we have seven disclosed programs, including four in Phase 2 or 2b studies, across three therapeutics areas. Visit us at www.ngmbio.com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“focused,” “anticipates,” “believe,” “will,” “designed to,” “preliminary,” “encouraging,” “enable,” “expected,” “potential,” “aspire,” “opportunities,” “planned,” “plans” and similar expressions (as well as other words or expressions referencing future events, conditions or circumstances) are intended to identify forward-looking statements. These statements include those related to: the therapeutic potential of NGM’s product candidates, including the potential of NGM’s oncology product candidates to become next-generation treatment options; NGM’s belief that myeloid cell reprogramming can be an important additional approach to augment anti-tumor immunity and that its portfolio of product candidates provide multiple opportunities to harness that biology; the design of NGM’s and Merck’s clinical trials of NGM’s product candidates; the preliminary findings in the Phase 1a/1b study of NGM120 providing encouraging initial signals of anti-cancer activity; the planned commencement of a Phase 1 clinical trial of NGM831 and the anticipated timing thereof; the availability and anticipated timing of topline data from Phase 2 CATALINA study of NGM621 in patients with geographic atrophy; potential activities under NGM’s amended collaboration with Merck and the potential receipt of milestone and royalty payments by NGM under the amended collaboration with Merck;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initiating, enrolling, reporting data from or completing clinical studies, as well as the risks that results obtained in clinical trials to date</w:t>
      </w:r>
    </w:p>
    <w:p>
      <w:pPr>
        <w:sectPr>
          <w:pgSz w:w="11900" w:h="16838" w:orient="portrait"/>
          <w:cols w:equalWidth="0" w:num="1">
            <w:col w:w="11240"/>
          </w:cols>
          <w:pgMar w:left="320" w:top="949" w:right="33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may not be indicative of results obtained in ongoing or future trials and that NGM’s product candidates may otherwise not be tolerable and effective treatments in their planned indications; NGM’s ability to maintain its amended collaboration with Merck, including the risk that if Merck were to breach or terminate the amended collaboration or Merck’s development funding obligations, NGM would not obtain all of the anticipated financial and other benefits of the amended collaboration, and the development and/or commercialization of NGM’s product candidates within the scope of the amended collaboration could be delayed, perhaps substantially; the ongoing COVID-19 pandemic, which has adversely affected, and could materially and adversely affect in the future, NGM’s business and operations, including NGM’s ability to timely supply, initiate, enroll and complete its ongoing and future clinical trials; the time-consuming and uncertain regulatory approval process; NGM’s reliance on third-party manufacturers for aldafermin, NGM120, NGM707, NGM831, NGM621 and its other product candidates and the risks inherent in manufacturing and testing pharmaceutical products; the sufficiency of NGM’s cash resources, including to fund its wholly-owned programs, and NGM’s need for additional capital; and other risks and uncertainties affecting NGM and its development programs, including those discussed in the section titled “Risk Factors” in NGM’s quarterly report on Form 10-Q for the quarter ended June 30, 2021 filed with the United States Securities and Exchange Commission (SEC) on August 5,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42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Von Hoff DD, et al. N Engl J Med. 2013</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Investor Contact:</w:t>
            </w:r>
          </w:p>
        </w:tc>
        <w:tc>
          <w:tcPr>
            <w:tcW w:w="2880" w:type="dxa"/>
            <w:vAlign w:val="bottom"/>
          </w:tcPr>
          <w:p>
            <w:pPr>
              <w:ind w:left="1220"/>
              <w:spacing w:after="0"/>
              <w:rPr>
                <w:sz w:val="20"/>
                <w:szCs w:val="20"/>
                <w:color w:val="auto"/>
              </w:rPr>
            </w:pPr>
            <w:r>
              <w:rPr>
                <w:rFonts w:ascii="Arial" w:cs="Arial" w:eastAsia="Arial" w:hAnsi="Arial"/>
                <w:sz w:val="18"/>
                <w:szCs w:val="18"/>
                <w:b w:val="1"/>
                <w:bCs w:val="1"/>
                <w:color w:val="auto"/>
              </w:rPr>
              <w:t>Media Contact:</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Brian Schoelkopf</w:t>
            </w:r>
          </w:p>
        </w:tc>
        <w:tc>
          <w:tcPr>
            <w:tcW w:w="2880" w:type="dxa"/>
            <w:vAlign w:val="bottom"/>
          </w:tcPr>
          <w:p>
            <w:pPr>
              <w:ind w:left="1220"/>
              <w:spacing w:after="0"/>
              <w:rPr>
                <w:sz w:val="20"/>
                <w:szCs w:val="20"/>
                <w:color w:val="auto"/>
              </w:rPr>
            </w:pPr>
            <w:r>
              <w:rPr>
                <w:rFonts w:ascii="Arial" w:cs="Arial" w:eastAsia="Arial" w:hAnsi="Arial"/>
                <w:sz w:val="18"/>
                <w:szCs w:val="18"/>
                <w:color w:val="auto"/>
              </w:rPr>
              <w:t>Liz Melone</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ir@ngmbio.com</w:t>
            </w:r>
          </w:p>
        </w:tc>
        <w:tc>
          <w:tcPr>
            <w:tcW w:w="2880" w:type="dxa"/>
            <w:vAlign w:val="bottom"/>
            <w:vMerge w:val="restart"/>
          </w:tcPr>
          <w:p>
            <w:pPr>
              <w:ind w:left="1220"/>
              <w:spacing w:after="0"/>
              <w:rPr>
                <w:sz w:val="20"/>
                <w:szCs w:val="20"/>
                <w:color w:val="auto"/>
              </w:rPr>
            </w:pPr>
            <w:r>
              <w:rPr>
                <w:rFonts w:ascii="Arial" w:cs="Arial" w:eastAsia="Arial" w:hAnsi="Arial"/>
                <w:sz w:val="18"/>
                <w:szCs w:val="18"/>
                <w:i w:val="1"/>
                <w:iCs w:val="1"/>
                <w:color w:val="auto"/>
                <w:w w:val="99"/>
              </w:rPr>
              <w:t>media@ngmbio.com</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057"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7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70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(76,160)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77,408,893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68,815,696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76,851,508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68,174,654</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Related party contract asset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rent, non-current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578,599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280,043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w:t>
      </w: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2021-11-04T15:44:46Z</dcterms:created>
  <dcterms:modified xsi:type="dcterms:W3CDTF">2021-11-04T15:44:46Z</dcterms:modified>
</cp:coreProperties>
</file>