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9162dsc14d9c.htm"/>
      <w:bookmarkStart w:id="1" w:name="ksd789162dsc14d9c"/>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14D-9 </w:t>
      </w:r>
    </w:p>
    <w:p>
      <w:pPr>
        <w:pStyle w:val="TextBody"/>
        <w:bidi w:val="0"/>
        <w:spacing w:before="0" w:after="0"/>
        <w:jc w:val="center"/>
        <w:rPr>
          <w:rFonts w:ascii="Times New Roman" w:hAnsi="Times New Roman"/>
          <w:b/>
          <w:sz w:val="24"/>
        </w:rPr>
      </w:pPr>
      <w:r>
        <w:rPr>
          <w:rFonts w:ascii="Times New Roman" w:hAnsi="Times New Roman"/>
          <w:b/>
          <w:sz w:val="24"/>
        </w:rPr>
        <w:t xml:space="preserve">(Rule 14d-101) </w:t>
      </w:r>
    </w:p>
    <w:p>
      <w:pPr>
        <w:pStyle w:val="TextBody"/>
        <w:bidi w:val="0"/>
        <w:spacing w:before="240" w:after="0"/>
        <w:jc w:val="center"/>
        <w:rPr>
          <w:rFonts w:ascii="Times New Roman" w:hAnsi="Times New Roman"/>
          <w:b/>
          <w:sz w:val="24"/>
        </w:rPr>
      </w:pPr>
      <w:r>
        <w:rPr>
          <w:rFonts w:ascii="Times New Roman" w:hAnsi="Times New Roman"/>
          <w:b/>
          <w:sz w:val="24"/>
        </w:rPr>
        <w:t xml:space="preserve">Solicitation/Recommendation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Under Section 14(d)(4) 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 Filing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62921N105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David J. Woodhouse,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333 Oyster Point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(650) 243-5555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0" w:after="0"/>
        <w:jc w:val="center"/>
        <w:rPr>
          <w:rFonts w:ascii="Times New Roman" w:hAnsi="Times New Roman"/>
          <w:b/>
          <w:sz w:val="16"/>
        </w:rPr>
      </w:pPr>
      <w:r>
        <w:rPr>
          <w:rFonts w:ascii="Times New Roman" w:hAnsi="Times New Roman"/>
          <w:b/>
          <w:sz w:val="16"/>
        </w:rPr>
        <w:t xml:space="preserve">on behalf of the persons filing statement)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20"/>
              </w:rPr>
            </w:pPr>
            <w:r>
              <w:rPr>
                <w:rFonts w:ascii="Times New Roman" w:hAnsi="Times New Roman"/>
                <w:b/>
                <w:sz w:val="20"/>
              </w:rPr>
              <w:t>Valerie Pierce</w:t>
            </w:r>
          </w:p>
          <w:p>
            <w:pPr>
              <w:pStyle w:val="TableContents"/>
              <w:bidi w:val="0"/>
              <w:spacing w:before="0" w:after="0"/>
              <w:jc w:val="center"/>
              <w:rPr>
                <w:rFonts w:ascii="Times New Roman" w:hAnsi="Times New Roman"/>
                <w:b/>
                <w:sz w:val="20"/>
              </w:rPr>
            </w:pPr>
            <w:r>
              <w:rPr>
                <w:rFonts w:ascii="Times New Roman" w:hAnsi="Times New Roman"/>
                <w:b/>
                <w:sz w:val="20"/>
              </w:rPr>
              <w:t>Senior Vice President, General</w:t>
            </w:r>
          </w:p>
          <w:p>
            <w:pPr>
              <w:pStyle w:val="TableContents"/>
              <w:bidi w:val="0"/>
              <w:spacing w:before="0" w:after="0"/>
              <w:jc w:val="center"/>
              <w:rPr>
                <w:rFonts w:ascii="Times New Roman" w:hAnsi="Times New Roman"/>
                <w:b/>
                <w:sz w:val="20"/>
              </w:rPr>
            </w:pPr>
            <w:r>
              <w:rPr>
                <w:rFonts w:ascii="Times New Roman" w:hAnsi="Times New Roman"/>
                <w:b/>
                <w:sz w:val="20"/>
              </w:rPr>
              <w:t>Counsel and Chief</w:t>
            </w:r>
          </w:p>
          <w:p>
            <w:pPr>
              <w:pStyle w:val="TableContents"/>
              <w:bidi w:val="0"/>
              <w:spacing w:before="0" w:after="0"/>
              <w:jc w:val="center"/>
              <w:rPr>
                <w:rFonts w:ascii="Times New Roman" w:hAnsi="Times New Roman"/>
                <w:b/>
                <w:sz w:val="20"/>
              </w:rPr>
            </w:pPr>
            <w:r>
              <w:rPr>
                <w:rFonts w:ascii="Times New Roman" w:hAnsi="Times New Roman"/>
                <w:b/>
                <w:sz w:val="20"/>
              </w:rPr>
              <w:t>Compliance Officer</w:t>
            </w:r>
          </w:p>
          <w:p>
            <w:pPr>
              <w:pStyle w:val="TableContents"/>
              <w:bidi w:val="0"/>
              <w:spacing w:before="0" w:after="0"/>
              <w:jc w:val="center"/>
              <w:rPr>
                <w:rFonts w:ascii="Times New Roman" w:hAnsi="Times New Roman"/>
                <w:b/>
                <w:sz w:val="20"/>
              </w:rPr>
            </w:pPr>
            <w:r>
              <w:rPr>
                <w:rFonts w:ascii="Times New Roman" w:hAnsi="Times New Roman"/>
                <w:b/>
                <w:sz w:val="20"/>
              </w:rPr>
              <w:t>NGM Biopharmaceuticals, Inc.</w:t>
            </w:r>
          </w:p>
          <w:p>
            <w:pPr>
              <w:pStyle w:val="TableContents"/>
              <w:bidi w:val="0"/>
              <w:spacing w:before="0" w:after="0"/>
              <w:jc w:val="center"/>
              <w:rPr>
                <w:rFonts w:ascii="Times New Roman" w:hAnsi="Times New Roman"/>
                <w:b/>
                <w:sz w:val="20"/>
              </w:rPr>
            </w:pPr>
            <w:r>
              <w:rPr>
                <w:rFonts w:ascii="Times New Roman" w:hAnsi="Times New Roman"/>
                <w:b/>
                <w:sz w:val="20"/>
              </w:rPr>
              <w:t>333 Oyster Point Boulevard</w:t>
            </w:r>
          </w:p>
          <w:p>
            <w:pPr>
              <w:pStyle w:val="TableContents"/>
              <w:bidi w:val="0"/>
              <w:spacing w:before="0" w:after="0"/>
              <w:jc w:val="center"/>
              <w:rPr>
                <w:rFonts w:ascii="Times New Roman" w:hAnsi="Times New Roman"/>
                <w:b/>
                <w:sz w:val="20"/>
              </w:rPr>
            </w:pPr>
            <w:r>
              <w:rPr>
                <w:rFonts w:ascii="Times New Roman" w:hAnsi="Times New Roman"/>
                <w:b/>
                <w:sz w:val="20"/>
              </w:rPr>
              <w:t>South San Francisco, California 94080</w:t>
            </w:r>
          </w:p>
          <w:p>
            <w:pPr>
              <w:pStyle w:val="TableContents"/>
              <w:bidi w:val="0"/>
              <w:spacing w:before="0" w:after="20"/>
              <w:jc w:val="center"/>
              <w:rPr>
                <w:rFonts w:ascii="Times New Roman" w:hAnsi="Times New Roman"/>
                <w:b/>
                <w:sz w:val="20"/>
              </w:rPr>
            </w:pPr>
            <w:r>
              <w:rPr>
                <w:rFonts w:ascii="Times New Roman" w:hAnsi="Times New Roman"/>
                <w:b/>
                <w:sz w:val="20"/>
              </w:rPr>
              <w:t>(650) 243-5555</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20"/>
              </w:rPr>
            </w:pPr>
            <w:r>
              <w:rPr>
                <w:rFonts w:ascii="Times New Roman" w:hAnsi="Times New Roman"/>
                <w:b/>
                <w:sz w:val="20"/>
              </w:rPr>
              <w:t>Keith Flaum</w:t>
            </w:r>
          </w:p>
          <w:p>
            <w:pPr>
              <w:pStyle w:val="TableContents"/>
              <w:bidi w:val="0"/>
              <w:spacing w:before="0" w:after="0"/>
              <w:jc w:val="center"/>
              <w:rPr>
                <w:rFonts w:ascii="Times New Roman" w:hAnsi="Times New Roman"/>
                <w:b/>
                <w:sz w:val="20"/>
              </w:rPr>
            </w:pPr>
            <w:r>
              <w:rPr>
                <w:rFonts w:ascii="Times New Roman" w:hAnsi="Times New Roman"/>
                <w:b/>
                <w:sz w:val="20"/>
              </w:rPr>
              <w:t>Hogan Lovells US LLP</w:t>
            </w:r>
          </w:p>
          <w:p>
            <w:pPr>
              <w:pStyle w:val="TableContents"/>
              <w:bidi w:val="0"/>
              <w:spacing w:before="0" w:after="0"/>
              <w:jc w:val="center"/>
              <w:rPr>
                <w:rFonts w:ascii="Times New Roman" w:hAnsi="Times New Roman"/>
                <w:b/>
                <w:sz w:val="20"/>
              </w:rPr>
            </w:pPr>
            <w:r>
              <w:rPr>
                <w:rFonts w:ascii="Times New Roman" w:hAnsi="Times New Roman"/>
                <w:b/>
                <w:sz w:val="20"/>
              </w:rPr>
              <w:t>855 Main Street</w:t>
            </w:r>
          </w:p>
          <w:p>
            <w:pPr>
              <w:pStyle w:val="TableContents"/>
              <w:bidi w:val="0"/>
              <w:spacing w:before="0" w:after="0"/>
              <w:jc w:val="center"/>
              <w:rPr>
                <w:rFonts w:ascii="Times New Roman" w:hAnsi="Times New Roman"/>
                <w:b/>
                <w:sz w:val="20"/>
              </w:rPr>
            </w:pPr>
            <w:r>
              <w:rPr>
                <w:rFonts w:ascii="Times New Roman" w:hAnsi="Times New Roman"/>
                <w:b/>
                <w:sz w:val="20"/>
              </w:rPr>
              <w:t>Suite 200</w:t>
            </w:r>
          </w:p>
          <w:p>
            <w:pPr>
              <w:pStyle w:val="TableContents"/>
              <w:bidi w:val="0"/>
              <w:spacing w:before="0" w:after="0"/>
              <w:jc w:val="center"/>
              <w:rPr>
                <w:rFonts w:ascii="Times New Roman" w:hAnsi="Times New Roman"/>
                <w:b/>
                <w:sz w:val="20"/>
              </w:rPr>
            </w:pPr>
            <w:r>
              <w:rPr>
                <w:rFonts w:ascii="Times New Roman" w:hAnsi="Times New Roman"/>
                <w:b/>
                <w:sz w:val="20"/>
              </w:rPr>
              <w:t>Redwood City, California 94063</w:t>
            </w:r>
          </w:p>
          <w:p>
            <w:pPr>
              <w:pStyle w:val="TableContents"/>
              <w:bidi w:val="0"/>
              <w:spacing w:before="0" w:after="20"/>
              <w:jc w:val="center"/>
              <w:rPr>
                <w:rFonts w:ascii="Times New Roman" w:hAnsi="Times New Roman"/>
                <w:b/>
                <w:sz w:val="20"/>
              </w:rPr>
            </w:pPr>
            <w:r>
              <w:rPr>
                <w:rFonts w:ascii="Times New Roman" w:hAnsi="Times New Roman"/>
                <w:b/>
                <w:sz w:val="20"/>
              </w:rPr>
              <w:t>(650) 463-4000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20"/>
              </w:rPr>
            </w:pPr>
            <w:r>
              <w:rPr>
                <w:rFonts w:ascii="Times New Roman" w:hAnsi="Times New Roman"/>
                <w:b/>
                <w:sz w:val="20"/>
              </w:rPr>
              <w:t>Richard Aftanas</w:t>
            </w:r>
          </w:p>
          <w:p>
            <w:pPr>
              <w:pStyle w:val="TableContents"/>
              <w:bidi w:val="0"/>
              <w:spacing w:before="0" w:after="0"/>
              <w:jc w:val="center"/>
              <w:rPr>
                <w:rFonts w:ascii="Times New Roman" w:hAnsi="Times New Roman"/>
                <w:b/>
                <w:sz w:val="20"/>
              </w:rPr>
            </w:pPr>
            <w:r>
              <w:rPr>
                <w:rFonts w:ascii="Times New Roman" w:hAnsi="Times New Roman"/>
                <w:b/>
                <w:sz w:val="20"/>
              </w:rPr>
              <w:t>Hogan Lovells US LLP</w:t>
            </w:r>
          </w:p>
          <w:p>
            <w:pPr>
              <w:pStyle w:val="TableContents"/>
              <w:bidi w:val="0"/>
              <w:spacing w:before="0" w:after="0"/>
              <w:jc w:val="center"/>
              <w:rPr>
                <w:rFonts w:ascii="Times New Roman" w:hAnsi="Times New Roman"/>
                <w:b/>
                <w:sz w:val="20"/>
              </w:rPr>
            </w:pPr>
            <w:r>
              <w:rPr>
                <w:rFonts w:ascii="Times New Roman" w:hAnsi="Times New Roman"/>
                <w:b/>
                <w:sz w:val="20"/>
              </w:rPr>
              <w:t>390 Madison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10017</w:t>
            </w:r>
          </w:p>
          <w:p>
            <w:pPr>
              <w:pStyle w:val="TableContents"/>
              <w:bidi w:val="0"/>
              <w:spacing w:before="0" w:after="20"/>
              <w:jc w:val="center"/>
              <w:rPr>
                <w:rFonts w:ascii="Times New Roman" w:hAnsi="Times New Roman"/>
                <w:b/>
                <w:sz w:val="20"/>
              </w:rPr>
            </w:pPr>
            <w:r>
              <w:rPr>
                <w:rFonts w:ascii="Times New Roman" w:hAnsi="Times New Roman"/>
                <w:b/>
                <w:sz w:val="20"/>
              </w:rPr>
              <w:t>(212) 918-3000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Schedule 14D-9C consists of the following communication related to the proposed acquisition of NGM Biopharmaceuticals, Inc. (the Company), pursuant to the terms of an Agreement and Plan of Merger (the Merger Agreement), dated as of February 25, 2024, by and among the Company, Atlas Neon Parent, Inc., a Delaware corporation (Parent), and Atlas Neon Merger Sub, Inc., a Delaware corporation and a wholly-owned subsidiary of Parent (Merger Sub):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1"/>
        <w:gridCol w:w="121"/>
        <w:gridCol w:w="8593"/>
      </w:tblGrid>
      <w:tr>
        <w:trPr/>
        <w:tc>
          <w:tcPr>
            <w:tcW w:w="14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r>
      <w:tr>
        <w:trPr/>
        <w:tc>
          <w:tcPr>
            <w:tcW w:w="1491" w:type="dxa"/>
            <w:tcBorders/>
          </w:tcPr>
          <w:p>
            <w:pPr>
              <w:pStyle w:val="TableContents"/>
              <w:bidi w:val="0"/>
              <w:spacing w:before="0" w:after="283"/>
              <w:jc w:val="left"/>
              <w:rPr/>
            </w:pPr>
            <w:r>
              <w:rPr/>
              <w:t>1)</w:t>
            </w:r>
          </w:p>
        </w:tc>
        <w:tc>
          <w:tcPr>
            <w:tcW w:w="121"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283"/>
              <w:jc w:val="left"/>
              <w:rPr/>
            </w:pPr>
            <w:r>
              <w:rPr/>
              <w:t>Press Release of NGM Biopharmaceuticals, Inc. dated February 26, 2024</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The tender offer for the outstanding shares of common stock of the Company referenced in this communication has not yet commenced. This communication is for informational purposes only, is not a recommendation and is neither an offer to purchase nor a solicitation of an offer to sell shares of common stock of the Company or any other securities. This communication is also not a substitute for the tender offer materials that Parent and Merger Sub will file with the Securities and Exchange Commission (SEC) upon commencement of the tender offer. At the time the tender offer is commenced, Parent and Merger Sub will file with the SEC a Tender Offer Statement on Schedule TO and a Transaction Statement on Schedule 13E-3 (Schedule 13E-3), and the Company will file with the SEC a Solicitation/Recommendation Statement on Schedule 14D-9 and a Schedule 13E-3.</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ARE URGED TO READ THE TENDER OFFER STATEMENT (INCLUDING AN OFFER TO PURCHASE, A RELATED LETTER OF 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When filed, the Companys stockholders and other investors can obtain the Tender Offer Statement, the Solicitation/Recommendation Statement, the Schedules 13E-3 and other filed documents for free at the SECs website at www.sec.gov. Copies of the documents filed with the SEC by the Company will be available free of charge on the Investors &amp; Media page of the Companys website, </w:t>
      </w:r>
      <w:r>
        <w:rPr>
          <w:rFonts w:ascii="Times New Roman" w:hAnsi="Times New Roman"/>
          <w:sz w:val="20"/>
          <w:u w:val="single"/>
        </w:rPr>
        <w:t>www.ngmbio.com</w:t>
      </w:r>
      <w:r>
        <w:rPr>
          <w:rFonts w:ascii="Times New Roman" w:hAnsi="Times New Roman"/>
          <w:sz w:val="20"/>
        </w:rPr>
        <w:t xml:space="preserve">, or by contacting the Company at </w:t>
      </w:r>
      <w:r>
        <w:rPr>
          <w:rFonts w:ascii="Times New Roman" w:hAnsi="Times New Roman"/>
          <w:sz w:val="20"/>
          <w:u w:val="single"/>
        </w:rPr>
        <w:t>ir@ngmbio.com</w:t>
      </w:r>
      <w:r>
        <w:rPr>
          <w:rFonts w:ascii="Times New Roman" w:hAnsi="Times New Roman"/>
          <w:sz w:val="20"/>
        </w:rPr>
        <w:t>. In addition, the Companys stockholders may obtain free copies of the tender offer materials by contacting the information agent for the tender offer that will be named in the Tender Offer Statement</w:t>
      </w:r>
      <w:r>
        <w:rPr>
          <w:rFonts w:ascii="Times New Roman" w:hAnsi="Times New Roman"/>
          <w:i/>
          <w:sz w:val="20"/>
        </w:rPr>
        <w:t>.</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communication, including in Exhibit 99.1 hereto,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the Company and Parent to complete the transactions contemplated by the Merger Agreement, including the parties ability to satisfy the conditions to the consummation of the tender offer contemplated thereby and the other conditions set forth in the Merger Agreement, statements about the expected timetable for completing the transactions, the Companys and Parents beliefs and expectations and statements about the benefits sought to be achieved by Parents proposed acquisition of the Company, the potential effects of the acquisition on both the Company and Parent; the possibility of any termination of the Merger Agreement;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communication. These forward-looking statements are subject to risks and uncertainties, including, without limitation, risks and uncertainties associated with: the timing of the tender offer and the merger contemplated by the Merger Agreement, uncertainties as to how many of the unaffiliated stockholders (i.e., stockholders other than The Column Group, LP and its affiliates, Parent, Merger Sub, certain of the Companys other stockholders who have entered into a rollover agreement with Parent and Merger Sub, the members of the Companys board of directors and the officers of the Company subject to Section 16 of the Exchange Act) will tender their shares in the tender offer, the risk that competing offers or acquisition proposals will be made; the possibility that various conditions to the consummation of the tender offer and the merger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not be satisfied or waived; the occurrence of any event, change or other circumstance that could give rise to the termination of the Merger Agreement, including in circumstances which would require the Company to pay a termination fee; the effects of disruption from the transactions contemplated by the Merger Agreement; the risk that stockholder litigation in connection with the tender offer or the merger contemplated by the Merger Agreement may result in significant costs of defense, indemnification and liability; and other risks and uncertainties affecting the Company and its development programs, including those discussed in the section titled Risk Factors in the Companys Annual Report on Form 10-K for the year ended December 31, 2022 filed with the SEC on February 28, 2023, subsequent Quarterly Reports on Form 10-Q, Current Reports on Form 8-K and other filings and reports that the Company makes from time to time with the SEC. Except as required by law, the Company assumes no obligation to update these forward-looking statements, which speak only as of the date they are made, or to update the reasons if actual results differ materially from those anticipated in the forward-looking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9"/>
        <w:gridCol w:w="655"/>
        <w:gridCol w:w="8711"/>
      </w:tblGrid>
      <w:tr>
        <w:trPr/>
        <w:tc>
          <w:tcPr>
            <w:tcW w:w="839" w:type="dxa"/>
            <w:tcBorders/>
            <w:vAlign w:val="center"/>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8711" w:type="dxa"/>
            <w:tcBorders/>
            <w:vAlign w:val="center"/>
          </w:tcPr>
          <w:p>
            <w:pPr>
              <w:pStyle w:val="TableContents"/>
              <w:bidi w:val="0"/>
              <w:spacing w:before="0" w:after="283"/>
              <w:jc w:val="left"/>
              <w:rPr>
                <w:sz w:val="4"/>
                <w:szCs w:val="4"/>
              </w:rPr>
            </w:pPr>
            <w:r>
              <w:rPr>
                <w:sz w:val="4"/>
                <w:szCs w:val="4"/>
              </w:rPr>
            </w:r>
          </w:p>
        </w:tc>
      </w:tr>
      <w:tr>
        <w:trPr/>
        <w:tc>
          <w:tcPr>
            <w:tcW w:w="83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 No.</w:t>
            </w:r>
          </w:p>
        </w:tc>
        <w:tc>
          <w:tcPr>
            <w:tcW w:w="655" w:type="dxa"/>
            <w:tcBorders/>
            <w:vAlign w:val="bottom"/>
          </w:tcPr>
          <w:p>
            <w:pPr>
              <w:pStyle w:val="TableContents"/>
              <w:bidi w:val="0"/>
              <w:spacing w:before="0" w:after="283"/>
              <w:jc w:val="left"/>
              <w:rPr/>
            </w:pPr>
            <w:r>
              <w:rPr/>
              <w:t>  </w:t>
            </w:r>
          </w:p>
        </w:tc>
        <w:tc>
          <w:tcPr>
            <w:tcW w:w="8711" w:type="dxa"/>
            <w:tcBorders/>
            <w:vAlign w:val="bottom"/>
          </w:tcPr>
          <w:p>
            <w:pPr>
              <w:pStyle w:val="TableContents"/>
              <w:bidi w:val="0"/>
              <w:spacing w:before="0" w:after="283"/>
              <w:jc w:val="left"/>
              <w:rPr/>
            </w:pPr>
            <w:r>
              <w:rPr/>
              <w:t> </w:t>
            </w:r>
          </w:p>
        </w:tc>
      </w:tr>
      <w:tr>
        <w:trPr>
          <w:trHeight w:val="120" w:hRule="atLeast"/>
        </w:trPr>
        <w:tc>
          <w:tcPr>
            <w:tcW w:w="839" w:type="dxa"/>
            <w:tcBorders/>
            <w:vAlign w:val="center"/>
          </w:tcPr>
          <w:p>
            <w:pPr>
              <w:pStyle w:val="TableContents"/>
              <w:bidi w:val="0"/>
              <w:spacing w:before="0" w:after="283"/>
              <w:jc w:val="left"/>
              <w:rPr>
                <w:sz w:val="4"/>
                <w:szCs w:val="4"/>
              </w:rPr>
            </w:pPr>
            <w:r>
              <w:rPr>
                <w:sz w:val="4"/>
                <w:szCs w:val="4"/>
              </w:rPr>
            </w:r>
          </w:p>
        </w:tc>
        <w:tc>
          <w:tcPr>
            <w:tcW w:w="9366" w:type="dxa"/>
            <w:gridSpan w:val="2"/>
            <w:tcBorders/>
            <w:vAlign w:val="center"/>
          </w:tcPr>
          <w:p>
            <w:pPr>
              <w:pStyle w:val="TableContents"/>
              <w:bidi w:val="0"/>
              <w:spacing w:before="0" w:after="283"/>
              <w:jc w:val="left"/>
              <w:rPr>
                <w:sz w:val="4"/>
                <w:szCs w:val="4"/>
              </w:rPr>
            </w:pPr>
            <w:r>
              <w:rPr>
                <w:sz w:val="4"/>
                <w:szCs w:val="4"/>
              </w:rPr>
            </w:r>
          </w:p>
        </w:tc>
      </w:tr>
      <w:tr>
        <w:trPr/>
        <w:tc>
          <w:tcPr>
            <w:tcW w:w="839" w:type="dxa"/>
            <w:tcBorders/>
          </w:tcPr>
          <w:p>
            <w:pPr>
              <w:pStyle w:val="TableContents"/>
              <w:bidi w:val="0"/>
              <w:spacing w:before="0" w:after="283"/>
              <w:jc w:val="left"/>
              <w:rPr/>
            </w:pPr>
            <w:r>
              <w:rPr/>
              <w:t>99.1</w:t>
            </w:r>
          </w:p>
        </w:tc>
        <w:tc>
          <w:tcPr>
            <w:tcW w:w="655" w:type="dxa"/>
            <w:tcBorders/>
            <w:vAlign w:val="bottom"/>
          </w:tcPr>
          <w:p>
            <w:pPr>
              <w:pStyle w:val="TableContents"/>
              <w:bidi w:val="0"/>
              <w:spacing w:before="0" w:after="283"/>
              <w:jc w:val="left"/>
              <w:rPr/>
            </w:pPr>
            <w:r>
              <w:rPr/>
              <w:t>  </w:t>
            </w:r>
          </w:p>
        </w:tc>
        <w:tc>
          <w:tcPr>
            <w:tcW w:w="8711" w:type="dxa"/>
            <w:tcBorders/>
          </w:tcPr>
          <w:p>
            <w:pPr>
              <w:pStyle w:val="TableContents"/>
              <w:bidi w:val="0"/>
              <w:spacing w:before="0" w:after="283"/>
              <w:jc w:val="left"/>
              <w:rPr/>
            </w:pPr>
            <w:r>
              <w:rPr/>
              <w:t>Press Release of NGM Biopharmaceuticals, Inc. dated February 26,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2" w:name="d789162dex991.htm"/>
      <w:bookmarkStart w:id="3" w:name="ksd789162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NGM Bio Has Entered into a Definitive Agreement and Plan of Merger with Certain Affiliates of The Column Group, LP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NGM Bio stockholders to receive $1.55 per share in cash, an 80% premium over the closing share price on the last trading day prior to disclosure of receipt from The Column Group of a non-binding expression of interest in purchasing shares in a going-private transaction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Based on a thorough exploration and review of strategic and financial alternatives, a Special Committee of independent and disinterested directors unanimously recommends the transaction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Feb. 26, 2024  (GLOBE NEWSWIRE)  NGM Biopharmaceuticals, Inc. (NGM Bio) (Nasdaq: NGM), a biotechnology company focused on discovering and developing transformative therapeutics for patients, today announced that it has entered into a definitive Agreement and Plan of Merger (the Merger Agreement) under which Atlas Neon Parent, Inc. (Purchaser) and Atlas Neon Merger Sub, Inc. (Merger Sub) will acquire NGM Bio through a cash tender offer to be commenced by Merger Sub for all outstanding shares of NGM Bio not held by affiliates of The Column Group, LP and certain other stockholders, as described below, at a price per share of $1.55 in cash. Purchaser and Merger Sub are affiliates of The Column Group, LP (together with certain of The Column Group, LPs affiliates, the TCG Stockholders), NGM Bios longest and largest stockholder, holding approximately 26% of NGM Bios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The TCG Stockholders and certain other existing stockholders of NGM Bio (the Rollover Stockholders) have agreed to contribute their shares of NGM Bio stock to Purchaser as a part of the transaction rather than receive the cash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price per share corresponds to a total equity value of $135 million on a fully diluted basis and represents an 80% premium over the last trading day closing price (December 29, 2023) prior to NGM Bios Form 8-K confirming receipt from the TCG Stockholders of a non-binding expression of interest in exploring and evaluating a potential acquisition of all of the outstanding shares of common stock of NGM Bio not already owned by the TCG Stockholders in a going-private transaction. NGM Bios cash, cash equivalents and short-term marketable securities were $166.0 million as of September 30, 2023 and an estimated $144.2 million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Following a thorough exploration and review of strategic and financial alternatives with the assistance of its legal and financial advisors, a Special Committee of the NGM Bio Board of Directors (the Special Committee), consisting solely of independent and disinterested members of the NGM Bio Board of Directors (the Board), determined that the acquisition by Purchaser is in the best interests of NGM Bio stockholders (excluding the TCG Stockholders, Purchaser, Merger Sub, the Rollover Stockholders, the members of the Board and the officers of NGM Bio subject to Section 16 of the Exchange Act, referred to as the Unaffiliated Stockholders), and unanimously recommended approval of the Merger Agreement to the Board. The Special Committee and NGM Bio management team explored a range of strategic options, including engaging with multiple potential third party acquirors, before negotiating and entering into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conducted a thorough review of our financial and strategic alternatives, including remaining a publicly held company, with particular focus on NGM Bios ongoing need for significant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funding. Based on this review, we believe that this negotiated transaction for Purchaser to acquire NGM Bio is in the best interest of the Unaffiliated Stockholders, said Suzanne Sawochka Hooper, an independent member of the Board and Chair of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recommendation of the Special Committee, with the assistance of its legal and financial advisors, the Board determined that the acquisition by Purchaser is in the best interests of the Unaffiliated Stockholders, and approved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Closing of the tender offer is subject to the satisfaction of certain customary conditions, including the tender of NGM Bio shares representing at least a majority of the total number of outstanding shares held by the Unaffiliated Stockholders. The tender offer is not subject to a financing contingency.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closing of the tender offer, Merger Sub will merge with and into NGM Bio, and all remaining shares not tendered in the offer, other than dissenting shares, treasury shares and rollover shares held by the TCG Stockholders, Purchaser and any other subsidiary of Purchaser, or the Rollover Stockholders, will be converted into the right to receive a price per share of $1.55 in cash. The acquisition is expected to close in the second quarter of 2024. If completed, the transaction will result in NGM Bio becoming a privately held company and its shares will no longer be listed on Nasdaq.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LLC is acting as exclusive financial advisor and Hogan Lovells US LLP is acting as legal counsel to the Special Committee. Paul, Weiss, Rifkind, Wharton &amp; Garrison LLP is acting as legal counsel to Purchaser. </w:t>
      </w:r>
    </w:p>
    <w:p>
      <w:pPr>
        <w:pStyle w:val="TextBody"/>
        <w:bidi w:val="0"/>
        <w:spacing w:before="360" w:after="0"/>
        <w:jc w:val="left"/>
        <w:rPr>
          <w:rFonts w:ascii="Times New Roman" w:hAnsi="Times New Roman"/>
          <w:b/>
          <w:sz w:val="20"/>
        </w:rPr>
      </w:pPr>
      <w:r>
        <w:rPr>
          <w:rFonts w:ascii="Times New Roman" w:hAnsi="Times New Roman"/>
          <w:b/>
          <w:sz w:val="20"/>
        </w:rPr>
        <w:t xml:space="preserve">About NGM Biopharmaceuticals,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NGM Bio is focused on discovering and developing novel, life-changing medicines for people whose health and lives have been disrupted by disease. NGM Bios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All therapeutic candidates in the NGM Bio pipeline have been generated by its in-house discovery engine, always led by biology and motivated by unmet patient need. Visit us at www.ngmbio.com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Notice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communication regarding matters that are not historical facts are forward-looking statements within the meaning of the Private Securities Litigation Reform Act of 1995. Words such as believes, estimates, expects, focused, continuing to, seeking, will and similar expressions (as well as other words or expressions referencing future events, conditions or circumstances) are intended to identify forward-looking statements. These statements include those related to: the ability of NGM Bio and Purchaser to complete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by the Merger Agreement, including the parties ability to satisfy the conditions to the consummation of the tender offer contemplated thereby and the other conditions set forth in the Merger Agreement, statements about the expected timetable for completing the transactions, NGM Bios and Purchasers beliefs and expectations and statements about the benefits sought to be achieved by Purchasers proposed acquisition of NGM Bio, the potential effects of the acquisition on both NGM Bio and Purchaser, the possibility of any termination of the Merger Agreement, estimates relating to NGM Bios past, current or future financial condition and other statements that are not historical fact. </w:t>
      </w:r>
    </w:p>
    <w:p>
      <w:pPr>
        <w:pStyle w:val="TextBody"/>
        <w:bidi w:val="0"/>
        <w:spacing w:before="240" w:after="0"/>
        <w:jc w:val="left"/>
        <w:rPr>
          <w:rFonts w:ascii="Times New Roman" w:hAnsi="Times New Roman"/>
          <w:sz w:val="20"/>
        </w:rPr>
      </w:pPr>
      <w:r>
        <w:rPr>
          <w:rFonts w:ascii="Times New Roman" w:hAnsi="Times New Roman"/>
          <w:sz w:val="20"/>
        </w:rPr>
        <w:t xml:space="preserve">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communication. These forward-looking statements are subject to risks and uncertainties, including, without limitation, risks and uncertainties associated with: the timing of the tender offer and the subsequent merger; uncertainties as to how many of the Unaffiliated Stockholders will tender their shares in the tender offer; the risk that competing offers or acquisition proposals will be made; the possibility that various conditions to the consummation of the tender offer and the subsequent merger may not be satisfied or waived; the occurrence of any event, change or other circumstance that could give rise to the termination of the Merger Agreement, including in circumstances which would require NGM Bio to pay a termination fee; the effects of disruption from the transactions contemplated by the Merger Agreement; the risk that stockholder litigation in connection with the tender offer or the merger may result in significant costs of defense, indemnification and liability; and other risks and uncertainties affecting NGM Bio and its development programs, including those discussed in the section titled Risk Factors in NGM Bios Annual Report on Form 10-K for the year ended December 31, 2022 filed with the SEC on February 28, 2023, subsequent Quarterly Reports on Form 10-Q, Current Reports on Form 8-K and other filings and reports that NGM Bio makes from time to time with the SEC. Except as required by law, NGM Bio assumes no obligation to update these forward-looking statements, which speak only as of the date they are made, or to update the reasons if actual results differ materially from those anticipated in the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for the outstanding shares of common stock of NGM Bio referenced in this communication has not yet commenced. This communication is for informational purposes only, is not a recommendation and is neither an offer to purchase nor a solicitation of an offer to sell shares of common stock of NGM Bio or any other securities. This communication is also not a substitute for the tender offer materials that Purchaser will file with the SEC upon commencement of the tender offer. At the time the tender offer is commenced, Purchaser will file with the SEC a Tender Offer Statement on Schedule TO and a Transaction Statement on Schedule 13E-3 (Schedule 13E-3), and NGM Bio will file with the SEC a Solicitation/Recommendation Statement on Schedule 14D-9 and a Schedule 13E-3. </w:t>
      </w:r>
    </w:p>
    <w:p>
      <w:pPr>
        <w:pStyle w:val="TextBody"/>
        <w:bidi w:val="0"/>
        <w:spacing w:before="240" w:after="0"/>
        <w:jc w:val="left"/>
        <w:rPr>
          <w:rFonts w:ascii="Times New Roman" w:hAnsi="Times New Roman"/>
          <w:sz w:val="20"/>
        </w:rPr>
      </w:pPr>
      <w:r>
        <w:rPr>
          <w:rFonts w:ascii="Times New Roman" w:hAnsi="Times New Roman"/>
          <w:sz w:val="20"/>
        </w:rPr>
        <w:t xml:space="preserve">NGM BIOS STOCKHOLDERS ARE URGED TO READ THE TENDER OFFER STATEMENT (INCLUDING AN OFFER TO PURCHASE, A RELATED LETTER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TRANSMITTAL AND CERTAIN OTHER TENDER OFFER DOCUMENTS), THE SOLICITATION / RECOMMENDATION STATEMENT AND THE SCHEDULES 13E-3 WHEN SUCH DOCUMENTS BECOME AVAILABLE, BECAUSE THEY WILL CONTAIN IMPORTANT INFORMATION THAT SHOULD BE READ CAREFULLY BEFORE ANY DECISION IS MADE WITH RESPECT TO THE TENDER OFFER. </w:t>
      </w:r>
    </w:p>
    <w:p>
      <w:pPr>
        <w:pStyle w:val="TextBody"/>
        <w:bidi w:val="0"/>
        <w:spacing w:before="120" w:after="0"/>
        <w:jc w:val="left"/>
        <w:rPr>
          <w:rFonts w:ascii="Times New Roman" w:hAnsi="Times New Roman"/>
          <w:sz w:val="20"/>
        </w:rPr>
      </w:pPr>
      <w:r>
        <w:rPr>
          <w:rFonts w:ascii="Times New Roman" w:hAnsi="Times New Roman"/>
          <w:sz w:val="20"/>
        </w:rPr>
        <w:t xml:space="preserve">When filed, NGM Bios stockholders and other investors can obtain the Tender Offer Statement, the Solicitation/Recommendation Statement, the Schedules 13E-3 and other filed documents for free at the SECs website at www.sec.gov. Copies of the documents filed with the SEC by NGM Bio will be available free of charge on the Investors &amp; Media page of NGM Bios website, </w:t>
      </w:r>
      <w:r>
        <w:rPr>
          <w:rFonts w:ascii="Times New Roman" w:hAnsi="Times New Roman"/>
          <w:sz w:val="20"/>
          <w:u w:val="single"/>
        </w:rPr>
        <w:t>www.ngmbio.com</w:t>
      </w:r>
      <w:r>
        <w:rPr>
          <w:rFonts w:ascii="Times New Roman" w:hAnsi="Times New Roman"/>
          <w:sz w:val="20"/>
        </w:rPr>
        <w:t xml:space="preserve">, or by contacting NGM Bio at </w:t>
      </w:r>
      <w:r>
        <w:rPr>
          <w:rFonts w:ascii="Times New Roman" w:hAnsi="Times New Roman"/>
          <w:sz w:val="20"/>
          <w:u w:val="single"/>
        </w:rPr>
        <w:t>ir@ngmbio.com</w:t>
      </w:r>
      <w:r>
        <w:rPr>
          <w:rFonts w:ascii="Times New Roman" w:hAnsi="Times New Roman"/>
          <w:sz w:val="20"/>
        </w:rPr>
        <w:t xml:space="preserve">. In addition, NGM Bios stockholders may obtain free copies of the tender offer materials by contacting the information agent for the tender offer that will be named in the Tender Offer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Other Information about NGM Biopharmaceuticals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NGM Bio intends to use the Investors &amp; Media page of its website (https://ir.ngmbio.com) as a means of disclosing material non-public information and for complying with its disclosure obligations under Regulation FD. Accordingly, investors should monitor NGM Bios Investors page on its website, in addition to following NGM Bios press releases, SEC filings, public conference calls, presentations and webcasts.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NGM Biopharmaceuticals,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Investor Contact: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ir@ngmbio.com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media@ngmbio.com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3092</Words>
  <Characters>16372</Characters>
  <CharactersWithSpaces>19312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