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681990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Washington, D.C. 20549</w:t>
      </w:r>
    </w:p>
    <w:p>
      <w:pPr>
        <w:spacing w:after="0" w:line="6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14A INFORMATION</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auto"/>
        </w:rPr>
        <w:t>Proxy Statement Pursuant to Section 14(a) of the Securities Exchange Act of 1934</w:t>
      </w:r>
    </w:p>
    <w:p>
      <w:pPr>
        <w:spacing w:after="0" w:line="83" w:lineRule="exact"/>
        <w:rPr>
          <w:sz w:val="24"/>
          <w:szCs w:val="24"/>
          <w:color w:val="auto"/>
        </w:rPr>
      </w:pPr>
    </w:p>
    <w:p>
      <w:pPr>
        <w:jc w:val="center"/>
        <w:ind w:right="-1120"/>
        <w:spacing w:after="0"/>
        <w:tabs>
          <w:tab w:leader="none" w:pos="80" w:val="left"/>
        </w:tabs>
        <w:rPr>
          <w:sz w:val="20"/>
          <w:szCs w:val="20"/>
          <w:color w:val="auto"/>
        </w:rPr>
      </w:pPr>
      <w:r>
        <w:rPr>
          <w:rFonts w:ascii="Arial" w:cs="Arial" w:eastAsia="Arial" w:hAnsi="Arial"/>
          <w:sz w:val="13"/>
          <w:szCs w:val="13"/>
          <w:color w:val="auto"/>
        </w:rPr>
        <w:t>(Amendment No.</w:t>
      </w:r>
      <w:r>
        <w:rPr>
          <w:sz w:val="20"/>
          <w:szCs w:val="20"/>
          <w:color w:val="auto"/>
        </w:rPr>
        <w:tab/>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3842385</wp:posOffset>
            </wp:positionH>
            <wp:positionV relativeFrom="paragraph">
              <wp:posOffset>-6985</wp:posOffset>
            </wp:positionV>
            <wp:extent cx="673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10" cy="6985"/>
                    </a:xfrm>
                    <a:prstGeom prst="rect">
                      <a:avLst/>
                    </a:prstGeom>
                    <a:noFill/>
                  </pic:spPr>
                </pic:pic>
              </a:graphicData>
            </a:graphic>
          </wp:anchor>
        </w:drawing>
      </w:r>
    </w:p>
    <w:p>
      <w:pPr>
        <w:spacing w:after="0" w:line="148" w:lineRule="exact"/>
        <w:tabs>
          <w:tab w:leader="none" w:pos="1780" w:val="left"/>
        </w:tabs>
        <w:rPr>
          <w:sz w:val="20"/>
          <w:szCs w:val="20"/>
          <w:color w:val="auto"/>
        </w:rPr>
      </w:pPr>
      <w:r>
        <w:rPr>
          <w:rFonts w:ascii="Arial" w:cs="Arial" w:eastAsia="Arial" w:hAnsi="Arial"/>
          <w:sz w:val="13"/>
          <w:szCs w:val="13"/>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61" w:lineRule="exact"/>
        <w:rPr>
          <w:sz w:val="20"/>
          <w:szCs w:val="20"/>
          <w:color w:val="auto"/>
        </w:rPr>
      </w:pPr>
      <w:r>
        <w:rPr>
          <w:rFonts w:ascii="Arial" w:cs="Arial" w:eastAsia="Arial" w:hAnsi="Arial"/>
          <w:sz w:val="13"/>
          <w:szCs w:val="13"/>
          <w:color w:val="auto"/>
        </w:rPr>
        <w:t xml:space="preserve">Filed by a Party other than the Registrant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w:t>
      </w:r>
    </w:p>
    <w:p>
      <w:pPr>
        <w:spacing w:after="0" w:line="112"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46" w:lineRule="exact"/>
        <w:rPr>
          <w:rFonts w:ascii="MS PGothic" w:cs="MS PGothic" w:eastAsia="MS PGothic" w:hAnsi="MS PGothic"/>
          <w:sz w:val="14"/>
          <w:szCs w:val="14"/>
          <w:color w:val="auto"/>
        </w:rPr>
      </w:pPr>
    </w:p>
    <w:p>
      <w:pPr>
        <w:ind w:left="460" w:hanging="441"/>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47"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47" w:lineRule="exact"/>
        <w:rPr>
          <w:sz w:val="24"/>
          <w:szCs w:val="24"/>
          <w:color w:val="auto"/>
        </w:rPr>
      </w:pPr>
    </w:p>
    <w:p>
      <w:pPr>
        <w:ind w:left="460" w:hanging="441"/>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46" w:lineRule="exact"/>
        <w:rPr>
          <w:rFonts w:ascii="MS PGothic" w:cs="MS PGothic" w:eastAsia="MS PGothic" w:hAnsi="MS PGothic"/>
          <w:sz w:val="14"/>
          <w:szCs w:val="14"/>
          <w:color w:val="auto"/>
        </w:rPr>
      </w:pPr>
    </w:p>
    <w:p>
      <w:pPr>
        <w:ind w:left="460" w:hanging="441"/>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181" w:lineRule="exact"/>
        <w:rPr>
          <w:sz w:val="24"/>
          <w:szCs w:val="24"/>
          <w:color w:val="auto"/>
        </w:rPr>
      </w:pPr>
    </w:p>
    <w:p>
      <w:pPr>
        <w:ind w:left="4260"/>
        <w:spacing w:after="0"/>
        <w:rPr>
          <w:sz w:val="20"/>
          <w:szCs w:val="20"/>
          <w:color w:val="auto"/>
        </w:rPr>
      </w:pPr>
      <w:r>
        <w:rPr>
          <w:rFonts w:ascii="Arial" w:cs="Arial" w:eastAsia="Arial" w:hAnsi="Arial"/>
          <w:sz w:val="19"/>
          <w:szCs w:val="19"/>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(Name of Registrant as Specified In Its Charter)</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2" w:lineRule="exact"/>
        <w:rPr>
          <w:sz w:val="24"/>
          <w:szCs w:val="24"/>
          <w:color w:val="auto"/>
        </w:rPr>
      </w:pPr>
    </w:p>
    <w:p>
      <w:pPr>
        <w:ind w:left="35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63" w:lineRule="exact"/>
        <w:rPr>
          <w:sz w:val="24"/>
          <w:szCs w:val="24"/>
          <w:color w:val="auto"/>
        </w:rPr>
      </w:pPr>
    </w:p>
    <w:p>
      <w:pPr>
        <w:spacing w:after="0"/>
        <w:rPr>
          <w:sz w:val="20"/>
          <w:szCs w:val="20"/>
          <w:color w:val="auto"/>
        </w:rPr>
      </w:pPr>
      <w:r>
        <w:rPr>
          <w:rFonts w:ascii="Arial" w:cs="Arial" w:eastAsia="Arial" w:hAnsi="Arial"/>
          <w:sz w:val="13"/>
          <w:szCs w:val="13"/>
          <w:color w:val="auto"/>
        </w:rPr>
        <w:t>Payment of Filing Fee (Check the appropriate box)</w:t>
      </w:r>
    </w:p>
    <w:p>
      <w:pPr>
        <w:spacing w:after="0" w:line="196" w:lineRule="exact"/>
        <w:rPr>
          <w:sz w:val="24"/>
          <w:szCs w:val="24"/>
          <w:color w:val="auto"/>
        </w:rPr>
      </w:pPr>
    </w:p>
    <w:p>
      <w:pPr>
        <w:ind w:left="460" w:hanging="441"/>
        <w:spacing w:after="0"/>
        <w:tabs>
          <w:tab w:leader="none" w:pos="46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04" w:lineRule="exact"/>
        <w:rPr>
          <w:sz w:val="24"/>
          <w:szCs w:val="24"/>
          <w:color w:val="auto"/>
        </w:rPr>
      </w:pPr>
    </w:p>
    <w:p>
      <w:pPr>
        <w:ind w:left="460" w:hanging="441"/>
        <w:spacing w:after="0"/>
        <w:tabs>
          <w:tab w:leader="none" w:pos="4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04" w:lineRule="exact"/>
        <w:rPr>
          <w:rFonts w:ascii="MS PGothic" w:cs="MS PGothic" w:eastAsia="MS PGothic" w:hAnsi="MS PGothic"/>
          <w:sz w:val="14"/>
          <w:szCs w:val="14"/>
          <w:color w:val="auto"/>
        </w:rPr>
      </w:pPr>
    </w:p>
    <w:p>
      <w:pPr>
        <w:ind w:left="460" w:hanging="441"/>
        <w:spacing w:after="0"/>
        <w:tabs>
          <w:tab w:leader="none" w:pos="4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392430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134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NGM BIOPHARMACEUTICALS,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333 Oyster Point Boulevard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South San Francisco, California 94080</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ANNUAL MEETING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BE HELD ON MAY 18, 2022</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Dear Stockholder:</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You are cordially invited to attend the 2022 Annual Meeting of Stockholders, or the Annual Meeting, of NGM Biopharmaceuticals, Inc., a Delaware corporation, referred to as the Company or NGM. The meeting will be held virtually on Wednesday, May 18, 2022 at 7:30 a.m. Pacific Daylight Time. Due to the ongoing public health concerns regarding the COVID-19 pandemic, in order to help protect the health and safety of our stockholders, directors and employees and to help facilitate stockholder participation, this year’s Annual Meeting will be held virtually through a live webcast at www.virtualshareholdermeeting.com/NGM2022. You will not be able to attend the Annual Meeting in person.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At or before the Annual Meeting, stockholders are invited to consider and vote upon the following matters:</w:t>
      </w:r>
    </w:p>
    <w:p>
      <w:pPr>
        <w:spacing w:after="0" w:line="179" w:lineRule="exact"/>
        <w:rPr>
          <w:sz w:val="20"/>
          <w:szCs w:val="20"/>
          <w:color w:val="auto"/>
        </w:rPr>
      </w:pPr>
    </w:p>
    <w:p>
      <w:pPr>
        <w:ind w:left="520" w:hanging="260"/>
        <w:spacing w:after="0" w:line="290" w:lineRule="auto"/>
        <w:tabs>
          <w:tab w:leader="none" w:pos="511"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elect to the Company’s Board of Directors the three nominees for Class III director named in the accompanying Proxy Statement to hold office until the Company’s 2025 annual meeting of stockholders and until their successors have been duly elected and qualified.</w:t>
      </w:r>
    </w:p>
    <w:p>
      <w:pPr>
        <w:spacing w:after="0" w:line="35" w:lineRule="exact"/>
        <w:rPr>
          <w:rFonts w:ascii="Arial" w:cs="Arial" w:eastAsia="Arial" w:hAnsi="Arial"/>
          <w:sz w:val="14"/>
          <w:szCs w:val="14"/>
          <w:color w:val="auto"/>
        </w:rPr>
      </w:pPr>
    </w:p>
    <w:p>
      <w:pPr>
        <w:ind w:left="500" w:hanging="24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approve, on an advisory basis, the compensation of the Company’s named executive officers, as disclosed in the accompanying Proxy Statement.</w:t>
      </w:r>
    </w:p>
    <w:p>
      <w:pPr>
        <w:spacing w:after="0" w:line="93" w:lineRule="exact"/>
        <w:rPr>
          <w:rFonts w:ascii="Arial" w:cs="Arial" w:eastAsia="Arial" w:hAnsi="Arial"/>
          <w:sz w:val="14"/>
          <w:szCs w:val="14"/>
          <w:color w:val="auto"/>
        </w:rPr>
      </w:pPr>
    </w:p>
    <w:p>
      <w:pPr>
        <w:ind w:left="500" w:hanging="24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indicate, on an advisory basis, the preferred frequency of stockholder advisory votes on the compensation of the Company’s named executive officers.</w:t>
      </w:r>
    </w:p>
    <w:p>
      <w:pPr>
        <w:spacing w:after="0" w:line="93" w:lineRule="exact"/>
        <w:rPr>
          <w:rFonts w:ascii="Arial" w:cs="Arial" w:eastAsia="Arial" w:hAnsi="Arial"/>
          <w:sz w:val="14"/>
          <w:szCs w:val="14"/>
          <w:color w:val="auto"/>
        </w:rPr>
      </w:pPr>
    </w:p>
    <w:p>
      <w:pPr>
        <w:ind w:left="520" w:hanging="260"/>
        <w:spacing w:after="0" w:line="290" w:lineRule="auto"/>
        <w:tabs>
          <w:tab w:leader="none" w:pos="511"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ratify the selection by the Audit Committee of the Company’s Board of Directors of Ernst &amp; Young LLP as the Company’s independent registered public accounting firm for the year ending December 31, 2022.</w:t>
      </w:r>
    </w:p>
    <w:p>
      <w:pPr>
        <w:spacing w:after="0" w:line="35" w:lineRule="exact"/>
        <w:rPr>
          <w:rFonts w:ascii="Arial" w:cs="Arial" w:eastAsia="Arial" w:hAnsi="Arial"/>
          <w:sz w:val="14"/>
          <w:szCs w:val="14"/>
          <w:color w:val="auto"/>
        </w:rPr>
      </w:pPr>
    </w:p>
    <w:p>
      <w:pPr>
        <w:ind w:left="500" w:hanging="24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conduct any other business properly brought before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foregoing items of business are more fully described in the Proxy Statement accompanying this notice.</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year’s Annual Meeting will be held virtually through a live webcast. You will be able to attend the Annual Meeting, submit questions and vote during the live webcast by visiting www.virtualshareholdermeeting.com/NGM2022 and entering the 16-digit control number on the Notice of Internet Availability of Proxy Materials, on your proxy card or on the instructions that accompanied your proxy materials. Please refer to the additional logistical details in the accompanying Proxy Statement. You may log in at www.virtualshareholdermeeting.com/NGM2022 beginning at 7:15 a.m. Pacific Daylight Time on Wednesday, May 18, 2022.</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Board of Directors has fixed the close of business on March 25, 2022 as the record date for the determination of stockholders entitled to notice of and to vote at the Annual Meeting or any adjournment thereof, referred to as the Record Date. A list of our stockholders of record as of the close of business on the Record Date will be made available to stockholders during the Annual Meeting at www.virtualshareholdermeeting.com/NGM2022.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68515" cy="734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8515" cy="734060"/>
                    </a:xfrm>
                    <a:prstGeom prst="rect">
                      <a:avLst/>
                    </a:prstGeom>
                    <a:noFill/>
                  </pic:spPr>
                </pic:pic>
              </a:graphicData>
            </a:graphic>
          </wp:anchor>
        </w:drawing>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Important Notice Regarding the Availability of Proxy Materials for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Annual Meeting of Stockholders to be held on May 18, 2022, at 7:30 a.m. Pacific Daylight Time.</w:t>
      </w:r>
    </w:p>
    <w:p>
      <w:pPr>
        <w:spacing w:after="0" w:line="165" w:lineRule="exact"/>
        <w:rPr>
          <w:sz w:val="20"/>
          <w:szCs w:val="20"/>
          <w:color w:val="auto"/>
        </w:rPr>
      </w:pPr>
    </w:p>
    <w:p>
      <w:pPr>
        <w:jc w:val="center"/>
        <w:ind w:left="320" w:right="340"/>
        <w:spacing w:after="0" w:line="302" w:lineRule="auto"/>
        <w:rPr>
          <w:sz w:val="20"/>
          <w:szCs w:val="20"/>
          <w:color w:val="auto"/>
        </w:rPr>
      </w:pPr>
      <w:r>
        <w:rPr>
          <w:rFonts w:ascii="Arial" w:cs="Arial" w:eastAsia="Arial" w:hAnsi="Arial"/>
          <w:sz w:val="14"/>
          <w:szCs w:val="14"/>
          <w:b w:val="1"/>
          <w:bCs w:val="1"/>
          <w:color w:val="auto"/>
        </w:rPr>
        <w:t>This Notice, the accompanying Proxy Statement and the Company’s Annual Report on Form 10-K for the fiscal year ended December 31, 2021 are available at www.proxyvote.com.</w:t>
      </w:r>
    </w:p>
    <w:p>
      <w:pPr>
        <w:sectPr>
          <w:pgSz w:w="11900" w:h="16838" w:orient="portrait"/>
          <w:cols w:equalWidth="0" w:num="1">
            <w:col w:w="11280"/>
          </w:cols>
          <w:pgMar w:left="300" w:top="931"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By Order of the Board of Directors,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 Valerie Pierce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Valerie Pierce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Secretary, Senior Vice President, General Counsel and Chief Compliance Officer</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South San Francisco, California</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April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125730</wp:posOffset>
            </wp:positionV>
            <wp:extent cx="7168515" cy="545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545465"/>
                    </a:xfrm>
                    <a:prstGeom prst="rect">
                      <a:avLst/>
                    </a:prstGeom>
                    <a:noFill/>
                  </pic:spPr>
                </pic:pic>
              </a:graphicData>
            </a:graphic>
          </wp:anchor>
        </w:drawing>
      </w:r>
    </w:p>
    <w:p>
      <w:pPr>
        <w:spacing w:after="0" w:line="195"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color w:val="auto"/>
        </w:rPr>
        <w:t>You are cordially invited to attend the Annual Meeting. Whether or not you expect to attend the Annual Meeting, please complete, date, sign and return the proxy mailed to you, or vote over the telephone or via the internet as instructed in these materials, as promptly as possible, in order to ensure your representation at the Annual Meeting. Even if you have voted by proxy, you may still vote online if you attend the Annual Meeting. Stockholders who attend the Annual Meeting should follow the instructions at www.virtualshareholdermeeting.com/NGM2022 to vote online at the Annual Meeting. Please note, however, that if your shares are held of record by a broker, bank or other nominee and you wish to vote at the meeting, you must obtain a proxy issued in your name from that record holder.</w:t>
      </w:r>
    </w:p>
    <w:p>
      <w:pPr>
        <w:sectPr>
          <w:pgSz w:w="11900" w:h="16838" w:orient="portrait"/>
          <w:cols w:equalWidth="0" w:num="1">
            <w:col w:w="10920"/>
          </w:cols>
          <w:pgMar w:left="320" w:top="963"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4"/>
        </w:trPr>
        <w:tc>
          <w:tcPr>
            <w:tcW w:w="10680" w:type="dxa"/>
            <w:vAlign w:val="bottom"/>
          </w:tcPr>
          <w:p>
            <w:pPr>
              <w:ind w:left="48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6"/>
                <w:szCs w:val="16"/>
                <w:color w:val="auto"/>
              </w:rPr>
            </w:pPr>
          </w:p>
        </w:tc>
      </w:tr>
      <w:tr>
        <w:trPr>
          <w:trHeight w:val="374"/>
        </w:trPr>
        <w:tc>
          <w:tcPr>
            <w:tcW w:w="10680" w:type="dxa"/>
            <w:vAlign w:val="bottom"/>
          </w:tcPr>
          <w:p>
            <w:pPr>
              <w:spacing w:after="0"/>
              <w:rPr>
                <w:rFonts w:ascii="Arial" w:cs="Arial" w:eastAsia="Arial" w:hAnsi="Arial"/>
                <w:sz w:val="14"/>
                <w:szCs w:val="14"/>
                <w:color w:val="auto"/>
              </w:rPr>
            </w:pPr>
            <w:hyperlink w:anchor="page4">
              <w:r>
                <w:rPr>
                  <w:rFonts w:ascii="Arial" w:cs="Arial" w:eastAsia="Arial" w:hAnsi="Arial"/>
                  <w:sz w:val="14"/>
                  <w:szCs w:val="14"/>
                  <w:color w:val="auto"/>
                </w:rPr>
                <w:t>QUESTIONS AND ANSWERS ABOUT THESE PROXY MATERIALS AND VOTING</w:t>
              </w:r>
            </w:hyperlink>
          </w:p>
        </w:tc>
        <w:tc>
          <w:tcPr>
            <w:tcW w:w="56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1</w:t>
              </w:r>
            </w:hyperlink>
          </w:p>
        </w:tc>
      </w:tr>
      <w:tr>
        <w:trPr>
          <w:trHeight w:val="212"/>
        </w:trPr>
        <w:tc>
          <w:tcPr>
            <w:tcW w:w="10680" w:type="dxa"/>
            <w:vAlign w:val="bottom"/>
          </w:tcPr>
          <w:p>
            <w:pPr>
              <w:spacing w:after="0"/>
              <w:rPr>
                <w:rFonts w:ascii="Arial" w:cs="Arial" w:eastAsia="Arial" w:hAnsi="Arial"/>
                <w:sz w:val="14"/>
                <w:szCs w:val="14"/>
                <w:color w:val="auto"/>
              </w:rPr>
            </w:pPr>
            <w:hyperlink w:anchor="page11">
              <w:r>
                <w:rPr>
                  <w:rFonts w:ascii="Arial" w:cs="Arial" w:eastAsia="Arial" w:hAnsi="Arial"/>
                  <w:sz w:val="14"/>
                  <w:szCs w:val="14"/>
                  <w:color w:val="auto"/>
                </w:rPr>
                <w:t>PROPOSAL NO. 1 ELECTION OF DIRECTORS</w:t>
              </w:r>
            </w:hyperlink>
          </w:p>
        </w:tc>
        <w:tc>
          <w:tcPr>
            <w:tcW w:w="560" w:type="dxa"/>
            <w:vAlign w:val="bottom"/>
          </w:tcPr>
          <w:p>
            <w:pPr>
              <w:jc w:val="right"/>
              <w:spacing w:after="0"/>
              <w:rPr>
                <w:rFonts w:ascii="Arial" w:cs="Arial" w:eastAsia="Arial" w:hAnsi="Arial"/>
                <w:sz w:val="14"/>
                <w:szCs w:val="14"/>
                <w:color w:val="auto"/>
              </w:rPr>
            </w:pPr>
            <w:hyperlink w:anchor="page11">
              <w:r>
                <w:rPr>
                  <w:rFonts w:ascii="Arial" w:cs="Arial" w:eastAsia="Arial" w:hAnsi="Arial"/>
                  <w:sz w:val="14"/>
                  <w:szCs w:val="14"/>
                  <w:color w:val="auto"/>
                </w:rPr>
                <w:t>8</w:t>
              </w:r>
            </w:hyperlink>
          </w:p>
        </w:tc>
      </w:tr>
      <w:tr>
        <w:trPr>
          <w:trHeight w:val="212"/>
        </w:trPr>
        <w:tc>
          <w:tcPr>
            <w:tcW w:w="10680" w:type="dxa"/>
            <w:vAlign w:val="bottom"/>
          </w:tcPr>
          <w:p>
            <w:pPr>
              <w:spacing w:after="0"/>
              <w:rPr>
                <w:rFonts w:ascii="Arial" w:cs="Arial" w:eastAsia="Arial" w:hAnsi="Arial"/>
                <w:sz w:val="14"/>
                <w:szCs w:val="14"/>
                <w:color w:val="auto"/>
              </w:rPr>
            </w:pPr>
            <w:hyperlink w:anchor="page15">
              <w:r>
                <w:rPr>
                  <w:rFonts w:ascii="Arial" w:cs="Arial" w:eastAsia="Arial" w:hAnsi="Arial"/>
                  <w:sz w:val="14"/>
                  <w:szCs w:val="14"/>
                  <w:color w:val="auto"/>
                </w:rPr>
                <w:t>CORPORATE GOVERNANCE AND BOARD MATTERS</w:t>
              </w:r>
            </w:hyperlink>
          </w:p>
        </w:tc>
        <w:tc>
          <w:tcPr>
            <w:tcW w:w="560" w:type="dxa"/>
            <w:vAlign w:val="bottom"/>
          </w:tcPr>
          <w:p>
            <w:pPr>
              <w:jc w:val="right"/>
              <w:spacing w:after="0"/>
              <w:rPr>
                <w:rFonts w:ascii="Arial" w:cs="Arial" w:eastAsia="Arial" w:hAnsi="Arial"/>
                <w:sz w:val="14"/>
                <w:szCs w:val="14"/>
                <w:color w:val="auto"/>
              </w:rPr>
            </w:pPr>
            <w:hyperlink w:anchor="page15">
              <w:r>
                <w:rPr>
                  <w:rFonts w:ascii="Arial" w:cs="Arial" w:eastAsia="Arial" w:hAnsi="Arial"/>
                  <w:sz w:val="14"/>
                  <w:szCs w:val="14"/>
                  <w:color w:val="auto"/>
                </w:rPr>
                <w:t>12</w:t>
              </w:r>
            </w:hyperlink>
          </w:p>
        </w:tc>
      </w:tr>
      <w:tr>
        <w:trPr>
          <w:trHeight w:val="212"/>
        </w:trPr>
        <w:tc>
          <w:tcPr>
            <w:tcW w:w="10680" w:type="dxa"/>
            <w:vAlign w:val="bottom"/>
          </w:tcPr>
          <w:p>
            <w:pPr>
              <w:spacing w:after="0"/>
              <w:rPr>
                <w:rFonts w:ascii="Arial" w:cs="Arial" w:eastAsia="Arial" w:hAnsi="Arial"/>
                <w:sz w:val="14"/>
                <w:szCs w:val="14"/>
                <w:color w:val="auto"/>
              </w:rPr>
            </w:pPr>
            <w:hyperlink w:anchor="page22">
              <w:r>
                <w:rPr>
                  <w:rFonts w:ascii="Arial" w:cs="Arial" w:eastAsia="Arial" w:hAnsi="Arial"/>
                  <w:sz w:val="14"/>
                  <w:szCs w:val="14"/>
                  <w:color w:val="auto"/>
                </w:rPr>
                <w:t>EXECUTIVE OFFICERS</w:t>
              </w:r>
            </w:hyperlink>
          </w:p>
        </w:tc>
        <w:tc>
          <w:tcPr>
            <w:tcW w:w="560" w:type="dxa"/>
            <w:vAlign w:val="bottom"/>
          </w:tcPr>
          <w:p>
            <w:pPr>
              <w:jc w:val="right"/>
              <w:spacing w:after="0"/>
              <w:rPr>
                <w:rFonts w:ascii="Arial" w:cs="Arial" w:eastAsia="Arial" w:hAnsi="Arial"/>
                <w:sz w:val="14"/>
                <w:szCs w:val="14"/>
                <w:color w:val="auto"/>
              </w:rPr>
            </w:pPr>
            <w:hyperlink w:anchor="page22">
              <w:r>
                <w:rPr>
                  <w:rFonts w:ascii="Arial" w:cs="Arial" w:eastAsia="Arial" w:hAnsi="Arial"/>
                  <w:sz w:val="14"/>
                  <w:szCs w:val="14"/>
                  <w:color w:val="auto"/>
                </w:rPr>
                <w:t>19</w:t>
              </w:r>
            </w:hyperlink>
          </w:p>
        </w:tc>
      </w:tr>
      <w:tr>
        <w:trPr>
          <w:trHeight w:val="212"/>
        </w:trPr>
        <w:tc>
          <w:tcPr>
            <w:tcW w:w="10680" w:type="dxa"/>
            <w:vAlign w:val="bottom"/>
          </w:tcPr>
          <w:p>
            <w:pPr>
              <w:spacing w:after="0"/>
              <w:rPr>
                <w:rFonts w:ascii="Arial" w:cs="Arial" w:eastAsia="Arial" w:hAnsi="Arial"/>
                <w:sz w:val="14"/>
                <w:szCs w:val="14"/>
                <w:color w:val="auto"/>
              </w:rPr>
            </w:pPr>
            <w:hyperlink w:anchor="page23">
              <w:r>
                <w:rPr>
                  <w:rFonts w:ascii="Arial" w:cs="Arial" w:eastAsia="Arial" w:hAnsi="Arial"/>
                  <w:sz w:val="14"/>
                  <w:szCs w:val="14"/>
                  <w:color w:val="auto"/>
                </w:rPr>
                <w:t>COMPENSATION DISCUSSION AND ANALYSIS</w:t>
              </w:r>
            </w:hyperlink>
          </w:p>
        </w:tc>
        <w:tc>
          <w:tcPr>
            <w:tcW w:w="56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20</w:t>
              </w:r>
            </w:hyperlink>
          </w:p>
        </w:tc>
      </w:tr>
      <w:tr>
        <w:trPr>
          <w:trHeight w:val="212"/>
        </w:trPr>
        <w:tc>
          <w:tcPr>
            <w:tcW w:w="10680" w:type="dxa"/>
            <w:vAlign w:val="bottom"/>
          </w:tcPr>
          <w:p>
            <w:pPr>
              <w:spacing w:after="0"/>
              <w:rPr>
                <w:rFonts w:ascii="Arial" w:cs="Arial" w:eastAsia="Arial" w:hAnsi="Arial"/>
                <w:sz w:val="14"/>
                <w:szCs w:val="14"/>
                <w:color w:val="auto"/>
              </w:rPr>
            </w:pPr>
            <w:hyperlink w:anchor="page36">
              <w:r>
                <w:rPr>
                  <w:rFonts w:ascii="Arial" w:cs="Arial" w:eastAsia="Arial" w:hAnsi="Arial"/>
                  <w:sz w:val="14"/>
                  <w:szCs w:val="14"/>
                  <w:color w:val="auto"/>
                </w:rPr>
                <w:t>EXECUTIVE COMPENSATION</w:t>
              </w:r>
            </w:hyperlink>
          </w:p>
        </w:tc>
        <w:tc>
          <w:tcPr>
            <w:tcW w:w="560" w:type="dxa"/>
            <w:vAlign w:val="bottom"/>
          </w:tcPr>
          <w:p>
            <w:pPr>
              <w:jc w:val="right"/>
              <w:spacing w:after="0"/>
              <w:rPr>
                <w:rFonts w:ascii="Arial" w:cs="Arial" w:eastAsia="Arial" w:hAnsi="Arial"/>
                <w:sz w:val="14"/>
                <w:szCs w:val="14"/>
                <w:color w:val="auto"/>
              </w:rPr>
            </w:pPr>
            <w:hyperlink w:anchor="page36">
              <w:r>
                <w:rPr>
                  <w:rFonts w:ascii="Arial" w:cs="Arial" w:eastAsia="Arial" w:hAnsi="Arial"/>
                  <w:sz w:val="14"/>
                  <w:szCs w:val="14"/>
                  <w:color w:val="auto"/>
                </w:rPr>
                <w:t>33</w:t>
              </w:r>
            </w:hyperlink>
          </w:p>
        </w:tc>
      </w:tr>
      <w:tr>
        <w:trPr>
          <w:trHeight w:val="212"/>
        </w:trPr>
        <w:tc>
          <w:tcPr>
            <w:tcW w:w="10680" w:type="dxa"/>
            <w:vAlign w:val="bottom"/>
          </w:tcPr>
          <w:p>
            <w:pPr>
              <w:spacing w:after="0"/>
              <w:rPr>
                <w:rFonts w:ascii="Arial" w:cs="Arial" w:eastAsia="Arial" w:hAnsi="Arial"/>
                <w:sz w:val="14"/>
                <w:szCs w:val="14"/>
                <w:color w:val="auto"/>
              </w:rPr>
            </w:pPr>
            <w:hyperlink w:anchor="page45">
              <w:r>
                <w:rPr>
                  <w:rFonts w:ascii="Arial" w:cs="Arial" w:eastAsia="Arial" w:hAnsi="Arial"/>
                  <w:sz w:val="14"/>
                  <w:szCs w:val="14"/>
                  <w:color w:val="auto"/>
                </w:rPr>
                <w:t>EQUITY COMPENSATION PLANS AT DECEMBER 31, 2021</w:t>
              </w:r>
            </w:hyperlink>
          </w:p>
        </w:tc>
        <w:tc>
          <w:tcPr>
            <w:tcW w:w="560" w:type="dxa"/>
            <w:vAlign w:val="bottom"/>
          </w:tcPr>
          <w:p>
            <w:pPr>
              <w:jc w:val="right"/>
              <w:spacing w:after="0"/>
              <w:rPr>
                <w:rFonts w:ascii="Arial" w:cs="Arial" w:eastAsia="Arial" w:hAnsi="Arial"/>
                <w:sz w:val="14"/>
                <w:szCs w:val="14"/>
                <w:color w:val="auto"/>
              </w:rPr>
            </w:pPr>
            <w:hyperlink w:anchor="page45">
              <w:r>
                <w:rPr>
                  <w:rFonts w:ascii="Arial" w:cs="Arial" w:eastAsia="Arial" w:hAnsi="Arial"/>
                  <w:sz w:val="14"/>
                  <w:szCs w:val="14"/>
                  <w:color w:val="auto"/>
                </w:rPr>
                <w:t>42</w:t>
              </w:r>
            </w:hyperlink>
          </w:p>
        </w:tc>
      </w:tr>
      <w:tr>
        <w:trPr>
          <w:trHeight w:val="212"/>
        </w:trPr>
        <w:tc>
          <w:tcPr>
            <w:tcW w:w="10680" w:type="dxa"/>
            <w:vAlign w:val="bottom"/>
          </w:tcPr>
          <w:p>
            <w:pPr>
              <w:spacing w:after="0"/>
              <w:rPr>
                <w:rFonts w:ascii="Arial" w:cs="Arial" w:eastAsia="Arial" w:hAnsi="Arial"/>
                <w:sz w:val="14"/>
                <w:szCs w:val="14"/>
                <w:color w:val="auto"/>
              </w:rPr>
            </w:pPr>
            <w:hyperlink w:anchor="page46">
              <w:r>
                <w:rPr>
                  <w:rFonts w:ascii="Arial" w:cs="Arial" w:eastAsia="Arial" w:hAnsi="Arial"/>
                  <w:sz w:val="14"/>
                  <w:szCs w:val="14"/>
                  <w:color w:val="auto"/>
                </w:rPr>
                <w:t>DIRECTOR COMPENSATION</w:t>
              </w:r>
            </w:hyperlink>
          </w:p>
        </w:tc>
        <w:tc>
          <w:tcPr>
            <w:tcW w:w="560" w:type="dxa"/>
            <w:vAlign w:val="bottom"/>
          </w:tcPr>
          <w:p>
            <w:pPr>
              <w:jc w:val="right"/>
              <w:spacing w:after="0"/>
              <w:rPr>
                <w:rFonts w:ascii="Arial" w:cs="Arial" w:eastAsia="Arial" w:hAnsi="Arial"/>
                <w:sz w:val="14"/>
                <w:szCs w:val="14"/>
                <w:color w:val="auto"/>
              </w:rPr>
            </w:pPr>
            <w:hyperlink w:anchor="page46">
              <w:r>
                <w:rPr>
                  <w:rFonts w:ascii="Arial" w:cs="Arial" w:eastAsia="Arial" w:hAnsi="Arial"/>
                  <w:sz w:val="14"/>
                  <w:szCs w:val="14"/>
                  <w:color w:val="auto"/>
                </w:rPr>
                <w:t>43</w:t>
              </w:r>
            </w:hyperlink>
          </w:p>
        </w:tc>
      </w:tr>
      <w:tr>
        <w:trPr>
          <w:trHeight w:val="212"/>
        </w:trPr>
        <w:tc>
          <w:tcPr>
            <w:tcW w:w="10680" w:type="dxa"/>
            <w:vAlign w:val="bottom"/>
          </w:tcPr>
          <w:p>
            <w:pPr>
              <w:spacing w:after="0"/>
              <w:rPr>
                <w:rFonts w:ascii="Arial" w:cs="Arial" w:eastAsia="Arial" w:hAnsi="Arial"/>
                <w:sz w:val="14"/>
                <w:szCs w:val="14"/>
                <w:color w:val="auto"/>
              </w:rPr>
            </w:pPr>
            <w:hyperlink w:anchor="page48">
              <w:r>
                <w:rPr>
                  <w:rFonts w:ascii="Arial" w:cs="Arial" w:eastAsia="Arial" w:hAnsi="Arial"/>
                  <w:sz w:val="14"/>
                  <w:szCs w:val="14"/>
                  <w:color w:val="auto"/>
                </w:rPr>
                <w:t>PROPOSAL NO. 2 ADVISORY VOTE ON EXECUTIVE COMPENSATION</w:t>
              </w:r>
            </w:hyperlink>
          </w:p>
        </w:tc>
        <w:tc>
          <w:tcPr>
            <w:tcW w:w="560" w:type="dxa"/>
            <w:vAlign w:val="bottom"/>
          </w:tcPr>
          <w:p>
            <w:pPr>
              <w:jc w:val="right"/>
              <w:spacing w:after="0"/>
              <w:rPr>
                <w:rFonts w:ascii="Arial" w:cs="Arial" w:eastAsia="Arial" w:hAnsi="Arial"/>
                <w:sz w:val="14"/>
                <w:szCs w:val="14"/>
                <w:color w:val="auto"/>
              </w:rPr>
            </w:pPr>
            <w:hyperlink w:anchor="page48">
              <w:r>
                <w:rPr>
                  <w:rFonts w:ascii="Arial" w:cs="Arial" w:eastAsia="Arial" w:hAnsi="Arial"/>
                  <w:sz w:val="14"/>
                  <w:szCs w:val="14"/>
                  <w:color w:val="auto"/>
                </w:rPr>
                <w:t>45</w:t>
              </w:r>
            </w:hyperlink>
          </w:p>
        </w:tc>
      </w:tr>
      <w:tr>
        <w:trPr>
          <w:trHeight w:val="212"/>
        </w:trPr>
        <w:tc>
          <w:tcPr>
            <w:tcW w:w="10680" w:type="dxa"/>
            <w:vAlign w:val="bottom"/>
          </w:tcPr>
          <w:p>
            <w:pPr>
              <w:spacing w:after="0"/>
              <w:rPr>
                <w:rFonts w:ascii="Arial" w:cs="Arial" w:eastAsia="Arial" w:hAnsi="Arial"/>
                <w:sz w:val="14"/>
                <w:szCs w:val="14"/>
                <w:color w:val="auto"/>
              </w:rPr>
            </w:pPr>
            <w:hyperlink w:anchor="page49">
              <w:r>
                <w:rPr>
                  <w:rFonts w:ascii="Arial" w:cs="Arial" w:eastAsia="Arial" w:hAnsi="Arial"/>
                  <w:sz w:val="14"/>
                  <w:szCs w:val="14"/>
                  <w:color w:val="auto"/>
                </w:rPr>
                <w:t>PROPOSAL NO. 3 ADVISORY VOTE ON THE FREQUENCY OF SOLICITATION OF ADVISORY STOCKHOLDER APPROVAL OF EXECUTIVE COMPENSATION</w:t>
              </w:r>
            </w:hyperlink>
          </w:p>
        </w:tc>
        <w:tc>
          <w:tcPr>
            <w:tcW w:w="560" w:type="dxa"/>
            <w:vAlign w:val="bottom"/>
          </w:tcPr>
          <w:p>
            <w:pPr>
              <w:jc w:val="right"/>
              <w:spacing w:after="0"/>
              <w:rPr>
                <w:rFonts w:ascii="Arial" w:cs="Arial" w:eastAsia="Arial" w:hAnsi="Arial"/>
                <w:sz w:val="14"/>
                <w:szCs w:val="14"/>
                <w:color w:val="auto"/>
              </w:rPr>
            </w:pPr>
            <w:hyperlink w:anchor="page49">
              <w:r>
                <w:rPr>
                  <w:rFonts w:ascii="Arial" w:cs="Arial" w:eastAsia="Arial" w:hAnsi="Arial"/>
                  <w:sz w:val="14"/>
                  <w:szCs w:val="14"/>
                  <w:color w:val="auto"/>
                </w:rPr>
                <w:t>46</w:t>
              </w:r>
            </w:hyperlink>
          </w:p>
        </w:tc>
      </w:tr>
      <w:tr>
        <w:trPr>
          <w:trHeight w:val="212"/>
        </w:trPr>
        <w:tc>
          <w:tcPr>
            <w:tcW w:w="10680" w:type="dxa"/>
            <w:vAlign w:val="bottom"/>
          </w:tcPr>
          <w:p>
            <w:pPr>
              <w:spacing w:after="0"/>
              <w:rPr>
                <w:rFonts w:ascii="Arial" w:cs="Arial" w:eastAsia="Arial" w:hAnsi="Arial"/>
                <w:sz w:val="14"/>
                <w:szCs w:val="14"/>
                <w:color w:val="auto"/>
              </w:rPr>
            </w:pPr>
            <w:hyperlink w:anchor="page50">
              <w:r>
                <w:rPr>
                  <w:rFonts w:ascii="Arial" w:cs="Arial" w:eastAsia="Arial" w:hAnsi="Arial"/>
                  <w:sz w:val="14"/>
                  <w:szCs w:val="14"/>
                  <w:color w:val="auto"/>
                </w:rPr>
                <w:t>PROPOSAL NO. 4 RATIFICATION OF SELECTION OF INDEPENDENT REGISTERED PUBLIC ACCOUNTING FIRM</w:t>
              </w:r>
            </w:hyperlink>
          </w:p>
        </w:tc>
        <w:tc>
          <w:tcPr>
            <w:tcW w:w="560" w:type="dxa"/>
            <w:vAlign w:val="bottom"/>
          </w:tcPr>
          <w:p>
            <w:pPr>
              <w:jc w:val="right"/>
              <w:spacing w:after="0"/>
              <w:rPr>
                <w:rFonts w:ascii="Arial" w:cs="Arial" w:eastAsia="Arial" w:hAnsi="Arial"/>
                <w:sz w:val="14"/>
                <w:szCs w:val="14"/>
                <w:color w:val="auto"/>
              </w:rPr>
            </w:pPr>
            <w:hyperlink w:anchor="page50">
              <w:r>
                <w:rPr>
                  <w:rFonts w:ascii="Arial" w:cs="Arial" w:eastAsia="Arial" w:hAnsi="Arial"/>
                  <w:sz w:val="14"/>
                  <w:szCs w:val="14"/>
                  <w:color w:val="auto"/>
                </w:rPr>
                <w:t>47</w:t>
              </w:r>
            </w:hyperlink>
          </w:p>
        </w:tc>
      </w:tr>
      <w:tr>
        <w:trPr>
          <w:trHeight w:val="212"/>
        </w:trPr>
        <w:tc>
          <w:tcPr>
            <w:tcW w:w="10680" w:type="dxa"/>
            <w:vAlign w:val="bottom"/>
          </w:tcPr>
          <w:p>
            <w:pPr>
              <w:spacing w:after="0"/>
              <w:rPr>
                <w:rFonts w:ascii="Arial" w:cs="Arial" w:eastAsia="Arial" w:hAnsi="Arial"/>
                <w:sz w:val="14"/>
                <w:szCs w:val="14"/>
                <w:color w:val="auto"/>
              </w:rPr>
            </w:pPr>
            <w:hyperlink w:anchor="page52">
              <w:r>
                <w:rPr>
                  <w:rFonts w:ascii="Arial" w:cs="Arial" w:eastAsia="Arial" w:hAnsi="Arial"/>
                  <w:sz w:val="14"/>
                  <w:szCs w:val="14"/>
                  <w:color w:val="auto"/>
                </w:rPr>
                <w:t>TRANSACTIONS WITH RELATED PERSONS AND INDEMNIFICATION</w:t>
              </w:r>
            </w:hyperlink>
          </w:p>
        </w:tc>
        <w:tc>
          <w:tcPr>
            <w:tcW w:w="560" w:type="dxa"/>
            <w:vAlign w:val="bottom"/>
          </w:tcPr>
          <w:p>
            <w:pPr>
              <w:jc w:val="right"/>
              <w:spacing w:after="0"/>
              <w:rPr>
                <w:rFonts w:ascii="Arial" w:cs="Arial" w:eastAsia="Arial" w:hAnsi="Arial"/>
                <w:sz w:val="14"/>
                <w:szCs w:val="14"/>
                <w:color w:val="auto"/>
              </w:rPr>
            </w:pPr>
            <w:hyperlink w:anchor="page52">
              <w:r>
                <w:rPr>
                  <w:rFonts w:ascii="Arial" w:cs="Arial" w:eastAsia="Arial" w:hAnsi="Arial"/>
                  <w:sz w:val="14"/>
                  <w:szCs w:val="14"/>
                  <w:color w:val="auto"/>
                </w:rPr>
                <w:t>49</w:t>
              </w:r>
            </w:hyperlink>
          </w:p>
        </w:tc>
      </w:tr>
      <w:tr>
        <w:trPr>
          <w:trHeight w:val="212"/>
        </w:trPr>
        <w:tc>
          <w:tcPr>
            <w:tcW w:w="10680" w:type="dxa"/>
            <w:vAlign w:val="bottom"/>
          </w:tcPr>
          <w:p>
            <w:pPr>
              <w:spacing w:after="0"/>
              <w:rPr>
                <w:rFonts w:ascii="Arial" w:cs="Arial" w:eastAsia="Arial" w:hAnsi="Arial"/>
                <w:sz w:val="14"/>
                <w:szCs w:val="14"/>
                <w:color w:val="auto"/>
              </w:rPr>
            </w:pPr>
            <w:hyperlink w:anchor="page54">
              <w:r>
                <w:rPr>
                  <w:rFonts w:ascii="Arial" w:cs="Arial" w:eastAsia="Arial" w:hAnsi="Arial"/>
                  <w:sz w:val="14"/>
                  <w:szCs w:val="14"/>
                  <w:color w:val="auto"/>
                </w:rPr>
                <w:t>SECURITY OWNERSHIP OF CERTAIN BENEFICIAL OWNERS AND MANAGEMENT</w:t>
              </w:r>
            </w:hyperlink>
          </w:p>
        </w:tc>
        <w:tc>
          <w:tcPr>
            <w:tcW w:w="560" w:type="dxa"/>
            <w:vAlign w:val="bottom"/>
          </w:tcPr>
          <w:p>
            <w:pPr>
              <w:jc w:val="right"/>
              <w:spacing w:after="0"/>
              <w:rPr>
                <w:rFonts w:ascii="Arial" w:cs="Arial" w:eastAsia="Arial" w:hAnsi="Arial"/>
                <w:sz w:val="14"/>
                <w:szCs w:val="14"/>
                <w:color w:val="auto"/>
              </w:rPr>
            </w:pPr>
            <w:hyperlink w:anchor="page54">
              <w:r>
                <w:rPr>
                  <w:rFonts w:ascii="Arial" w:cs="Arial" w:eastAsia="Arial" w:hAnsi="Arial"/>
                  <w:sz w:val="14"/>
                  <w:szCs w:val="14"/>
                  <w:color w:val="auto"/>
                </w:rPr>
                <w:t>51</w:t>
              </w:r>
            </w:hyperlink>
          </w:p>
        </w:tc>
      </w:tr>
      <w:tr>
        <w:trPr>
          <w:trHeight w:val="212"/>
        </w:trPr>
        <w:tc>
          <w:tcPr>
            <w:tcW w:w="10680" w:type="dxa"/>
            <w:vAlign w:val="bottom"/>
          </w:tcPr>
          <w:p>
            <w:pPr>
              <w:spacing w:after="0"/>
              <w:rPr>
                <w:rFonts w:ascii="Arial" w:cs="Arial" w:eastAsia="Arial" w:hAnsi="Arial"/>
                <w:sz w:val="14"/>
                <w:szCs w:val="14"/>
                <w:color w:val="auto"/>
              </w:rPr>
            </w:pPr>
            <w:hyperlink w:anchor="page56">
              <w:r>
                <w:rPr>
                  <w:rFonts w:ascii="Arial" w:cs="Arial" w:eastAsia="Arial" w:hAnsi="Arial"/>
                  <w:sz w:val="14"/>
                  <w:szCs w:val="14"/>
                  <w:color w:val="auto"/>
                </w:rPr>
                <w:t>HOUSEHOLDING OF PROXY MATERIALS</w:t>
              </w:r>
            </w:hyperlink>
          </w:p>
        </w:tc>
        <w:tc>
          <w:tcPr>
            <w:tcW w:w="560" w:type="dxa"/>
            <w:vAlign w:val="bottom"/>
          </w:tcPr>
          <w:p>
            <w:pPr>
              <w:jc w:val="right"/>
              <w:spacing w:after="0"/>
              <w:rPr>
                <w:rFonts w:ascii="Arial" w:cs="Arial" w:eastAsia="Arial" w:hAnsi="Arial"/>
                <w:sz w:val="14"/>
                <w:szCs w:val="14"/>
                <w:color w:val="auto"/>
              </w:rPr>
            </w:pPr>
            <w:hyperlink w:anchor="page56">
              <w:r>
                <w:rPr>
                  <w:rFonts w:ascii="Arial" w:cs="Arial" w:eastAsia="Arial" w:hAnsi="Arial"/>
                  <w:sz w:val="14"/>
                  <w:szCs w:val="14"/>
                  <w:color w:val="auto"/>
                </w:rPr>
                <w:t>53</w:t>
              </w:r>
            </w:hyperlink>
          </w:p>
        </w:tc>
      </w:tr>
      <w:tr>
        <w:trPr>
          <w:trHeight w:val="212"/>
        </w:trPr>
        <w:tc>
          <w:tcPr>
            <w:tcW w:w="10680" w:type="dxa"/>
            <w:vAlign w:val="bottom"/>
          </w:tcPr>
          <w:p>
            <w:pPr>
              <w:spacing w:after="0"/>
              <w:rPr>
                <w:rFonts w:ascii="Arial" w:cs="Arial" w:eastAsia="Arial" w:hAnsi="Arial"/>
                <w:sz w:val="14"/>
                <w:szCs w:val="14"/>
                <w:color w:val="auto"/>
              </w:rPr>
            </w:pPr>
            <w:hyperlink w:anchor="page58">
              <w:r>
                <w:rPr>
                  <w:rFonts w:ascii="Arial" w:cs="Arial" w:eastAsia="Arial" w:hAnsi="Arial"/>
                  <w:sz w:val="14"/>
                  <w:szCs w:val="14"/>
                  <w:color w:val="auto"/>
                </w:rPr>
                <w:t>OTHER MATTERS</w:t>
              </w:r>
            </w:hyperlink>
          </w:p>
        </w:tc>
        <w:tc>
          <w:tcPr>
            <w:tcW w:w="56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54</w:t>
              </w:r>
            </w:hyperlink>
          </w:p>
        </w:tc>
      </w:tr>
    </w:tbl>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NGM BIOPHARMACEUTICALS,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333 Oyster Point Boulevard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South San Francisco, California 94080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PROXY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2022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MAY 18, 2022</w:t>
      </w:r>
    </w:p>
    <w:p>
      <w:pPr>
        <w:spacing w:after="0" w:line="143" w:lineRule="exact"/>
        <w:rPr>
          <w:sz w:val="20"/>
          <w:szCs w:val="20"/>
          <w:color w:val="auto"/>
        </w:rPr>
      </w:pPr>
    </w:p>
    <w:p>
      <w:pPr>
        <w:ind w:right="2980" w:firstLine="2988"/>
        <w:spacing w:after="0" w:line="482" w:lineRule="auto"/>
        <w:rPr>
          <w:sz w:val="20"/>
          <w:szCs w:val="20"/>
          <w:color w:val="auto"/>
        </w:rPr>
      </w:pPr>
      <w:r>
        <w:rPr>
          <w:rFonts w:ascii="Arial" w:cs="Arial" w:eastAsia="Arial" w:hAnsi="Arial"/>
          <w:sz w:val="14"/>
          <w:szCs w:val="14"/>
          <w:b w:val="1"/>
          <w:bCs w:val="1"/>
          <w:color w:val="auto"/>
        </w:rPr>
        <w:t>QUESTIONS AND ANSWERS ABOUT THESE PROXY MATERIALS AND VOTING Why did I receive a notice regarding the availability of proxy materials on the internet?</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Pursuant to rules adopted by the Securities and Exchange Commission, or the SEC, we have elected to provide access to our proxy materials over the internet. Accordingly, we or your broker have sent you a Notice of Internet Availability of Proxy Materials, or the Notice, because the Board of Directors of NGM Biopharmaceuticals, Inc. (referred to in this Proxy Statement as “we,” “us,” “our,” the “Company” or “NGM”) is soliciting your proxy to vote at the 2022 Annual Meeting of Stockholders, or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intend to mail the Notice to each of our stockholders of record entitled to vote at the Annual Meeting beginning on or about April 7, 2022.</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Will I receive any other proxy materials by mail?</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 you will not receive any other proxy materials by mail unless you request a paper copy of proxy materials. To request that a full set of the proxy materials be sent to your specified postal address, please go to www.proxyvote.com or call 1-800-579-1639 and follow the instructions. You may also request a full set of the proxy materials by sending an email, referencing the 16-digit control number set forth in the Notice, to sendmaterial@proxyvote.com.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am I being asked to vote 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At the 2022 Annual Meeting of Stockholders, or the Annual Meeting, our stockholders will consider and vote on the following matters:</w:t>
      </w:r>
    </w:p>
    <w:p>
      <w:pPr>
        <w:spacing w:after="0" w:line="179" w:lineRule="exact"/>
        <w:rPr>
          <w:sz w:val="20"/>
          <w:szCs w:val="20"/>
          <w:color w:val="auto"/>
        </w:rPr>
      </w:pPr>
    </w:p>
    <w:p>
      <w:pPr>
        <w:ind w:firstLine="5"/>
        <w:spacing w:after="0" w:line="290" w:lineRule="auto"/>
        <w:tabs>
          <w:tab w:leader="none" w:pos="156" w:val="left"/>
        </w:tabs>
        <w:numPr>
          <w:ilvl w:val="0"/>
          <w:numId w:val="7"/>
        </w:numPr>
        <w:rPr>
          <w:rFonts w:ascii="MS PGothic" w:cs="MS PGothic" w:eastAsia="MS PGothic" w:hAnsi="MS PGothic"/>
          <w:sz w:val="14"/>
          <w:szCs w:val="14"/>
          <w:color w:val="auto"/>
        </w:rPr>
      </w:pPr>
      <w:r>
        <w:rPr>
          <w:rFonts w:ascii="Arial" w:cs="Arial" w:eastAsia="Arial" w:hAnsi="Arial"/>
          <w:sz w:val="14"/>
          <w:szCs w:val="14"/>
          <w:i w:val="1"/>
          <w:iCs w:val="1"/>
          <w:color w:val="auto"/>
        </w:rPr>
        <w:t xml:space="preserve">Proposal No. 1 </w:t>
      </w:r>
      <w:r>
        <w:rPr>
          <w:rFonts w:ascii="Arial" w:cs="Arial" w:eastAsia="Arial" w:hAnsi="Arial"/>
          <w:sz w:val="14"/>
          <w:szCs w:val="14"/>
          <w:color w:val="auto"/>
        </w:rPr>
        <w:t>- To elect to our Board of Directors the three nominees for Class III director named herein to hold office until our 2025 annual meeting of stockholders and until</w:t>
      </w:r>
      <w:r>
        <w:rPr>
          <w:rFonts w:ascii="Arial" w:cs="Arial" w:eastAsia="Arial" w:hAnsi="Arial"/>
          <w:sz w:val="14"/>
          <w:szCs w:val="14"/>
          <w:i w:val="1"/>
          <w:iCs w:val="1"/>
          <w:color w:val="auto"/>
        </w:rPr>
        <w:t xml:space="preserve"> </w:t>
      </w:r>
      <w:r>
        <w:rPr>
          <w:rFonts w:ascii="Arial" w:cs="Arial" w:eastAsia="Arial" w:hAnsi="Arial"/>
          <w:sz w:val="14"/>
          <w:szCs w:val="14"/>
          <w:color w:val="auto"/>
        </w:rPr>
        <w:t>their successors have been duly elected and qualified;</w:t>
      </w:r>
    </w:p>
    <w:p>
      <w:pPr>
        <w:spacing w:after="0" w:line="120" w:lineRule="exact"/>
        <w:rPr>
          <w:rFonts w:ascii="MS PGothic" w:cs="MS PGothic" w:eastAsia="MS PGothic" w:hAnsi="MS PGothic"/>
          <w:sz w:val="14"/>
          <w:szCs w:val="14"/>
          <w:color w:val="auto"/>
        </w:rPr>
      </w:pPr>
    </w:p>
    <w:p>
      <w:pPr>
        <w:ind w:firstLine="5"/>
        <w:spacing w:after="0" w:line="290" w:lineRule="auto"/>
        <w:tabs>
          <w:tab w:leader="none" w:pos="156"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t xml:space="preserve">Proposal </w:t>
      </w:r>
      <w:r>
        <w:rPr>
          <w:rFonts w:ascii="Arial" w:cs="Arial" w:eastAsia="Arial" w:hAnsi="Arial"/>
          <w:sz w:val="14"/>
          <w:szCs w:val="14"/>
          <w:i w:val="1"/>
          <w:iCs w:val="1"/>
          <w:color w:val="auto"/>
        </w:rPr>
        <w:t>No. 2</w:t>
      </w:r>
      <w:r>
        <w:rPr>
          <w:rFonts w:ascii="Arial" w:cs="Arial" w:eastAsia="Arial" w:hAnsi="Arial"/>
          <w:sz w:val="14"/>
          <w:szCs w:val="14"/>
          <w:color w:val="auto"/>
        </w:rPr>
        <w:t xml:space="preserve"> - To approve, on an advisory basis, the compensation of the Company’s named executive officers, as disclosed in this Proxy Statement in accordance with SEC rules;</w:t>
      </w:r>
    </w:p>
    <w:p>
      <w:pPr>
        <w:spacing w:after="0" w:line="120" w:lineRule="exact"/>
        <w:rPr>
          <w:rFonts w:ascii="MS PGothic" w:cs="MS PGothic" w:eastAsia="MS PGothic" w:hAnsi="MS PGothic"/>
          <w:sz w:val="14"/>
          <w:szCs w:val="14"/>
          <w:color w:val="auto"/>
        </w:rPr>
      </w:pPr>
    </w:p>
    <w:p>
      <w:pPr>
        <w:ind w:left="160" w:hanging="155"/>
        <w:spacing w:after="0"/>
        <w:tabs>
          <w:tab w:leader="none" w:pos="160" w:val="left"/>
        </w:tabs>
        <w:numPr>
          <w:ilvl w:val="0"/>
          <w:numId w:val="7"/>
        </w:numPr>
        <w:rPr>
          <w:rFonts w:ascii="MS PGothic" w:cs="MS PGothic" w:eastAsia="MS PGothic" w:hAnsi="MS PGothic"/>
          <w:sz w:val="14"/>
          <w:szCs w:val="14"/>
          <w:color w:val="auto"/>
        </w:rPr>
      </w:pPr>
      <w:r>
        <w:rPr>
          <w:rFonts w:ascii="Arial" w:cs="Arial" w:eastAsia="Arial" w:hAnsi="Arial"/>
          <w:sz w:val="14"/>
          <w:szCs w:val="14"/>
          <w:i w:val="1"/>
          <w:iCs w:val="1"/>
          <w:color w:val="auto"/>
        </w:rPr>
        <w:t xml:space="preserve">Proposal No. 3 </w:t>
      </w:r>
      <w:r>
        <w:rPr>
          <w:rFonts w:ascii="Arial" w:cs="Arial" w:eastAsia="Arial" w:hAnsi="Arial"/>
          <w:sz w:val="14"/>
          <w:szCs w:val="14"/>
          <w:color w:val="auto"/>
        </w:rPr>
        <w:t>- To indicate, on an advisory basis, the preferred frequency of stockholder advisory votes on the compensation of the Company’s named executive officers; and</w:t>
      </w:r>
    </w:p>
    <w:p>
      <w:pPr>
        <w:spacing w:after="0" w:line="178" w:lineRule="exact"/>
        <w:rPr>
          <w:rFonts w:ascii="MS PGothic" w:cs="MS PGothic" w:eastAsia="MS PGothic" w:hAnsi="MS PGothic"/>
          <w:sz w:val="14"/>
          <w:szCs w:val="14"/>
          <w:color w:val="auto"/>
        </w:rPr>
      </w:pPr>
    </w:p>
    <w:p>
      <w:pPr>
        <w:ind w:firstLine="5"/>
        <w:spacing w:after="0" w:line="290" w:lineRule="auto"/>
        <w:tabs>
          <w:tab w:leader="none" w:pos="156"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t xml:space="preserve">Proposal </w:t>
      </w:r>
      <w:r>
        <w:rPr>
          <w:rFonts w:ascii="Arial" w:cs="Arial" w:eastAsia="Arial" w:hAnsi="Arial"/>
          <w:sz w:val="14"/>
          <w:szCs w:val="14"/>
          <w:i w:val="1"/>
          <w:iCs w:val="1"/>
          <w:color w:val="auto"/>
        </w:rPr>
        <w:t>No. 4</w:t>
      </w:r>
      <w:r>
        <w:rPr>
          <w:rFonts w:ascii="Arial" w:cs="Arial" w:eastAsia="Arial" w:hAnsi="Arial"/>
          <w:sz w:val="14"/>
          <w:szCs w:val="14"/>
          <w:color w:val="auto"/>
        </w:rPr>
        <w:t xml:space="preserve"> - To ratify the selection by the Audit Committee of our Board of Directors of Ernst &amp; Young LLP as our independent registered public accounting firm for the year ending December 31, 2022.</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the Annual Meeting, stockholders also will be asked to transact any other business that may properly come before the Annual Meeting other than the four items listed above. As of the date of this Proxy Statement, our Board of Directors did not know of any other matters to be presented for consideration at the Annual Meeting other than the four items noted above.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931"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How does the Board of Directors recommend that I vote?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unanimously recommends that you vote:</w:t>
      </w:r>
    </w:p>
    <w:p>
      <w:pPr>
        <w:spacing w:after="0" w:line="179" w:lineRule="exact"/>
        <w:rPr>
          <w:sz w:val="20"/>
          <w:szCs w:val="20"/>
          <w:color w:val="auto"/>
        </w:rPr>
      </w:pPr>
    </w:p>
    <w:p>
      <w:pPr>
        <w:ind w:firstLine="5"/>
        <w:spacing w:after="0" w:line="290" w:lineRule="auto"/>
        <w:tabs>
          <w:tab w:leader="none" w:pos="156" w:val="left"/>
        </w:tabs>
        <w:numPr>
          <w:ilvl w:val="0"/>
          <w:numId w:val="8"/>
        </w:numPr>
        <w:rPr>
          <w:rFonts w:ascii="MS PGothic" w:cs="MS PGothic" w:eastAsia="MS PGothic" w:hAnsi="MS PGothic"/>
          <w:sz w:val="14"/>
          <w:szCs w:val="14"/>
          <w:color w:val="auto"/>
        </w:rPr>
      </w:pPr>
      <w:r>
        <w:rPr>
          <w:rFonts w:ascii="Arial" w:cs="Arial" w:eastAsia="Arial" w:hAnsi="Arial"/>
          <w:sz w:val="14"/>
          <w:szCs w:val="14"/>
          <w:i w:val="1"/>
          <w:iCs w:val="1"/>
          <w:color w:val="auto"/>
        </w:rPr>
        <w:t xml:space="preserve">Proposal No. 1 </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FOR</w:t>
      </w:r>
      <w:r>
        <w:rPr>
          <w:rFonts w:ascii="Arial" w:cs="Arial" w:eastAsia="Arial" w:hAnsi="Arial"/>
          <w:sz w:val="14"/>
          <w:szCs w:val="14"/>
          <w:i w:val="1"/>
          <w:iCs w:val="1"/>
          <w:color w:val="auto"/>
        </w:rPr>
        <w:t xml:space="preserve"> </w:t>
      </w:r>
      <w:r>
        <w:rPr>
          <w:rFonts w:ascii="Arial" w:cs="Arial" w:eastAsia="Arial" w:hAnsi="Arial"/>
          <w:sz w:val="14"/>
          <w:szCs w:val="14"/>
          <w:color w:val="auto"/>
        </w:rPr>
        <w:t>the election to our Board of Directors of the three nominees for Class III director named herein to hold office until our 2025 annual meeting of stockholders</w:t>
      </w:r>
      <w:r>
        <w:rPr>
          <w:rFonts w:ascii="Arial" w:cs="Arial" w:eastAsia="Arial" w:hAnsi="Arial"/>
          <w:sz w:val="14"/>
          <w:szCs w:val="14"/>
          <w:i w:val="1"/>
          <w:iCs w:val="1"/>
          <w:color w:val="auto"/>
        </w:rPr>
        <w:t xml:space="preserve"> </w:t>
      </w:r>
      <w:r>
        <w:rPr>
          <w:rFonts w:ascii="Arial" w:cs="Arial" w:eastAsia="Arial" w:hAnsi="Arial"/>
          <w:sz w:val="14"/>
          <w:szCs w:val="14"/>
          <w:color w:val="auto"/>
        </w:rPr>
        <w:t>and until their successors have been duly elected and qualified;</w:t>
      </w:r>
    </w:p>
    <w:p>
      <w:pPr>
        <w:spacing w:after="0" w:line="120" w:lineRule="exact"/>
        <w:rPr>
          <w:rFonts w:ascii="MS PGothic" w:cs="MS PGothic" w:eastAsia="MS PGothic" w:hAnsi="MS PGothic"/>
          <w:sz w:val="14"/>
          <w:szCs w:val="14"/>
          <w:color w:val="auto"/>
        </w:rPr>
      </w:pPr>
    </w:p>
    <w:p>
      <w:pPr>
        <w:ind w:firstLine="5"/>
        <w:spacing w:after="0" w:line="290" w:lineRule="auto"/>
        <w:tabs>
          <w:tab w:leader="none" w:pos="156" w:val="left"/>
        </w:tabs>
        <w:numPr>
          <w:ilvl w:val="0"/>
          <w:numId w:val="8"/>
        </w:numPr>
        <w:rPr>
          <w:rFonts w:ascii="MS PGothic" w:cs="MS PGothic" w:eastAsia="MS PGothic" w:hAnsi="MS PGothic"/>
          <w:sz w:val="14"/>
          <w:szCs w:val="14"/>
          <w:color w:val="auto"/>
        </w:rPr>
      </w:pPr>
      <w:r>
        <w:rPr>
          <w:rFonts w:ascii="Arial" w:cs="Arial" w:eastAsia="Arial" w:hAnsi="Arial"/>
          <w:sz w:val="14"/>
          <w:szCs w:val="14"/>
          <w:i w:val="1"/>
          <w:iCs w:val="1"/>
          <w:color w:val="auto"/>
        </w:rPr>
        <w:t xml:space="preserve">Proposal No. 2 </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FOR</w:t>
      </w:r>
      <w:r>
        <w:rPr>
          <w:rFonts w:ascii="Arial" w:cs="Arial" w:eastAsia="Arial" w:hAnsi="Arial"/>
          <w:sz w:val="14"/>
          <w:szCs w:val="14"/>
          <w:i w:val="1"/>
          <w:iCs w:val="1"/>
          <w:color w:val="auto"/>
        </w:rPr>
        <w:t xml:space="preserve"> </w:t>
      </w:r>
      <w:r>
        <w:rPr>
          <w:rFonts w:ascii="Arial" w:cs="Arial" w:eastAsia="Arial" w:hAnsi="Arial"/>
          <w:sz w:val="14"/>
          <w:szCs w:val="14"/>
          <w:color w:val="auto"/>
        </w:rPr>
        <w:t>the approval, on an advisory basis, of the compensation of the Company’s named executive officers, as disclosed in this Proxy Statement in accordance</w:t>
      </w:r>
      <w:r>
        <w:rPr>
          <w:rFonts w:ascii="Arial" w:cs="Arial" w:eastAsia="Arial" w:hAnsi="Arial"/>
          <w:sz w:val="14"/>
          <w:szCs w:val="14"/>
          <w:i w:val="1"/>
          <w:iCs w:val="1"/>
          <w:color w:val="auto"/>
        </w:rPr>
        <w:t xml:space="preserve"> </w:t>
      </w:r>
      <w:r>
        <w:rPr>
          <w:rFonts w:ascii="Arial" w:cs="Arial" w:eastAsia="Arial" w:hAnsi="Arial"/>
          <w:sz w:val="14"/>
          <w:szCs w:val="14"/>
          <w:color w:val="auto"/>
        </w:rPr>
        <w:t>with SEC rules;</w:t>
      </w:r>
    </w:p>
    <w:p>
      <w:pPr>
        <w:spacing w:after="0" w:line="120" w:lineRule="exact"/>
        <w:rPr>
          <w:rFonts w:ascii="MS PGothic" w:cs="MS PGothic" w:eastAsia="MS PGothic" w:hAnsi="MS PGothic"/>
          <w:sz w:val="14"/>
          <w:szCs w:val="14"/>
          <w:color w:val="auto"/>
        </w:rPr>
      </w:pPr>
    </w:p>
    <w:p>
      <w:pPr>
        <w:ind w:left="160" w:hanging="155"/>
        <w:spacing w:after="0"/>
        <w:tabs>
          <w:tab w:leader="none" w:pos="160" w:val="left"/>
        </w:tabs>
        <w:numPr>
          <w:ilvl w:val="0"/>
          <w:numId w:val="8"/>
        </w:numPr>
        <w:rPr>
          <w:rFonts w:ascii="MS PGothic" w:cs="MS PGothic" w:eastAsia="MS PGothic" w:hAnsi="MS PGothic"/>
          <w:sz w:val="14"/>
          <w:szCs w:val="14"/>
          <w:color w:val="auto"/>
        </w:rPr>
      </w:pPr>
      <w:r>
        <w:rPr>
          <w:rFonts w:ascii="Arial" w:cs="Arial" w:eastAsia="Arial" w:hAnsi="Arial"/>
          <w:sz w:val="14"/>
          <w:szCs w:val="14"/>
          <w:i w:val="1"/>
          <w:iCs w:val="1"/>
          <w:color w:val="auto"/>
        </w:rPr>
        <w:t xml:space="preserve">Proposal No. 3 </w:t>
      </w:r>
      <w:r>
        <w:rPr>
          <w:rFonts w:ascii="Arial" w:cs="Arial" w:eastAsia="Arial" w:hAnsi="Arial"/>
          <w:sz w:val="14"/>
          <w:szCs w:val="14"/>
          <w:color w:val="auto"/>
        </w:rPr>
        <w:t>– That the frequency of stockholder advisory votes on the compensation of the Company’s named executive officers be every</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ONE YEAR</w:t>
      </w:r>
      <w:r>
        <w:rPr>
          <w:rFonts w:ascii="Arial" w:cs="Arial" w:eastAsia="Arial" w:hAnsi="Arial"/>
          <w:sz w:val="14"/>
          <w:szCs w:val="14"/>
          <w:color w:val="auto"/>
        </w:rPr>
        <w:t>; and</w:t>
      </w:r>
    </w:p>
    <w:p>
      <w:pPr>
        <w:spacing w:after="0" w:line="178" w:lineRule="exact"/>
        <w:rPr>
          <w:rFonts w:ascii="MS PGothic" w:cs="MS PGothic" w:eastAsia="MS PGothic" w:hAnsi="MS PGothic"/>
          <w:sz w:val="14"/>
          <w:szCs w:val="14"/>
          <w:color w:val="auto"/>
        </w:rPr>
      </w:pPr>
    </w:p>
    <w:p>
      <w:pPr>
        <w:ind w:firstLine="5"/>
        <w:spacing w:after="0" w:line="290" w:lineRule="auto"/>
        <w:tabs>
          <w:tab w:leader="none" w:pos="156" w:val="left"/>
        </w:tabs>
        <w:numPr>
          <w:ilvl w:val="0"/>
          <w:numId w:val="8"/>
        </w:numPr>
        <w:rPr>
          <w:rFonts w:ascii="MS PGothic" w:cs="MS PGothic" w:eastAsia="MS PGothic" w:hAnsi="MS PGothic"/>
          <w:sz w:val="14"/>
          <w:szCs w:val="14"/>
          <w:color w:val="auto"/>
        </w:rPr>
      </w:pPr>
      <w:r>
        <w:rPr>
          <w:rFonts w:ascii="Arial" w:cs="Arial" w:eastAsia="Arial" w:hAnsi="Arial"/>
          <w:sz w:val="14"/>
          <w:szCs w:val="14"/>
          <w:color w:val="auto"/>
        </w:rPr>
        <w:t xml:space="preserve">Proposal </w:t>
      </w:r>
      <w:r>
        <w:rPr>
          <w:rFonts w:ascii="Arial" w:cs="Arial" w:eastAsia="Arial" w:hAnsi="Arial"/>
          <w:sz w:val="14"/>
          <w:szCs w:val="14"/>
          <w:i w:val="1"/>
          <w:iCs w:val="1"/>
          <w:color w:val="auto"/>
        </w:rPr>
        <w:t>No. 4</w:t>
      </w:r>
      <w:r>
        <w:rPr>
          <w:rFonts w:ascii="Arial" w:cs="Arial" w:eastAsia="Arial" w:hAnsi="Arial"/>
          <w:sz w:val="14"/>
          <w:szCs w:val="14"/>
          <w:color w:val="auto"/>
        </w:rPr>
        <w:t xml:space="preserve"> -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ratification of the selection by the Audit Committee of our Board of Directors of Ernst &amp; Young LLP as our independent registered public accounting firm for the year ending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is entitled to vote at the Annual Meeting?</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Only stockholders of record of NGM common stock as of the close of business on the Record Date, March 25, 2022, will be entitled to vote at the Annual Meeting. As of the Record Date, 78,085,283 shares of NGM common stock were outstanding and entitled to vote.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Proposal No. 1, you may either vote “For” the nominees to the Board of Directors or you may “Withhold” your vote for any nominee you specify. For Proposal No. 3, with regard to your advisory vote on how frequently we should solicit stockholder advisory approval of executive compensation, you may vote for any one of the following: one year, two years or three years, or you may abstain from voting on that matter. For both of the other proposals to be voted on, you may vote “For” or “Against” or abstain from voting. The procedures for voting are fairly simple: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Stockholder of Record: Shares Registered in Your Name</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on the Record Date, your shares were registered directly in your name with our transfer agent, American Stock Transfer &amp; Trust Company, LLC, then you are a stockholder of record. As a stockholder of record, you may vote online during the Annual Meeting, vote by proxy through the internet or by telephone or vote by proxy using a proxy card that you may request or that we may elect to deliver at a later time. Whether or not you plan to attend the Annual Meeting, we urge you to vote by proxy through the internet or by telephone as instructed below, or by completing a proxy card that you may request or that we may elect to deliver at a later time.</w:t>
      </w:r>
    </w:p>
    <w:p>
      <w:pPr>
        <w:spacing w:after="0" w:line="138" w:lineRule="exact"/>
        <w:rPr>
          <w:sz w:val="20"/>
          <w:szCs w:val="20"/>
          <w:color w:val="auto"/>
        </w:rPr>
      </w:pPr>
    </w:p>
    <w:p>
      <w:pPr>
        <w:jc w:val="both"/>
        <w:ind w:firstLine="5"/>
        <w:spacing w:after="0" w:line="265" w:lineRule="auto"/>
        <w:tabs>
          <w:tab w:leader="none" w:pos="160" w:val="left"/>
        </w:tabs>
        <w:numPr>
          <w:ilvl w:val="0"/>
          <w:numId w:val="9"/>
        </w:numPr>
        <w:rPr>
          <w:rFonts w:ascii="MS PGothic" w:cs="MS PGothic" w:eastAsia="MS PGothic" w:hAnsi="MS PGothic"/>
          <w:sz w:val="14"/>
          <w:szCs w:val="14"/>
          <w:color w:val="auto"/>
        </w:rPr>
      </w:pPr>
      <w:r>
        <w:rPr>
          <w:rFonts w:ascii="Arial" w:cs="Arial" w:eastAsia="Arial" w:hAnsi="Arial"/>
          <w:sz w:val="14"/>
          <w:szCs w:val="14"/>
          <w:color w:val="auto"/>
        </w:rPr>
        <w:t>To vote online during the Annual Meeting, please go to www.virtualshareholdermeeting.com/NGM2022. You will be asked to provide the 16-digit control number included on your Notice, your proxy card (that you may request or that was delivered you) or the instructions that accompanied your proxy materials. Once you have logged into the Annual Meeting, please follow the instructions to vote your shares. If you do not have your 16-digit control number, you will be able to access and listen to the Annual Meeting, but you will not be able to vote your shares or submit questions.</w:t>
      </w:r>
    </w:p>
    <w:p>
      <w:pPr>
        <w:spacing w:after="0" w:line="137" w:lineRule="exact"/>
        <w:rPr>
          <w:rFonts w:ascii="MS PGothic" w:cs="MS PGothic" w:eastAsia="MS PGothic" w:hAnsi="MS PGothic"/>
          <w:sz w:val="14"/>
          <w:szCs w:val="14"/>
          <w:color w:val="auto"/>
        </w:rPr>
      </w:pPr>
    </w:p>
    <w:p>
      <w:pPr>
        <w:ind w:firstLine="5"/>
        <w:spacing w:after="0" w:line="290" w:lineRule="auto"/>
        <w:tabs>
          <w:tab w:leader="none" w:pos="161" w:val="left"/>
        </w:tabs>
        <w:numPr>
          <w:ilvl w:val="0"/>
          <w:numId w:val="9"/>
        </w:numPr>
        <w:rPr>
          <w:rFonts w:ascii="MS PGothic" w:cs="MS PGothic" w:eastAsia="MS PGothic" w:hAnsi="MS PGothic"/>
          <w:sz w:val="14"/>
          <w:szCs w:val="14"/>
          <w:color w:val="auto"/>
        </w:rPr>
      </w:pPr>
      <w:r>
        <w:rPr>
          <w:rFonts w:ascii="Arial" w:cs="Arial" w:eastAsia="Arial" w:hAnsi="Arial"/>
          <w:sz w:val="14"/>
          <w:szCs w:val="14"/>
          <w:color w:val="auto"/>
        </w:rPr>
        <w:t>To vote using a proxy card before the Annual Meeting, simply complete, sign and date the proxy card that you may request or that was delivered to you and return it promptly in the envelope provided. If you return your signed proxy card to us before the Annual Meeting, we will vote your shares as you direct.</w:t>
      </w:r>
    </w:p>
    <w:p>
      <w:pPr>
        <w:spacing w:after="0" w:line="120" w:lineRule="exact"/>
        <w:rPr>
          <w:rFonts w:ascii="MS PGothic" w:cs="MS PGothic" w:eastAsia="MS PGothic" w:hAnsi="MS PGothic"/>
          <w:sz w:val="14"/>
          <w:szCs w:val="14"/>
          <w:color w:val="auto"/>
        </w:rPr>
      </w:pPr>
    </w:p>
    <w:p>
      <w:pPr>
        <w:jc w:val="both"/>
        <w:ind w:firstLine="5"/>
        <w:spacing w:after="0" w:line="271" w:lineRule="auto"/>
        <w:tabs>
          <w:tab w:leader="none" w:pos="162" w:val="left"/>
        </w:tabs>
        <w:numPr>
          <w:ilvl w:val="0"/>
          <w:numId w:val="9"/>
        </w:numPr>
        <w:rPr>
          <w:rFonts w:ascii="MS PGothic" w:cs="MS PGothic" w:eastAsia="MS PGothic" w:hAnsi="MS PGothic"/>
          <w:sz w:val="14"/>
          <w:szCs w:val="14"/>
          <w:color w:val="auto"/>
        </w:rPr>
      </w:pPr>
      <w:r>
        <w:rPr>
          <w:rFonts w:ascii="Arial" w:cs="Arial" w:eastAsia="Arial" w:hAnsi="Arial"/>
          <w:sz w:val="14"/>
          <w:szCs w:val="14"/>
          <w:color w:val="auto"/>
        </w:rPr>
        <w:t>To vote over the telephone before the Annual Meeting, dial toll-free 1-800-690-6903 using a touch-tone phone and follow the recorded instructions. You will be asked to provide the 16-digit control number included on your Notice, your proxy card (that you may request or that was delivered you) or the instructions that accompanied your proxy materials. Your vote must be received by 11:59 p.m. Eastern Daylight Time on May 17, 2022 to be counted.</w:t>
      </w:r>
    </w:p>
    <w:p>
      <w:pPr>
        <w:spacing w:after="0" w:line="133" w:lineRule="exact"/>
        <w:rPr>
          <w:rFonts w:ascii="MS PGothic" w:cs="MS PGothic" w:eastAsia="MS PGothic" w:hAnsi="MS PGothic"/>
          <w:sz w:val="14"/>
          <w:szCs w:val="14"/>
          <w:color w:val="auto"/>
        </w:rPr>
      </w:pPr>
    </w:p>
    <w:p>
      <w:pPr>
        <w:ind w:firstLine="5"/>
        <w:spacing w:after="0" w:line="290" w:lineRule="auto"/>
        <w:tabs>
          <w:tab w:leader="none" w:pos="168" w:val="left"/>
        </w:tabs>
        <w:numPr>
          <w:ilvl w:val="0"/>
          <w:numId w:val="9"/>
        </w:numPr>
        <w:rPr>
          <w:rFonts w:ascii="MS PGothic" w:cs="MS PGothic" w:eastAsia="MS PGothic" w:hAnsi="MS PGothic"/>
          <w:sz w:val="14"/>
          <w:szCs w:val="14"/>
          <w:color w:val="auto"/>
        </w:rPr>
      </w:pPr>
      <w:r>
        <w:rPr>
          <w:rFonts w:ascii="Arial" w:cs="Arial" w:eastAsia="Arial" w:hAnsi="Arial"/>
          <w:sz w:val="14"/>
          <w:szCs w:val="14"/>
          <w:color w:val="auto"/>
        </w:rPr>
        <w:t>To vote through the internet before the Annual Meeting, go to http://www.proxyvote.com to complete an electronic proxy card. You will be asked to provide the 16-digit control number included on your Notice, your proxy card (that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931" w:right="319" w:bottom="1440" w:gutter="0" w:footer="0" w:header="0"/>
        </w:sectPr>
      </w:pPr>
    </w:p>
    <w:bookmarkStart w:id="6" w:name="page7"/>
    <w:bookmarkEnd w:id="6"/>
    <w:p>
      <w:pPr>
        <w:jc w:val="both"/>
        <w:spacing w:after="0" w:line="290" w:lineRule="auto"/>
        <w:rPr>
          <w:sz w:val="20"/>
          <w:szCs w:val="20"/>
          <w:color w:val="auto"/>
        </w:rPr>
      </w:pPr>
      <w:r>
        <w:rPr>
          <w:rFonts w:ascii="Arial" w:cs="Arial" w:eastAsia="Arial" w:hAnsi="Arial"/>
          <w:sz w:val="14"/>
          <w:szCs w:val="14"/>
          <w:color w:val="auto"/>
        </w:rPr>
        <w:t>you may request or that was delivered you) or the instructions that accompanied your proxy materials. Your vote must be received by 11:59 p.m. Eastern Daylight Time on May 17, 2022 to be counted.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Beneficial Owner: Shares Registered in the Name of Broker or Bank</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on the Record Date, your shares were held, not in your name, but rather in an account at a broker, bank or other nominee, then you are the beneficial owner of shares held in “street name.” The organization holding your account is considered to be the stockholder of record for purposes of voting at the Annual Meeting. As a beneficial owner, you should have received a Notice containing voting instructions from that organization rather than from us. Simply follow the instructions in the Notice to ensure that your vote is counted. Please also note that since you are not the stockholder of record, you may only vote your shares during the Annual Meeting if you request and obtain a valid 16-digit control number from your broker, bank or other nominee. Beneficial owners who attend the Annual Meeting should follow the instructions at www.virtualshareholdermeeting.com/NGM2022 to vote during the meeting.</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many votes do I have?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On each matter to be voted upon, you have one vote for each share of NGM common stock you owned as of March 25, 2022.</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are “broker non-votes”?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discussed above, if a beneficial owner of shares held in “street name” does not give voting instructions to his or her broker, bank or other nominee holding his or her shares as to how to vote on matters deemed to be “non-routine” under applicable rules, the broker, bank or other nominee does not have the authority to vote the beneficial owner’s shares on such “non-routine” matters. These un-voted shares are generally referred to and counted as “broker non-votes.” Since Proposals Nos. 1, 2 and 3 are considered to be “non-routine” under applicable rules, we expect broker non-votes to exist in connection with Proposals Nos. 1, 2 and 3. Proposal No. 4 is considered to be “routine” under applicable rules, and therefore we do not expect broker non-votes on Proposal No. 4.</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4"/>
          <w:szCs w:val="14"/>
          <w:i w:val="1"/>
          <w:iCs w:val="1"/>
          <w:u w:val="single" w:color="auto"/>
          <w:color w:val="auto"/>
        </w:rPr>
        <w:t>must</w:t>
      </w:r>
      <w:r>
        <w:rPr>
          <w:rFonts w:ascii="Arial" w:cs="Arial" w:eastAsia="Arial" w:hAnsi="Arial"/>
          <w:sz w:val="14"/>
          <w:szCs w:val="14"/>
          <w:i w:val="1"/>
          <w:iCs w:val="1"/>
          <w:color w:val="auto"/>
        </w:rPr>
        <w:t xml:space="preserve"> provide voting instructions to your broker, bank or other nominee by the deadline provided in the materials you receive from your broker, bank or other nominee.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931"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What is required to approve each proposal?</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28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Proposal</w:t>
            </w:r>
          </w:p>
        </w:tc>
        <w:tc>
          <w:tcPr>
            <w:tcW w:w="22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Voting Options</w:t>
            </w:r>
          </w:p>
        </w:tc>
        <w:tc>
          <w:tcPr>
            <w:tcW w:w="2240" w:type="dxa"/>
            <w:vAlign w:val="bottom"/>
            <w:tcBorders>
              <w:top w:val="single" w:sz="8" w:color="auto"/>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Vote Required to Adopt the</w:t>
            </w:r>
          </w:p>
        </w:tc>
        <w:tc>
          <w:tcPr>
            <w:tcW w:w="22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Effect of Abstentions</w:t>
            </w:r>
          </w:p>
        </w:tc>
        <w:tc>
          <w:tcPr>
            <w:tcW w:w="22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Effect of “Broker Non-Votes”</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240" w:type="dxa"/>
            <w:vAlign w:val="bottom"/>
            <w:tcBorders>
              <w:bottom w:val="single" w:sz="8" w:color="auto"/>
              <w:right w:val="single" w:sz="8" w:color="auto"/>
            </w:tcBorders>
            <w:vMerge w:val="continue"/>
          </w:tcPr>
          <w:p>
            <w:pPr>
              <w:spacing w:after="0"/>
              <w:rPr>
                <w:sz w:val="15"/>
                <w:szCs w:val="15"/>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Proposal</w:t>
            </w:r>
          </w:p>
        </w:tc>
        <w:tc>
          <w:tcPr>
            <w:tcW w:w="2240" w:type="dxa"/>
            <w:vAlign w:val="bottom"/>
            <w:tcBorders>
              <w:bottom w:val="single" w:sz="8" w:color="auto"/>
              <w:right w:val="single" w:sz="8" w:color="auto"/>
            </w:tcBorders>
            <w:vMerge w:val="continue"/>
          </w:tcPr>
          <w:p>
            <w:pPr>
              <w:spacing w:after="0"/>
              <w:rPr>
                <w:sz w:val="15"/>
                <w:szCs w:val="15"/>
                <w:color w:val="auto"/>
              </w:rPr>
            </w:pP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29" w:lineRule="exact"/>
              <w:rPr>
                <w:sz w:val="20"/>
                <w:szCs w:val="20"/>
                <w:color w:val="auto"/>
              </w:rPr>
            </w:pPr>
            <w:r>
              <w:rPr>
                <w:rFonts w:ascii="Arial" w:cs="Arial" w:eastAsia="Arial" w:hAnsi="Arial"/>
                <w:sz w:val="14"/>
                <w:szCs w:val="14"/>
                <w:color w:val="auto"/>
              </w:rPr>
              <w:t>Plurality of votes cast; the</w:t>
            </w:r>
          </w:p>
        </w:tc>
        <w:tc>
          <w:tcPr>
            <w:tcW w:w="2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Proposal No. 1 - Election of</w:t>
            </w: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nominees receiving the highest</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 effect. An abstention does not</w:t>
            </w: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 effect; no broker discretion to</w:t>
            </w: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vMerge w:val="continue"/>
          </w:tcPr>
          <w:p>
            <w:pPr>
              <w:spacing w:after="0"/>
              <w:rPr>
                <w:sz w:val="11"/>
                <w:szCs w:val="11"/>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“FOR” or “WITHHOLD”</w:t>
            </w: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number of votes “FOR” will be</w:t>
            </w:r>
          </w:p>
        </w:tc>
        <w:tc>
          <w:tcPr>
            <w:tcW w:w="2240" w:type="dxa"/>
            <w:vAlign w:val="bottom"/>
            <w:tcBorders>
              <w:right w:val="single" w:sz="8" w:color="auto"/>
            </w:tcBorders>
            <w:vMerge w:val="continue"/>
          </w:tcPr>
          <w:p>
            <w:pPr>
              <w:spacing w:after="0"/>
              <w:rPr>
                <w:sz w:val="11"/>
                <w:szCs w:val="11"/>
                <w:color w:val="auto"/>
              </w:rPr>
            </w:pPr>
          </w:p>
        </w:tc>
        <w:tc>
          <w:tcPr>
            <w:tcW w:w="2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directors</w:t>
            </w:r>
          </w:p>
        </w:tc>
        <w:tc>
          <w:tcPr>
            <w:tcW w:w="2240" w:type="dxa"/>
            <w:vAlign w:val="bottom"/>
            <w:tcBorders>
              <w:bottom w:val="single" w:sz="8" w:color="auto"/>
              <w:right w:val="single" w:sz="8" w:color="auto"/>
            </w:tcBorders>
            <w:vMerge w:val="continue"/>
          </w:tcPr>
          <w:p>
            <w:pPr>
              <w:spacing w:after="0"/>
              <w:rPr>
                <w:sz w:val="15"/>
                <w:szCs w:val="15"/>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elected.</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count as a vote cast.</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vote.</w:t>
            </w:r>
          </w:p>
        </w:tc>
        <w:tc>
          <w:tcPr>
            <w:tcW w:w="0" w:type="dxa"/>
            <w:vAlign w:val="bottom"/>
          </w:tcPr>
          <w:p>
            <w:pPr>
              <w:spacing w:after="0"/>
              <w:rPr>
                <w:sz w:val="1"/>
                <w:szCs w:val="1"/>
                <w:color w:val="auto"/>
              </w:rPr>
            </w:pPr>
          </w:p>
        </w:tc>
      </w:tr>
      <w:tr>
        <w:trPr>
          <w:trHeight w:val="129"/>
        </w:trPr>
        <w:tc>
          <w:tcPr>
            <w:tcW w:w="22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29" w:lineRule="exact"/>
              <w:rPr>
                <w:sz w:val="20"/>
                <w:szCs w:val="20"/>
                <w:color w:val="auto"/>
              </w:rPr>
            </w:pPr>
            <w:r>
              <w:rPr>
                <w:rFonts w:ascii="Arial" w:cs="Arial" w:eastAsia="Arial" w:hAnsi="Arial"/>
                <w:sz w:val="14"/>
                <w:szCs w:val="14"/>
                <w:color w:val="auto"/>
              </w:rPr>
              <w:t>Majority of the votes cast; shares</w:t>
            </w:r>
          </w:p>
        </w:tc>
        <w:tc>
          <w:tcPr>
            <w:tcW w:w="2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Proposal No. 2 – Advisory vote to</w:t>
            </w: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voted “FOR” the proposal must</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 effect. An abstention does not</w:t>
            </w: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 effect; no broker discretion to</w:t>
            </w: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vMerge w:val="continue"/>
          </w:tcPr>
          <w:p>
            <w:pPr>
              <w:spacing w:after="0"/>
              <w:rPr>
                <w:sz w:val="11"/>
                <w:szCs w:val="11"/>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“FOR,” AGAINST,” or “ABSTAIN”</w:t>
            </w: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exceed the number of shares</w:t>
            </w:r>
          </w:p>
        </w:tc>
        <w:tc>
          <w:tcPr>
            <w:tcW w:w="2240" w:type="dxa"/>
            <w:vAlign w:val="bottom"/>
            <w:tcBorders>
              <w:right w:val="single" w:sz="8" w:color="auto"/>
            </w:tcBorders>
            <w:vMerge w:val="continue"/>
          </w:tcPr>
          <w:p>
            <w:pPr>
              <w:spacing w:after="0"/>
              <w:rPr>
                <w:sz w:val="11"/>
                <w:szCs w:val="11"/>
                <w:color w:val="auto"/>
              </w:rPr>
            </w:pPr>
          </w:p>
        </w:tc>
        <w:tc>
          <w:tcPr>
            <w:tcW w:w="2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approve executive compensation</w:t>
            </w:r>
          </w:p>
        </w:tc>
        <w:tc>
          <w:tcPr>
            <w:tcW w:w="2240" w:type="dxa"/>
            <w:vAlign w:val="bottom"/>
            <w:tcBorders>
              <w:bottom w:val="single" w:sz="8" w:color="auto"/>
              <w:right w:val="single" w:sz="8" w:color="auto"/>
            </w:tcBorders>
            <w:vMerge w:val="continue"/>
          </w:tcPr>
          <w:p>
            <w:pPr>
              <w:spacing w:after="0"/>
              <w:rPr>
                <w:sz w:val="15"/>
                <w:szCs w:val="15"/>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voted “AGAINST” the proposal.</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count as a vote cast.</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vote.</w:t>
            </w:r>
          </w:p>
        </w:tc>
        <w:tc>
          <w:tcPr>
            <w:tcW w:w="0" w:type="dxa"/>
            <w:vAlign w:val="bottom"/>
          </w:tcPr>
          <w:p>
            <w:pPr>
              <w:spacing w:after="0"/>
              <w:rPr>
                <w:sz w:val="1"/>
                <w:szCs w:val="1"/>
                <w:color w:val="auto"/>
              </w:rPr>
            </w:pPr>
          </w:p>
        </w:tc>
      </w:tr>
      <w:tr>
        <w:trPr>
          <w:trHeight w:val="129"/>
        </w:trPr>
        <w:tc>
          <w:tcPr>
            <w:tcW w:w="22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29" w:lineRule="exact"/>
              <w:rPr>
                <w:sz w:val="20"/>
                <w:szCs w:val="20"/>
                <w:color w:val="auto"/>
              </w:rPr>
            </w:pPr>
            <w:r>
              <w:rPr>
                <w:rFonts w:ascii="Arial" w:cs="Arial" w:eastAsia="Arial" w:hAnsi="Arial"/>
                <w:sz w:val="14"/>
                <w:szCs w:val="14"/>
                <w:color w:val="auto"/>
              </w:rPr>
              <w:t>Majority of the votes cast; if a</w:t>
            </w:r>
          </w:p>
        </w:tc>
        <w:tc>
          <w:tcPr>
            <w:tcW w:w="2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frequency option does not receive</w:t>
            </w:r>
          </w:p>
        </w:tc>
        <w:tc>
          <w:tcPr>
            <w:tcW w:w="2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the affirmative vote of a majority of</w:t>
            </w:r>
          </w:p>
        </w:tc>
        <w:tc>
          <w:tcPr>
            <w:tcW w:w="2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Proposal No. 3 – Advisory vote on</w:t>
            </w: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the votes cast, the option receiving</w:t>
            </w:r>
          </w:p>
        </w:tc>
        <w:tc>
          <w:tcPr>
            <w:tcW w:w="2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the greatest number of votes will</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 effect. An abstention does not</w:t>
            </w: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 effect; no broker discretion to</w:t>
            </w: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4"/>
                <w:szCs w:val="14"/>
                <w:color w:val="auto"/>
              </w:rPr>
              <w:t>the frequency of advisory votes on</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“ONE,” “TWO” or “THREE” years</w:t>
            </w: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be considered the frequency</w:t>
            </w:r>
          </w:p>
        </w:tc>
        <w:tc>
          <w:tcPr>
            <w:tcW w:w="2240" w:type="dxa"/>
            <w:vAlign w:val="bottom"/>
            <w:tcBorders>
              <w:right w:val="single" w:sz="8" w:color="auto"/>
            </w:tcBorders>
            <w:vMerge w:val="continue"/>
          </w:tcPr>
          <w:p>
            <w:pPr>
              <w:spacing w:after="0"/>
              <w:rPr>
                <w:sz w:val="11"/>
                <w:szCs w:val="11"/>
                <w:color w:val="auto"/>
              </w:rPr>
            </w:pPr>
          </w:p>
        </w:tc>
        <w:tc>
          <w:tcPr>
            <w:tcW w:w="2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executive compensation</w:t>
            </w:r>
          </w:p>
        </w:tc>
        <w:tc>
          <w:tcPr>
            <w:tcW w:w="2240" w:type="dxa"/>
            <w:vAlign w:val="bottom"/>
            <w:tcBorders>
              <w:bottom w:val="single" w:sz="8" w:color="auto"/>
              <w:right w:val="single" w:sz="8" w:color="auto"/>
            </w:tcBorders>
            <w:vMerge w:val="continue"/>
          </w:tcPr>
          <w:p>
            <w:pPr>
              <w:spacing w:after="0"/>
              <w:rPr>
                <w:sz w:val="15"/>
                <w:szCs w:val="15"/>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recommendation.</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count as a vote cast.</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vote.</w:t>
            </w:r>
          </w:p>
        </w:tc>
        <w:tc>
          <w:tcPr>
            <w:tcW w:w="0" w:type="dxa"/>
            <w:vAlign w:val="bottom"/>
          </w:tcPr>
          <w:p>
            <w:pPr>
              <w:spacing w:after="0"/>
              <w:rPr>
                <w:sz w:val="1"/>
                <w:szCs w:val="1"/>
                <w:color w:val="auto"/>
              </w:rPr>
            </w:pPr>
          </w:p>
        </w:tc>
      </w:tr>
      <w:tr>
        <w:trPr>
          <w:trHeight w:val="129"/>
        </w:trPr>
        <w:tc>
          <w:tcPr>
            <w:tcW w:w="228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29" w:lineRule="exact"/>
              <w:rPr>
                <w:sz w:val="20"/>
                <w:szCs w:val="20"/>
                <w:color w:val="auto"/>
              </w:rPr>
            </w:pPr>
            <w:r>
              <w:rPr>
                <w:rFonts w:ascii="Arial" w:cs="Arial" w:eastAsia="Arial" w:hAnsi="Arial"/>
                <w:sz w:val="14"/>
                <w:szCs w:val="14"/>
                <w:color w:val="auto"/>
              </w:rPr>
              <w:t>Majority of the votes cast; shares</w:t>
            </w:r>
          </w:p>
        </w:tc>
        <w:tc>
          <w:tcPr>
            <w:tcW w:w="224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Proposal No. 4 – Ratification of</w:t>
            </w: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voted “FOR” the proposal must</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 effect. An abstention does not</w:t>
            </w: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 broker non-votes; brokers have</w:t>
            </w: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right w:val="single" w:sz="8" w:color="auto"/>
            </w:tcBorders>
            <w:vMerge w:val="continue"/>
          </w:tcPr>
          <w:p>
            <w:pPr>
              <w:spacing w:after="0"/>
              <w:rPr>
                <w:sz w:val="11"/>
                <w:szCs w:val="11"/>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“FOR,” AGAINST,” or “ABSTAIN”</w:t>
            </w:r>
          </w:p>
        </w:tc>
        <w:tc>
          <w:tcPr>
            <w:tcW w:w="22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exceed the number of shares</w:t>
            </w:r>
          </w:p>
        </w:tc>
        <w:tc>
          <w:tcPr>
            <w:tcW w:w="2240" w:type="dxa"/>
            <w:vAlign w:val="bottom"/>
            <w:tcBorders>
              <w:right w:val="single" w:sz="8" w:color="auto"/>
            </w:tcBorders>
            <w:vMerge w:val="continue"/>
          </w:tcPr>
          <w:p>
            <w:pPr>
              <w:spacing w:after="0"/>
              <w:rPr>
                <w:sz w:val="11"/>
                <w:szCs w:val="11"/>
                <w:color w:val="auto"/>
              </w:rPr>
            </w:pPr>
          </w:p>
        </w:tc>
        <w:tc>
          <w:tcPr>
            <w:tcW w:w="2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retention of Ernst &amp; Young LLP</w:t>
            </w:r>
          </w:p>
        </w:tc>
        <w:tc>
          <w:tcPr>
            <w:tcW w:w="2240" w:type="dxa"/>
            <w:vAlign w:val="bottom"/>
            <w:tcBorders>
              <w:bottom w:val="single" w:sz="8" w:color="auto"/>
              <w:right w:val="single" w:sz="8" w:color="auto"/>
            </w:tcBorders>
            <w:vMerge w:val="continue"/>
          </w:tcPr>
          <w:p>
            <w:pPr>
              <w:spacing w:after="0"/>
              <w:rPr>
                <w:sz w:val="15"/>
                <w:szCs w:val="15"/>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voted “AGAINST” the proposal.</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count as a vote cast.</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discretion to vote.</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I am a stockholder of record and I do not vote, or if I return a proxy card or otherwise vote without giving specific voting instructions, what happens?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If you are a stockholder of record and do not vote by completing a proxy card, either by telephone, through the internet or online during the Annual Meeting, your shares will not be voted.</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you return a signed and dated proxy card or otherwise vote without marking voting selections or if you indicate when voting on the internet or by telephone that you wish to vote as recommended by our Board of Directors, your shares will be voted, as applicable, “For” Proposal No. 1, the election of the three nominees for director, “For” Proposal No. 2, to approve, on an advisory basis, the compensation of the Company’s named executive officers, for Proposal No. 3, “One Year” as the preferred frequency of advisory votes to approve executive compensation and “For” Proposal No. 4, the ratification of the selection by the Audit Committee of our Board of Directors of Ernst &amp; Young LLP as our independent registered public accounting firm for the year ending December 31, 2022. If any other matter is properly presented at the Annual Meeting, your proxyholder will vote your shares using their best judgment.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I am a beneficial owner of shares held in “street name” and I do not provide my broker, bank or other nominee with voting instructions, what happens?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you are a beneficial owner of shares held in “street name” and you do not instruct your broker, bank or other nominee how to vote your shares, your broker, bank or other nominee may still be able to vote your shares in its discretion. In this regard, brokers, banks and other nominees may generally vote in their discretion your “uninstructed” shares with respect to matters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931" w:right="319" w:bottom="1440" w:gutter="0" w:footer="0" w:header="0"/>
        </w:sectPr>
      </w:pPr>
    </w:p>
    <w:bookmarkStart w:id="8" w:name="page9"/>
    <w:bookmarkEnd w:id="8"/>
    <w:p>
      <w:pPr>
        <w:jc w:val="both"/>
        <w:spacing w:after="0" w:line="260" w:lineRule="auto"/>
        <w:rPr>
          <w:sz w:val="20"/>
          <w:szCs w:val="20"/>
          <w:color w:val="auto"/>
        </w:rPr>
      </w:pPr>
      <w:r>
        <w:rPr>
          <w:rFonts w:ascii="Arial" w:cs="Arial" w:eastAsia="Arial" w:hAnsi="Arial"/>
          <w:sz w:val="14"/>
          <w:szCs w:val="14"/>
          <w:color w:val="auto"/>
        </w:rPr>
        <w:t>the frequency of stockholder votes on executive compensation) and certain corporate governance proposals, even if management-supported. In this regard, Proposals Nos. 1, 2 and 3 are considered to be “non-routine” under applicable rules meaning that your broker, bank or other nominee may not vote your shares on those proposals in the absence of your voting instructions. However, Proposal No. 4 is considered to be a “routine” matter under applicable rules, meaning that if you do not return voting instructions to your broker, bank or other nominee by its deadline, your broker, bank or other nominee may generally vote in their discretion on Proposal No. 4. We encourage you to provide voting instructions to your broker, bank or other nominee. This ensures that your shares will be voted at the Annual Meeting according to your instructions. You should receive directions from your broker, bank or other nominee about how to submit your proxy to them at the time you receive this Proxy Statement.</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 xml:space="preserve">If you are a beneficial owner of shares held in “street name,” in order to ensure your shares are voted in the way you would prefer, you </w:t>
      </w:r>
      <w:r>
        <w:rPr>
          <w:rFonts w:ascii="Arial" w:cs="Arial" w:eastAsia="Arial" w:hAnsi="Arial"/>
          <w:sz w:val="14"/>
          <w:szCs w:val="14"/>
          <w:i w:val="1"/>
          <w:iCs w:val="1"/>
          <w:u w:val="single" w:color="auto"/>
          <w:color w:val="auto"/>
        </w:rPr>
        <w:t>must</w:t>
      </w:r>
      <w:r>
        <w:rPr>
          <w:rFonts w:ascii="Arial" w:cs="Arial" w:eastAsia="Arial" w:hAnsi="Arial"/>
          <w:sz w:val="14"/>
          <w:szCs w:val="14"/>
          <w:i w:val="1"/>
          <w:iCs w:val="1"/>
          <w:color w:val="auto"/>
        </w:rPr>
        <w:t xml:space="preserve"> provide voting instructions to your broker, bank or other nominee by the deadline provided in the materials you receive from your broker, bank or other nominee.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 I change my vote after submitting my proxy?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Stockholder of Record: Shares Registered in Your Name</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Yes. Proxies may be revoked at any time before the final vote at the Annual Meeting. If you are the stockholder of record of your shares, you may revoke your proxy in any one of the following ways:</w:t>
      </w:r>
    </w:p>
    <w:p>
      <w:pPr>
        <w:spacing w:after="0" w:line="120" w:lineRule="exact"/>
        <w:rPr>
          <w:sz w:val="20"/>
          <w:szCs w:val="20"/>
          <w:color w:val="auto"/>
        </w:rPr>
      </w:pPr>
    </w:p>
    <w:p>
      <w:pPr>
        <w:ind w:left="160" w:hanging="155"/>
        <w:spacing w:after="0"/>
        <w:tabs>
          <w:tab w:leader="none" w:pos="160" w:val="left"/>
        </w:tabs>
        <w:numPr>
          <w:ilvl w:val="0"/>
          <w:numId w:val="10"/>
        </w:numPr>
        <w:rPr>
          <w:rFonts w:ascii="MS PGothic" w:cs="MS PGothic" w:eastAsia="MS PGothic" w:hAnsi="MS PGothic"/>
          <w:sz w:val="14"/>
          <w:szCs w:val="14"/>
          <w:color w:val="auto"/>
        </w:rPr>
      </w:pPr>
      <w:r>
        <w:rPr>
          <w:rFonts w:ascii="Arial" w:cs="Arial" w:eastAsia="Arial" w:hAnsi="Arial"/>
          <w:sz w:val="14"/>
          <w:szCs w:val="14"/>
          <w:color w:val="auto"/>
        </w:rPr>
        <w:t>You may submit a valid, later-dated proxy;</w:t>
      </w:r>
    </w:p>
    <w:p>
      <w:pPr>
        <w:spacing w:after="0" w:line="178" w:lineRule="exact"/>
        <w:rPr>
          <w:rFonts w:ascii="MS PGothic" w:cs="MS PGothic" w:eastAsia="MS PGothic" w:hAnsi="MS PGothic"/>
          <w:sz w:val="14"/>
          <w:szCs w:val="14"/>
          <w:color w:val="auto"/>
        </w:rPr>
      </w:pPr>
    </w:p>
    <w:p>
      <w:pPr>
        <w:ind w:firstLine="5"/>
        <w:spacing w:after="0" w:line="290" w:lineRule="auto"/>
        <w:tabs>
          <w:tab w:leader="none" w:pos="161" w:val="left"/>
        </w:tabs>
        <w:numPr>
          <w:ilvl w:val="0"/>
          <w:numId w:val="10"/>
        </w:numPr>
        <w:rPr>
          <w:rFonts w:ascii="MS PGothic" w:cs="MS PGothic" w:eastAsia="MS PGothic" w:hAnsi="MS PGothic"/>
          <w:sz w:val="14"/>
          <w:szCs w:val="14"/>
          <w:color w:val="auto"/>
        </w:rPr>
      </w:pPr>
      <w:r>
        <w:rPr>
          <w:rFonts w:ascii="Arial" w:cs="Arial" w:eastAsia="Arial" w:hAnsi="Arial"/>
          <w:sz w:val="14"/>
          <w:szCs w:val="14"/>
          <w:color w:val="auto"/>
        </w:rPr>
        <w:t>You may submit a subsequent proxy by telephone or through the internet (only your last telephone or internet proxy will be counted) before 11:59 p.m. Eastern Daylight Time on May 17, 2022;</w:t>
      </w:r>
    </w:p>
    <w:p>
      <w:pPr>
        <w:spacing w:after="0" w:line="120" w:lineRule="exact"/>
        <w:rPr>
          <w:rFonts w:ascii="MS PGothic" w:cs="MS PGothic" w:eastAsia="MS PGothic" w:hAnsi="MS PGothic"/>
          <w:sz w:val="14"/>
          <w:szCs w:val="14"/>
          <w:color w:val="auto"/>
        </w:rPr>
      </w:pPr>
    </w:p>
    <w:p>
      <w:pPr>
        <w:ind w:left="160" w:hanging="155"/>
        <w:spacing w:after="0"/>
        <w:tabs>
          <w:tab w:leader="none" w:pos="160" w:val="left"/>
        </w:tabs>
        <w:numPr>
          <w:ilvl w:val="0"/>
          <w:numId w:val="10"/>
        </w:numPr>
        <w:rPr>
          <w:rFonts w:ascii="MS PGothic" w:cs="MS PGothic" w:eastAsia="MS PGothic" w:hAnsi="MS PGothic"/>
          <w:sz w:val="14"/>
          <w:szCs w:val="14"/>
          <w:color w:val="auto"/>
        </w:rPr>
      </w:pPr>
      <w:r>
        <w:rPr>
          <w:rFonts w:ascii="Arial" w:cs="Arial" w:eastAsia="Arial" w:hAnsi="Arial"/>
          <w:sz w:val="14"/>
          <w:szCs w:val="14"/>
          <w:color w:val="auto"/>
        </w:rPr>
        <w:t>You may send a timely written notice that you are revoking your proxy to our Secretary at 333 Oyster Point Boulevard, South San Francisco, California 94080; or</w:t>
      </w:r>
    </w:p>
    <w:p>
      <w:pPr>
        <w:spacing w:after="0" w:line="178" w:lineRule="exact"/>
        <w:rPr>
          <w:rFonts w:ascii="MS PGothic" w:cs="MS PGothic" w:eastAsia="MS PGothic" w:hAnsi="MS PGothic"/>
          <w:sz w:val="14"/>
          <w:szCs w:val="14"/>
          <w:color w:val="auto"/>
        </w:rPr>
      </w:pPr>
    </w:p>
    <w:p>
      <w:pPr>
        <w:ind w:left="160" w:hanging="155"/>
        <w:spacing w:after="0"/>
        <w:tabs>
          <w:tab w:leader="none" w:pos="160" w:val="left"/>
        </w:tabs>
        <w:numPr>
          <w:ilvl w:val="0"/>
          <w:numId w:val="10"/>
        </w:numPr>
        <w:rPr>
          <w:rFonts w:ascii="MS PGothic" w:cs="MS PGothic" w:eastAsia="MS PGothic" w:hAnsi="MS PGothic"/>
          <w:sz w:val="14"/>
          <w:szCs w:val="14"/>
          <w:color w:val="auto"/>
        </w:rPr>
      </w:pPr>
      <w:r>
        <w:rPr>
          <w:rFonts w:ascii="Arial" w:cs="Arial" w:eastAsia="Arial" w:hAnsi="Arial"/>
          <w:sz w:val="14"/>
          <w:szCs w:val="14"/>
          <w:color w:val="auto"/>
        </w:rPr>
        <w:t>You may attend the Annual Meeting and vote again online by following the instructions at www.virtualshareholdermeeting.com/NGM2022.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Beneficial Owner: Shares Registered in the Name of Broker or Bank</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For shares held beneficially in “street name,” you must contact the bank, broker or other nominee holding your shares and follow its instructions for revoking or changing your vote.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the quorum requirement?</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 quorum of stockholders is necessary to hold a valid meeting. A quorum will be present if the holders of a majority of the voting power of the outstanding shares entitled to vote are present at the Annual Meeting or represented by proxy. On the Record Date, there were 78,085,283 shares outstanding and entitled to vote. Thus, the holders of 39,042,642 shares must be present or represented by proxy at the Annual Meeting to have a quorum.</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Your shares will be counted towards the quorum only if you submit a valid proxy (or one is submitted on your behalf by your broker, bank or other nominee) or if you vote online during the Annual Meeting. Abstentions and broker non-votes will be counted towards the quorum requirement. If there is no quorum, the holders of a majority of shares present at the Annual Meeting or represented by proxy may adjourn the meeting to another date. Virtual attendance at our Annual Meeting constitutes presence for purposes of a quorum at the meeting.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Will a list of record stockholders as of the Record Date be available?</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 list of our stockholders of record as of the close of business on March 25, 2022, or the Record Date, will be made available to stockholders during the Annual Meeting at www.virtualshareholdermeeting.com/NGM2022. In addition, for the ten days prior to the Annual Meeting, the list will be available for examination by any stockholder of record for a legally valid purpose at our principal executive offices located at 333 Oyster Point Boulevard, South San Francisco, California 94080. You may email NGM at ir@ngmbio.com to coordinate arrangements to view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931"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stockholder list. Due to the COVID-19 pandemic, stockholders of record must make an appointment and must comply with our COVID-19 safety protocols.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does it mean if I receive more than one Notice?</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If you receive more than one Notice, your shares may be registered in more than one name or in different accounts. Please follow the voting instructions on each of the Notices you receive to ensure that all your shares are voted.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is paying for this proxy solicitation?</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brokers, banks and other nominees for the cost of forwarding proxy materials to beneficial owners.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can I find out the results of the voting at the Annual Meeting?</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amended report on Form 8-K to disclose the final results.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Why are we holding our Annual Meeting in a virtual format?</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Following the successful implementation of a virtual format for our annual meeting of stockholders in the previous two years, and in light of the ongoing public health and safety concerns related to the COVID-19 pandemic, we have decided to hold the Annual Meeting in a virtual format, which will be conducted via live webcast. We continue to believe that a virtual format helps to protect the health and safety of our stockholders, directors and employees and helps to facilitate stockholder participation by enabling stockholders to participate fully, and equally, from any location around the world without person-to-person contact,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NGM and our stockholders time and resources. We also designed the virtual format of our Annual Meeting to ensure that our stockholders who attend the Annual Meeting will be afforded the same rights and opportunities to participate as they would at an in-person meeting. For example, last year’s virtual format allowed our stockholders to communicate with us during the meeting, enabling them to ask questions of our Board or management in live format. During the Annual Meeting, we will once again answer appropriate questions submitted during the meeting to the extent relevant to the business of the meeting and as time permits.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Whether or not you expect to attend the Annual Meeting, please vote as soon as possible by one of the methods described in these proxy materials so that your shares will be represented and voted at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attend the Annual Meeting?</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You will be able to attend and participate in the Annual Meeting online by visiting www.virtualshareholdermeeting.com/NGM2022, where you will be able to listen to the meeting live, submit questions and vote. You will not be able to attend the Annual Meeting in person. Information on how to vote at the Annual Meeting is discussed below. The live Annual Meeting webcast will begin promptly at 7:30 a.m., Pacific Daylight Time. We encourage you to access the webcast prior to the start time. Online check-in will begin at 7:15 a.m. Pacific Daylight Time, and you should allow ample time for the check-in procedures.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931"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What do I need in order to be able to participate in the Annual Meeting?</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You will need the 16-digit control number included in your Notice, on your proxy card or on the instructions that accompanied your proxy materials in order to be able to vote your shares or submit questions during the Annual Meeting. Instructions on how to connect to the Annual Meeting and participate via the internet will be posted at www.virtualshareholdermeeting.com/NGM2022.</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Technicians will be ready to assist you with any technical difficulties you may have accessing the virtual meeting platform or submitting questions. If you encounter any difficulties accessing the Annual Meeting during the check-in or meeting time, please call the technical support number that will be posted on the Annual Meeting login page.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Annual Meeting, how do we ask questions of management and the Board of Directors?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plan to have a Q&amp;A session at the Annual Meeting and will include as many stockholder questions, to the extent relevant to the business of the meeting, as the allotted time permits. Questions may be submitted during the Annual Meeting through www.virtualshareholdermeeting.com/NGM2022. As noted above, you will need the 16-digit control number included in your Notice, on your proxy card or on the instructions that accompanied your proxy materials in order to be able to submit questions during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931"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PROPOSAL NO.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ELECTION OF DIRECTORS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Board of Directors is divided into three classes, designated as Class I, Class II and Class III, with each class serving a staggered three-year term. Vacancies on the Board of Directors may be filled only by persons elected by a majority of the remaining directors unless the Board of Directors determines by resolution that any such vacancies will be filled by stockholders. A director elected by the Board of Directors to fill a vacancy in a class, including vacancies created by an increase in the number of directors, will serve for the remainder of the full term of that class and until the director’s successor is duly elected and qualified.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presently has nine members, as follows: Class I directors: Shelly D. Guyer, Carole Ho, M.D., Mark Leschly and William J. Rieflin, whose terms will expire at</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annual meeting of stockholders to be held in 2023; Class II directors: Jin-Long Chen, Ph.D. and Roger M. Perlmutter, M.D., Ph.D., whose terms will expire at the annual meeting of stockholders to be held in 2024; and Class III directors: David V. Goeddel, Ph.D., Suzanne Sawochka Hooper and David J. Woodhouse, Ph.D., whose terms will expire at the Annual Meeting. Mr. Leschly, who has served on our Board of Directors since January 2008, has notified us that he is resigning from our Board of Directors effective upon the conclusion of the Annual Meeting. At the conclusion of the Annual Meeting, the Board intends to reduce its size to eight members in connection with Mr. Leschly’s resignation.</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Dr. Goeddel, Ms. Hooper and Dr. Woodhouse, each a current Class III director, were recommended for re-election to our Board of Directors as Class III director nominees by our Nominating and Corporate Governance Committee and each was nominated for re-election by our Board of Directors. Dr. Goeddel, Ms. Hooper and Dr. Woodhouse each was initially elected to our Board of Directors prior to our initial public offering pursuant to a voting agreement entered into with certain of our stockholders prior to the initial public offering that terminated upon completion of our initial public offering in April 2019.</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If re-elected at the Annual Meeting, Dr. Goeddel, Ms. Hooper and Dr. Woodhouse would serve until the annual meeting of stockholders to be held in 2025 and until their successors have been duly elected and qualified, or, if sooner, until the director’s death, resignation or removal.</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Directors are elected by a plurality of the votes of the holders of shares present or represented by proxy and entitled to vote on the election of directors. Accordingly, the nominees who receive the highest number of affirmative votes will be elected. Shares represented by executed proxies will be voted, if authority to do so is not withheld, for the election of all of the nominees named below. If any nominee becomes unavailable for election as a result of an unexpected occurrence, the Board of Directors may designate a substitute nominee, in which event the persons named in the enclosed proxy will vote for the election of such substitute nominee, unless the Board of Directors chooses to reduce the number of directors serving on the Board of Directors. Each person nominated for election has consented to being named as a nominee in this Proxy Statement and has agreed to serve if elected. We have no reason to believe that any nominee will be unable to serve.</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following includes a brief biography of each of the Class III director nominees standing for election at the Annual Meeting and each of our Class I and Class II directors continuing to serve on the Board of Directors, including their respective ages, as of March 25, 2022. Each biography includes information regarding the specific experience, qualifications, attributes or skills that led the Nominating and Corporate Governance Committee and the Board of Directors to determine that the applicable nominee or other current director should serve as a member of the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III Director Nominees for Election for a Three-Year Term Expiring at the 2025 Annual Meeting of Stockholders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David V. Goeddel, Ph.D., </w:t>
      </w:r>
      <w:r>
        <w:rPr>
          <w:rFonts w:ascii="Arial" w:cs="Arial" w:eastAsia="Arial" w:hAnsi="Arial"/>
          <w:sz w:val="14"/>
          <w:szCs w:val="14"/>
          <w:color w:val="auto"/>
        </w:rPr>
        <w:t>age 70, became Lead Independent Director of our Board of Directors in September 2018, after having served as Chairman since January 2008, and</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our Chief Executive Officer from 2008 to 2010. Dr. Goeddel has been a Managing Partner of The Column Group, or TCG, a venture capital partnership, since 2007. Dr. Goeddel co-founded Tularik Inc., or Tularik, a biotechnology company focused on the discovery and development of product candidates based on the regulation of gene expression that was acquired by Amgen, Inc., or Amgen, in 2004, in November 1991. At Tularik, Dr. Goeddel served as Vice President of Research until 1996 and Chief Executive Officer from 1996 through 2004. He served as Amgen’s first Senior Scientific Vice President until May 2006. Prior to Tularik, he was the first scientist hired by Genentech, and from 1978 to 1993 served in various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931" w:right="31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4"/>
          <w:szCs w:val="14"/>
          <w:color w:val="auto"/>
        </w:rPr>
        <w:t>positions, including Fellow, Staff Scientist and Director of Molecular Biology. Within the last five years, Dr. Goeddel served as a director at the following publicly-traded biotechnology companies: RAPT Therapeutics, Inc., or RAPT, from April 2015 to June 2020; and Tenaya Therapeutics, Inc., or Tenaya, where he serves as Board Chairman, from October 2016 to the present. Dr. Goeddel currently serves as the Board Chairman of two private biotechnology companies and served on the board of Surrozen, Inc., or Surrozen, from 2017 to 2021.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publicly-traded and private life sciences companies and experience in founding and serving as Chief Executive Officer of a publicly-traded biopharmaceutical company give him the qualifications, skills and financial expertise to serve on our Board of Directors.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Suzanne Sawochka Hooper, </w:t>
      </w:r>
      <w:r>
        <w:rPr>
          <w:rFonts w:ascii="Arial" w:cs="Arial" w:eastAsia="Arial" w:hAnsi="Arial"/>
          <w:sz w:val="14"/>
          <w:szCs w:val="14"/>
          <w:color w:val="auto"/>
        </w:rPr>
        <w:t>age 56, has served as a member of our Board of Directors since August 2018. From March 2012 to March 2019, Ms. Hooper served as the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Vice President and General Counsel of Jazz Pharmaceuticals plc. From 1999 until February 2012, she was a partner in the law firm Cooley LLP. Ms. Hooper served as a member of the board of directors of Eidos Therapeutics, a subsidiary of BridgeBio Pharma, Inc., or BridgeBio, from August 2020 until it was acquired by BridgeBio in January 2021. Ms. Hooper received a J.D. from the University of California, Berkeley School of Law and a B.A. in Political Science from the University of California, Santa Barbara. We believe that Ms. Hooper’s legal and operational background and executive experience make her qualified to serve on our Board of Directors. In addition, Ms. Hooper’s experience as the Executive Vice President of a publicly-traded pharmaceutical company provided her with operational expertise that is important to our Board of Directors.</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David J. Woodhouse, Ph.D.</w:t>
      </w:r>
      <w:r>
        <w:rPr>
          <w:rFonts w:ascii="Arial" w:cs="Arial" w:eastAsia="Arial" w:hAnsi="Arial"/>
          <w:sz w:val="14"/>
          <w:szCs w:val="14"/>
          <w:color w:val="auto"/>
        </w:rPr>
        <w:t>, age 52, became our Chief Executive Officer and a member of our Board of Directors in September 2018, after having served as our Chief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Officer from March 2015 until September 2018. He was also our Acting Chief Financial Officer from September 2018 until July 2021. From 2002 to 2015, he was an investment banker at Goldman Sachs &amp; Co. LLC, most recently as a managing director in the healthcare investment banking group and co-head of biotechnology investment banking. Earlier in his career, Dr. Woodhouse worked at Dynavax Technologies and also as a research assistant at Amgen. He currently serves on the board of directors of Surrozen, a publicly-traded biotechnology company. Dr. Woodhouse received a B.A. in pharmacology from the University of California, Santa Barbara, an M.B.A. from the Tuck School of Business at Dartmouth and a Ph.D. in molecular pharmacology from the Stanford University School of Medicine. We believe that Dr. Woodhouse’s experience with NGM, as well as his financial and executive experience, make him qualified to serve on our Board of Directors. In addition, Dr. Woodhouse’s experience in healthcare investment banking prior to joining us provided him with industry expertise that is important to our Board of Directors.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Recommends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Vote “For” Each of the Nominees Named Above.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 Directors Continuing in Office Until the 2023 Annual Meeting of Stockholders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Shelly D. Guyer</w:t>
      </w:r>
      <w:r>
        <w:rPr>
          <w:rFonts w:ascii="Arial" w:cs="Arial" w:eastAsia="Arial" w:hAnsi="Arial"/>
          <w:sz w:val="14"/>
          <w:szCs w:val="14"/>
          <w:color w:val="auto"/>
        </w:rPr>
        <w:t>, age 61, has served as a member of our Board of Directors since December 2019. Ms. Guyer leads the sustainability and environmental, social and governance, or</w:t>
      </w:r>
      <w:r>
        <w:rPr>
          <w:rFonts w:ascii="Arial" w:cs="Arial" w:eastAsia="Arial" w:hAnsi="Arial"/>
          <w:sz w:val="14"/>
          <w:szCs w:val="14"/>
          <w:i w:val="1"/>
          <w:iCs w:val="1"/>
          <w:color w:val="auto"/>
        </w:rPr>
        <w:t xml:space="preserve"> </w:t>
      </w:r>
      <w:r>
        <w:rPr>
          <w:rFonts w:ascii="Arial" w:cs="Arial" w:eastAsia="Arial" w:hAnsi="Arial"/>
          <w:sz w:val="14"/>
          <w:szCs w:val="14"/>
          <w:color w:val="auto"/>
        </w:rPr>
        <w:t>ESG, efforts of Invitae Corporation, a publicly-traded leading medical genetics company, as Chief Sustainability Officer, and previously acted as Invitae’s Chief Financial Officer from June 2017 to June 2021. Prior to that, she served as Chief Financial Officer of Veracyte, Inc., a genomic diagnostics company, from April 2013 to December 2016 and served as Veracyte’s Secretary from April 2013 to March 2014. From April 2008 to December 2012, she served as Chief Financial Officer and Executive Vice President of Finance and Administration of iRhythm Technologies, Inc., a digital healthcare company.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received an A.B. in Politics from Princeton University and an M.B.A. from the Haas School of Business at the University of California, Berkeley. We believe that Ms. Guyer’s financial background and executive experience make her qualified to serve on our Board of Directors.</w:t>
      </w:r>
    </w:p>
    <w:p>
      <w:pPr>
        <w:spacing w:after="0" w:line="3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Carole Ho, M.D</w:t>
      </w:r>
      <w:r>
        <w:rPr>
          <w:rFonts w:ascii="Arial" w:cs="Arial" w:eastAsia="Arial" w:hAnsi="Arial"/>
          <w:sz w:val="14"/>
          <w:szCs w:val="14"/>
          <w:color w:val="auto"/>
        </w:rPr>
        <w:t>., age 49, has served as a member of our Board of Directors since June 2020. Dr. Ho also serves as Chief Medical Officer and Head of Development at Denali</w:t>
      </w:r>
      <w:r>
        <w:rPr>
          <w:rFonts w:ascii="Arial" w:cs="Arial" w:eastAsia="Arial" w:hAnsi="Arial"/>
          <w:sz w:val="14"/>
          <w:szCs w:val="14"/>
          <w:i w:val="1"/>
          <w:iCs w:val="1"/>
          <w:color w:val="auto"/>
        </w:rPr>
        <w:t xml:space="preserve"> </w:t>
      </w:r>
      <w:r>
        <w:rPr>
          <w:rFonts w:ascii="Arial" w:cs="Arial" w:eastAsia="Arial" w:hAnsi="Arial"/>
          <w:sz w:val="14"/>
          <w:szCs w:val="14"/>
          <w:color w:val="auto"/>
        </w:rPr>
        <w:t>Therapeutics Inc., a biotechnology company, since June 2015. Prior to joining Denali, Dr. Ho held various roles of increasing responsibility at Genentech between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931" w:right="319" w:bottom="1440" w:gutter="0" w:footer="0" w:header="0"/>
        </w:sectPr>
      </w:pPr>
    </w:p>
    <w:bookmarkStart w:id="13" w:name="page14"/>
    <w:bookmarkEnd w:id="13"/>
    <w:p>
      <w:pPr>
        <w:jc w:val="both"/>
        <w:spacing w:after="0" w:line="260" w:lineRule="auto"/>
        <w:rPr>
          <w:sz w:val="20"/>
          <w:szCs w:val="20"/>
          <w:color w:val="auto"/>
        </w:rPr>
      </w:pPr>
      <w:r>
        <w:rPr>
          <w:rFonts w:ascii="Arial" w:cs="Arial" w:eastAsia="Arial" w:hAnsi="Arial"/>
          <w:sz w:val="14"/>
          <w:szCs w:val="14"/>
          <w:color w:val="auto"/>
        </w:rPr>
        <w:t>2007 and 2015, most recently as Vice President, Non-Oncology Early Clinical Development. From November 2006 to October 2007, Dr. Ho served as Associate Medical Director at Johnson &amp; Johnson. From June 2002 to November 2006, she was an instructor in the Department of Neurology and Neurological Sciences at Stanford University. Dr. Ho completed a residency in neurology at Partners Neurology Residency of the Massachusetts General and Brigham and Women’s Hospital between 2004 and 2014 and was board certified in neurology and psychiatry. She currently serves on the board of directors of Beam Therapeutics Inc., a publicly-traded biotechnology company. Dr. Ho received an M.D. from Cornell University and a B.S. in Biochemical Sciences from Harvard College. We believe that Dr. Ho’s medical background, executive experience and experience serving as a director of another publicly-traded life science company make her qualified to serve on our Board of Directors.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William J. Rieflin</w:t>
      </w:r>
      <w:r>
        <w:rPr>
          <w:rFonts w:ascii="Arial" w:cs="Arial" w:eastAsia="Arial" w:hAnsi="Arial"/>
          <w:sz w:val="14"/>
          <w:szCs w:val="14"/>
          <w:color w:val="auto"/>
        </w:rPr>
        <w:t>, age 62, became Executive Chairman of our Board of Directors in September 2018, after having served as our Chief Executive Officer and a member of our Board</w:t>
      </w:r>
      <w:r>
        <w:rPr>
          <w:rFonts w:ascii="Arial" w:cs="Arial" w:eastAsia="Arial" w:hAnsi="Arial"/>
          <w:sz w:val="14"/>
          <w:szCs w:val="14"/>
          <w:i w:val="1"/>
          <w:iCs w:val="1"/>
          <w:color w:val="auto"/>
        </w:rPr>
        <w:t xml:space="preserve"> </w:t>
      </w:r>
      <w:r>
        <w:rPr>
          <w:rFonts w:ascii="Arial" w:cs="Arial" w:eastAsia="Arial" w:hAnsi="Arial"/>
          <w:sz w:val="14"/>
          <w:szCs w:val="14"/>
          <w:color w:val="auto"/>
        </w:rPr>
        <w:t>of Directors since September 2010. From 2004 until 2010, he served as President of XenoPort, Inc., or XenoPort, a biotechnology company focused on the discovery and development of transported prodrugs. From 1996 to 2004, he held various positions with Tularik, most recently serving as Executive Vice President, Administration, Chief Financial Officer, General Counsel and Secretary. Mr. Rieflin serves as a director of several publicly-traded biotechnology companies, including RAPT since 2015 and as chair of the board since 2019 and Lyell Immunopharma, Inc. since 2020. He has also served as chair of the board at Lycia Therapeutics, Inc., a private biotechnology company, since 2020, and on the board of Kallyope Inc., a private biotechnology company, since 2016. Mr. Rieflin also served as a director of Flexus Biosciences until its acquisition in 2015, a director of XenoPort until its acquisition in 2016 and as a director of Anacor until its acquisition in 2016. Mr. Rieflin received a B.S. from Cornell University, an M.B.A. from the University of Chicago Graduate School of Business and a J.D. from Stanford Law School. We believe that Mr. Rieflin’s extensive experience with NGM, including his tenure as Chief Executive Officer, brings necessary historic knowledge and continuity to our Board of Directors. In addition, we believe that his prior experiences provided him with operational and industry expertise that are important to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II Directors Continuing in Office Until the 2024 Annual Meeting of Stockholders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Jin-Long Chen, Ph.D</w:t>
      </w:r>
      <w:r>
        <w:rPr>
          <w:rFonts w:ascii="Arial" w:cs="Arial" w:eastAsia="Arial" w:hAnsi="Arial"/>
          <w:sz w:val="14"/>
          <w:szCs w:val="14"/>
          <w:color w:val="auto"/>
        </w:rPr>
        <w:t>., age 59, our founder, has served as a member of our Board of Directors and as our Chief Scientific Officer since January 2008. He was also NGM’s President</w:t>
      </w:r>
      <w:r>
        <w:rPr>
          <w:rFonts w:ascii="Arial" w:cs="Arial" w:eastAsia="Arial" w:hAnsi="Arial"/>
          <w:sz w:val="14"/>
          <w:szCs w:val="14"/>
          <w:i w:val="1"/>
          <w:iCs w:val="1"/>
          <w:color w:val="auto"/>
        </w:rPr>
        <w:t xml:space="preserve"> </w:t>
      </w:r>
      <w:r>
        <w:rPr>
          <w:rFonts w:ascii="Arial" w:cs="Arial" w:eastAsia="Arial" w:hAnsi="Arial"/>
          <w:sz w:val="14"/>
          <w:szCs w:val="14"/>
          <w:color w:val="auto"/>
        </w:rPr>
        <w:t>until November 2014. From 2004 to 2008, Dr. Chen held various positions at Amgen, most recently as its Vice President, Metabolic Research. Prior to joining Amgen, Dr. Chen was Vice President, Biology at Tularik. He has served as a director of Tenaya since 2016. Dr. Chen received a B.S. from Fu-Jen Catholic University, an M.S. from National Taiwan University and a Ph.D. from the University of California, Berkeley. We believe that Dr. Chen’s extensive experience with NGM,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Roger M. Perlmutter, M.D., Ph.D</w:t>
      </w:r>
      <w:r>
        <w:rPr>
          <w:rFonts w:ascii="Arial" w:cs="Arial" w:eastAsia="Arial" w:hAnsi="Arial"/>
          <w:sz w:val="14"/>
          <w:szCs w:val="14"/>
          <w:color w:val="auto"/>
        </w:rPr>
        <w:t>., age 69, is a highly accomplished industry as well as academic leader with over 35 years of experience. He currently serves as the President,</w:t>
      </w:r>
      <w:r>
        <w:rPr>
          <w:rFonts w:ascii="Arial" w:cs="Arial" w:eastAsia="Arial" w:hAnsi="Arial"/>
          <w:sz w:val="14"/>
          <w:szCs w:val="14"/>
          <w:i w:val="1"/>
          <w:iCs w:val="1"/>
          <w:color w:val="auto"/>
        </w:rPr>
        <w:t xml:space="preserve"> </w:t>
      </w:r>
      <w:r>
        <w:rPr>
          <w:rFonts w:ascii="Arial" w:cs="Arial" w:eastAsia="Arial" w:hAnsi="Arial"/>
          <w:sz w:val="14"/>
          <w:szCs w:val="14"/>
          <w:color w:val="auto"/>
        </w:rPr>
        <w:t>Chief Executive Officer and Chairman of Eikon Therapeutics, Inc., a private biotechnology company. From 2013 through 2020, he served as Executive Vice President, Merck &amp; Co., or Merck, and President, Merck Research Laboratories, or MRL, where he supervised the discovery and development of numerous lifesaving medicines, and then he served as non-Executive Chairman of MRL from January through May 2021. Before joining Merck, Dr. Perlmutter spent 12 years as Executive Vice President and head of R&amp;D at Amgen from January 2001 to February 2012. Prior to assuming leadership roles in industry, Dr. Perlmutter was a professor in the Departments of Immunology, Biochemistry and Medicine at the University of Washington, Seattle, and served as Chairman of its Department of Immunology, where he was at the same time an investigator of the Howard Hughes Medical Institute. Prior to his role at the University of Washington, he was a lecturer in the Division of Biology at the California Institute of Technology, Pasadena. He currently serves on the Board of insitro, a private machine learning-driven drug discovery and development company, on the Scientific Advisory Board of the CBC Group, a healthcare-dedicated investment platform, and as a Science Partner at TCG. Dr. Perlmutter is a Fellow of the American Academy of Arts and Sciences and the American Association for the Advancement of Science, and both a Distinguished Fellow and past president of the American Association of Immunologists. Dr. Perlmutter graduated from Reed College and received his M.D. and Ph.D. degrees from Washington University in St. Louis. We believe Dr. Perlmutter’s extensive industry, academic and executive experience make him qualified to serve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931"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Director Not Continuing in Office Following the Annual Meeting</w:t>
      </w:r>
    </w:p>
    <w:p>
      <w:pPr>
        <w:spacing w:after="0" w:line="179"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i w:val="1"/>
          <w:iCs w:val="1"/>
          <w:color w:val="auto"/>
        </w:rPr>
        <w:t>Mark Leschly</w:t>
      </w:r>
      <w:r>
        <w:rPr>
          <w:rFonts w:ascii="Arial" w:cs="Arial" w:eastAsia="Arial" w:hAnsi="Arial"/>
          <w:sz w:val="14"/>
          <w:szCs w:val="14"/>
          <w:color w:val="auto"/>
        </w:rPr>
        <w:t>, age 53, has served as a member of our Board of Directors since January 2008. Since July 1999, he has been a Managing Partner at Rho Capital Partners, Inc., a</w:t>
      </w:r>
      <w:r>
        <w:rPr>
          <w:rFonts w:ascii="Arial" w:cs="Arial" w:eastAsia="Arial" w:hAnsi="Arial"/>
          <w:sz w:val="14"/>
          <w:szCs w:val="14"/>
          <w:i w:val="1"/>
          <w:iCs w:val="1"/>
          <w:color w:val="auto"/>
        </w:rPr>
        <w:t xml:space="preserve"> </w:t>
      </w:r>
      <w:r>
        <w:rPr>
          <w:rFonts w:ascii="Arial" w:cs="Arial" w:eastAsia="Arial" w:hAnsi="Arial"/>
          <w:sz w:val="14"/>
          <w:szCs w:val="14"/>
          <w:color w:val="auto"/>
        </w:rPr>
        <w:t>venture capital management company. Since 2017, Mr. Leschly has been the Chairman and Chief Executive Officer of Universal Tennis, LLC, which is the developer of a software platform for tennis analytics and tournament management. Since 2014, Mr. Leschly has also been the owner and managing member of Iconica LLC, an investment firm. He currently serves on the Board of Directors of ChargePoint, a publicly-traded electronic vehicle charging company. From 2002 to 2016, he was a member of the board of directors of Anacor Pharmaceuticals, Inc., or Anacor, a biotechnology company acquired by Pfizer Inc. in 2016. Mr. Leschly also serves on the boards of a number of private companies. Mr. Leschly received an A.B. from Harvard University and an M.B.A. from the Stanford Graduate School of Business. We believe that Mr. Leschly’s experience in venture capital and in investing in life sciences companies is valuable to our Board of Directors. In addition, we believe that Mr. Leschly’s prior service on the boards of several public companies has given him experience in corporate governance matters, which is valuable in his position as a director.</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Diversity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Board Diversity Matrix below provides the diversity statistics for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168515" cy="2115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211518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Board Diversity Matrix (As of March 25,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Total Number of Directors</w:t>
            </w:r>
          </w:p>
        </w:tc>
        <w:tc>
          <w:tcPr>
            <w:tcW w:w="16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jc w:val="center"/>
              <w:ind w:right="1249"/>
              <w:spacing w:after="0"/>
              <w:rPr>
                <w:sz w:val="20"/>
                <w:szCs w:val="20"/>
                <w:color w:val="auto"/>
              </w:rPr>
            </w:pPr>
            <w:r>
              <w:rPr>
                <w:rFonts w:ascii="Arial" w:cs="Arial" w:eastAsia="Arial" w:hAnsi="Arial"/>
                <w:sz w:val="14"/>
                <w:szCs w:val="14"/>
                <w:color w:val="auto"/>
              </w:rPr>
              <w:t>9</w:t>
            </w:r>
          </w:p>
        </w:tc>
        <w:tc>
          <w:tcPr>
            <w:tcW w:w="16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r>
      <w:tr>
        <w:trPr>
          <w:trHeight w:val="135"/>
        </w:trPr>
        <w:tc>
          <w:tcPr>
            <w:tcW w:w="4700" w:type="dxa"/>
            <w:vAlign w:val="bottom"/>
            <w:tcBorders>
              <w:right w:val="single" w:sz="8" w:color="auto"/>
            </w:tcBorders>
            <w:shd w:val="clear" w:color="auto" w:fill="D9D9D9"/>
          </w:tcPr>
          <w:p>
            <w:pPr>
              <w:spacing w:after="0"/>
              <w:rPr>
                <w:sz w:val="11"/>
                <w:szCs w:val="11"/>
                <w:color w:val="auto"/>
              </w:rPr>
            </w:pPr>
          </w:p>
        </w:tc>
        <w:tc>
          <w:tcPr>
            <w:tcW w:w="1640" w:type="dxa"/>
            <w:vAlign w:val="bottom"/>
            <w:tcBorders>
              <w:right w:val="single" w:sz="8" w:color="auto"/>
            </w:tcBorders>
            <w:shd w:val="clear" w:color="auto" w:fill="D9D9D9"/>
          </w:tcPr>
          <w:p>
            <w:pPr>
              <w:jc w:val="right"/>
              <w:ind w:right="509"/>
              <w:spacing w:after="0" w:line="135" w:lineRule="exact"/>
              <w:rPr>
                <w:sz w:val="20"/>
                <w:szCs w:val="20"/>
                <w:color w:val="auto"/>
              </w:rPr>
            </w:pPr>
            <w:r>
              <w:rPr>
                <w:rFonts w:ascii="Arial" w:cs="Arial" w:eastAsia="Arial" w:hAnsi="Arial"/>
                <w:sz w:val="14"/>
                <w:szCs w:val="14"/>
                <w:b w:val="1"/>
                <w:bCs w:val="1"/>
                <w:color w:val="auto"/>
              </w:rPr>
              <w:t>Female</w:t>
            </w:r>
          </w:p>
        </w:tc>
        <w:tc>
          <w:tcPr>
            <w:tcW w:w="1300" w:type="dxa"/>
            <w:vAlign w:val="bottom"/>
            <w:shd w:val="clear" w:color="auto" w:fill="D9D9D9"/>
          </w:tcPr>
          <w:p>
            <w:pPr>
              <w:ind w:left="660"/>
              <w:spacing w:after="0" w:line="135" w:lineRule="exact"/>
              <w:rPr>
                <w:sz w:val="20"/>
                <w:szCs w:val="20"/>
                <w:color w:val="auto"/>
              </w:rPr>
            </w:pPr>
            <w:r>
              <w:rPr>
                <w:rFonts w:ascii="Arial" w:cs="Arial" w:eastAsia="Arial" w:hAnsi="Arial"/>
                <w:sz w:val="14"/>
                <w:szCs w:val="14"/>
                <w:b w:val="1"/>
                <w:bCs w:val="1"/>
                <w:color w:val="auto"/>
              </w:rPr>
              <w:t>Male</w:t>
            </w:r>
          </w:p>
        </w:tc>
        <w:tc>
          <w:tcPr>
            <w:tcW w:w="360" w:type="dxa"/>
            <w:vAlign w:val="bottom"/>
            <w:tcBorders>
              <w:right w:val="single" w:sz="8" w:color="auto"/>
            </w:tcBorders>
            <w:shd w:val="clear" w:color="auto" w:fill="D9D9D9"/>
          </w:tcPr>
          <w:p>
            <w:pPr>
              <w:spacing w:after="0"/>
              <w:rPr>
                <w:sz w:val="11"/>
                <w:szCs w:val="11"/>
                <w:color w:val="auto"/>
              </w:rPr>
            </w:pPr>
          </w:p>
        </w:tc>
        <w:tc>
          <w:tcPr>
            <w:tcW w:w="1640" w:type="dxa"/>
            <w:vAlign w:val="bottom"/>
            <w:tcBorders>
              <w:right w:val="single" w:sz="8" w:color="auto"/>
            </w:tcBorders>
            <w:shd w:val="clear" w:color="auto" w:fill="D9D9D9"/>
          </w:tcPr>
          <w:p>
            <w:pPr>
              <w:jc w:val="center"/>
              <w:spacing w:after="0" w:line="135" w:lineRule="exact"/>
              <w:rPr>
                <w:sz w:val="20"/>
                <w:szCs w:val="20"/>
                <w:color w:val="auto"/>
              </w:rPr>
            </w:pPr>
            <w:r>
              <w:rPr>
                <w:rFonts w:ascii="Arial" w:cs="Arial" w:eastAsia="Arial" w:hAnsi="Arial"/>
                <w:sz w:val="14"/>
                <w:szCs w:val="14"/>
                <w:b w:val="1"/>
                <w:bCs w:val="1"/>
                <w:color w:val="auto"/>
              </w:rPr>
              <w:t>Non-</w:t>
            </w:r>
          </w:p>
        </w:tc>
        <w:tc>
          <w:tcPr>
            <w:tcW w:w="1640" w:type="dxa"/>
            <w:vAlign w:val="bottom"/>
            <w:shd w:val="clear" w:color="auto" w:fill="D9D9D9"/>
          </w:tcPr>
          <w:p>
            <w:pPr>
              <w:jc w:val="center"/>
              <w:spacing w:after="0" w:line="135" w:lineRule="exact"/>
              <w:rPr>
                <w:sz w:val="20"/>
                <w:szCs w:val="20"/>
                <w:color w:val="auto"/>
              </w:rPr>
            </w:pPr>
            <w:r>
              <w:rPr>
                <w:rFonts w:ascii="Arial" w:cs="Arial" w:eastAsia="Arial" w:hAnsi="Arial"/>
                <w:sz w:val="14"/>
                <w:szCs w:val="14"/>
                <w:b w:val="1"/>
                <w:bCs w:val="1"/>
                <w:color w:val="auto"/>
              </w:rPr>
              <w:t>Did Not</w:t>
            </w:r>
          </w:p>
        </w:tc>
        <w:tc>
          <w:tcPr>
            <w:tcW w:w="20" w:type="dxa"/>
            <w:vAlign w:val="bottom"/>
          </w:tcPr>
          <w:p>
            <w:pPr>
              <w:spacing w:after="0"/>
              <w:rPr>
                <w:sz w:val="11"/>
                <w:szCs w:val="11"/>
                <w:color w:val="auto"/>
              </w:rPr>
            </w:pPr>
          </w:p>
        </w:tc>
      </w:tr>
      <w:tr>
        <w:trPr>
          <w:trHeight w:val="149"/>
        </w:trPr>
        <w:tc>
          <w:tcPr>
            <w:tcW w:w="4700" w:type="dxa"/>
            <w:vAlign w:val="bottom"/>
            <w:tcBorders>
              <w:right w:val="single" w:sz="8" w:color="auto"/>
            </w:tcBorders>
            <w:shd w:val="clear" w:color="auto" w:fill="D9D9D9"/>
          </w:tcPr>
          <w:p>
            <w:pPr>
              <w:spacing w:after="0"/>
              <w:rPr>
                <w:sz w:val="12"/>
                <w:szCs w:val="12"/>
                <w:color w:val="auto"/>
              </w:rPr>
            </w:pPr>
          </w:p>
        </w:tc>
        <w:tc>
          <w:tcPr>
            <w:tcW w:w="1640" w:type="dxa"/>
            <w:vAlign w:val="bottom"/>
            <w:tcBorders>
              <w:right w:val="single" w:sz="8" w:color="auto"/>
            </w:tcBorders>
            <w:shd w:val="clear" w:color="auto" w:fill="D9D9D9"/>
          </w:tcPr>
          <w:p>
            <w:pPr>
              <w:spacing w:after="0"/>
              <w:rPr>
                <w:sz w:val="12"/>
                <w:szCs w:val="12"/>
                <w:color w:val="auto"/>
              </w:rPr>
            </w:pPr>
          </w:p>
        </w:tc>
        <w:tc>
          <w:tcPr>
            <w:tcW w:w="1300" w:type="dxa"/>
            <w:vAlign w:val="bottom"/>
            <w:shd w:val="clear" w:color="auto" w:fill="D9D9D9"/>
          </w:tcPr>
          <w:p>
            <w:pPr>
              <w:spacing w:after="0"/>
              <w:rPr>
                <w:sz w:val="12"/>
                <w:szCs w:val="12"/>
                <w:color w:val="auto"/>
              </w:rPr>
            </w:pPr>
          </w:p>
        </w:tc>
        <w:tc>
          <w:tcPr>
            <w:tcW w:w="360" w:type="dxa"/>
            <w:vAlign w:val="bottom"/>
            <w:tcBorders>
              <w:right w:val="single" w:sz="8" w:color="auto"/>
            </w:tcBorders>
            <w:shd w:val="clear" w:color="auto" w:fill="D9D9D9"/>
          </w:tcPr>
          <w:p>
            <w:pPr>
              <w:spacing w:after="0"/>
              <w:rPr>
                <w:sz w:val="12"/>
                <w:szCs w:val="12"/>
                <w:color w:val="auto"/>
              </w:rPr>
            </w:pPr>
          </w:p>
        </w:tc>
        <w:tc>
          <w:tcPr>
            <w:tcW w:w="1640" w:type="dxa"/>
            <w:vAlign w:val="bottom"/>
            <w:tcBorders>
              <w:right w:val="single" w:sz="8" w:color="auto"/>
            </w:tcBorders>
            <w:shd w:val="clear" w:color="auto" w:fill="D9D9D9"/>
          </w:tcPr>
          <w:p>
            <w:pPr>
              <w:jc w:val="center"/>
              <w:spacing w:after="0" w:line="149" w:lineRule="exact"/>
              <w:rPr>
                <w:sz w:val="20"/>
                <w:szCs w:val="20"/>
                <w:color w:val="auto"/>
              </w:rPr>
            </w:pPr>
            <w:r>
              <w:rPr>
                <w:rFonts w:ascii="Arial" w:cs="Arial" w:eastAsia="Arial" w:hAnsi="Arial"/>
                <w:sz w:val="14"/>
                <w:szCs w:val="14"/>
                <w:b w:val="1"/>
                <w:bCs w:val="1"/>
                <w:color w:val="auto"/>
              </w:rPr>
              <w:t>Binary</w:t>
            </w:r>
          </w:p>
        </w:tc>
        <w:tc>
          <w:tcPr>
            <w:tcW w:w="1640" w:type="dxa"/>
            <w:vAlign w:val="bottom"/>
            <w:shd w:val="clear" w:color="auto" w:fill="D9D9D9"/>
          </w:tcPr>
          <w:p>
            <w:pPr>
              <w:jc w:val="center"/>
              <w:spacing w:after="0" w:line="149" w:lineRule="exact"/>
              <w:rPr>
                <w:sz w:val="20"/>
                <w:szCs w:val="20"/>
                <w:color w:val="auto"/>
              </w:rPr>
            </w:pPr>
            <w:r>
              <w:rPr>
                <w:rFonts w:ascii="Arial" w:cs="Arial" w:eastAsia="Arial" w:hAnsi="Arial"/>
                <w:sz w:val="14"/>
                <w:szCs w:val="14"/>
                <w:b w:val="1"/>
                <w:bCs w:val="1"/>
                <w:color w:val="auto"/>
              </w:rPr>
              <w:t>Disclose</w:t>
            </w:r>
          </w:p>
        </w:tc>
        <w:tc>
          <w:tcPr>
            <w:tcW w:w="20" w:type="dxa"/>
            <w:vAlign w:val="bottom"/>
          </w:tcPr>
          <w:p>
            <w:pPr>
              <w:spacing w:after="0"/>
              <w:rPr>
                <w:sz w:val="12"/>
                <w:szCs w:val="12"/>
                <w:color w:val="auto"/>
              </w:rPr>
            </w:pPr>
          </w:p>
        </w:tc>
      </w:tr>
      <w:tr>
        <w:trPr>
          <w:trHeight w:val="195"/>
        </w:trPr>
        <w:tc>
          <w:tcPr>
            <w:tcW w:w="4700" w:type="dxa"/>
            <w:vAlign w:val="bottom"/>
            <w:tcBorders>
              <w:bottom w:val="single" w:sz="8" w:color="auto"/>
              <w:right w:val="single" w:sz="8" w:color="auto"/>
            </w:tcBorders>
            <w:shd w:val="clear" w:color="auto" w:fill="D9D9D9"/>
          </w:tcPr>
          <w:p>
            <w:pPr>
              <w:spacing w:after="0"/>
              <w:rPr>
                <w:sz w:val="16"/>
                <w:szCs w:val="16"/>
                <w:color w:val="auto"/>
              </w:rPr>
            </w:pPr>
          </w:p>
        </w:tc>
        <w:tc>
          <w:tcPr>
            <w:tcW w:w="1640" w:type="dxa"/>
            <w:vAlign w:val="bottom"/>
            <w:tcBorders>
              <w:bottom w:val="single" w:sz="8" w:color="auto"/>
              <w:right w:val="single" w:sz="8" w:color="auto"/>
            </w:tcBorders>
            <w:shd w:val="clear" w:color="auto" w:fill="D9D9D9"/>
          </w:tcPr>
          <w:p>
            <w:pPr>
              <w:spacing w:after="0"/>
              <w:rPr>
                <w:sz w:val="16"/>
                <w:szCs w:val="16"/>
                <w:color w:val="auto"/>
              </w:rPr>
            </w:pPr>
          </w:p>
        </w:tc>
        <w:tc>
          <w:tcPr>
            <w:tcW w:w="1300" w:type="dxa"/>
            <w:vAlign w:val="bottom"/>
            <w:tcBorders>
              <w:bottom w:val="single" w:sz="8" w:color="auto"/>
            </w:tcBorders>
            <w:shd w:val="clear" w:color="auto" w:fill="D9D9D9"/>
          </w:tcPr>
          <w:p>
            <w:pPr>
              <w:spacing w:after="0"/>
              <w:rPr>
                <w:sz w:val="16"/>
                <w:szCs w:val="16"/>
                <w:color w:val="auto"/>
              </w:rPr>
            </w:pPr>
          </w:p>
        </w:tc>
        <w:tc>
          <w:tcPr>
            <w:tcW w:w="360" w:type="dxa"/>
            <w:vAlign w:val="bottom"/>
            <w:tcBorders>
              <w:bottom w:val="single" w:sz="8" w:color="auto"/>
              <w:right w:val="single" w:sz="8" w:color="auto"/>
            </w:tcBorders>
            <w:shd w:val="clear" w:color="auto" w:fill="D9D9D9"/>
          </w:tcPr>
          <w:p>
            <w:pPr>
              <w:spacing w:after="0"/>
              <w:rPr>
                <w:sz w:val="16"/>
                <w:szCs w:val="16"/>
                <w:color w:val="auto"/>
              </w:rPr>
            </w:pPr>
          </w:p>
        </w:tc>
        <w:tc>
          <w:tcPr>
            <w:tcW w:w="1640" w:type="dxa"/>
            <w:vAlign w:val="bottom"/>
            <w:tcBorders>
              <w:bottom w:val="single" w:sz="8" w:color="auto"/>
              <w:right w:val="single" w:sz="8" w:color="auto"/>
            </w:tcBorders>
            <w:shd w:val="clear" w:color="auto" w:fill="D9D9D9"/>
          </w:tcPr>
          <w:p>
            <w:pPr>
              <w:spacing w:after="0"/>
              <w:rPr>
                <w:sz w:val="16"/>
                <w:szCs w:val="16"/>
                <w:color w:val="auto"/>
              </w:rPr>
            </w:pPr>
          </w:p>
        </w:tc>
        <w:tc>
          <w:tcPr>
            <w:tcW w:w="164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Gender</w:t>
            </w:r>
          </w:p>
        </w:tc>
        <w:tc>
          <w:tcPr>
            <w:tcW w:w="20" w:type="dxa"/>
            <w:vAlign w:val="bottom"/>
            <w:tcBorders>
              <w:bottom w:val="single" w:sz="8" w:color="auto"/>
            </w:tcBorders>
          </w:tcPr>
          <w:p>
            <w:pPr>
              <w:spacing w:after="0"/>
              <w:rPr>
                <w:sz w:val="16"/>
                <w:szCs w:val="16"/>
                <w:color w:val="auto"/>
              </w:rPr>
            </w:pPr>
          </w:p>
        </w:tc>
      </w:tr>
      <w:tr>
        <w:trPr>
          <w:trHeight w:val="182"/>
        </w:trPr>
        <w:tc>
          <w:tcPr>
            <w:tcW w:w="470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Arial" w:cs="Arial" w:eastAsia="Arial" w:hAnsi="Arial"/>
                <w:sz w:val="14"/>
                <w:szCs w:val="14"/>
                <w:b w:val="1"/>
                <w:bCs w:val="1"/>
                <w:color w:val="auto"/>
              </w:rPr>
              <w:t>Part I: Gender Identity</w:t>
            </w:r>
          </w:p>
        </w:tc>
        <w:tc>
          <w:tcPr>
            <w:tcW w:w="1640" w:type="dxa"/>
            <w:vAlign w:val="bottom"/>
            <w:tcBorders>
              <w:bottom w:val="single" w:sz="8" w:color="auto"/>
              <w:right w:val="single" w:sz="8" w:color="auto"/>
            </w:tcBorders>
            <w:shd w:val="clear" w:color="auto" w:fill="D9D9D9"/>
          </w:tcPr>
          <w:p>
            <w:pPr>
              <w:spacing w:after="0"/>
              <w:rPr>
                <w:sz w:val="15"/>
                <w:szCs w:val="15"/>
                <w:color w:val="auto"/>
              </w:rPr>
            </w:pPr>
          </w:p>
        </w:tc>
        <w:tc>
          <w:tcPr>
            <w:tcW w:w="1300" w:type="dxa"/>
            <w:vAlign w:val="bottom"/>
            <w:tcBorders>
              <w:bottom w:val="single" w:sz="8" w:color="auto"/>
            </w:tcBorders>
            <w:shd w:val="clear" w:color="auto" w:fill="D9D9D9"/>
          </w:tcPr>
          <w:p>
            <w:pPr>
              <w:spacing w:after="0"/>
              <w:rPr>
                <w:sz w:val="15"/>
                <w:szCs w:val="15"/>
                <w:color w:val="auto"/>
              </w:rPr>
            </w:pPr>
          </w:p>
        </w:tc>
        <w:tc>
          <w:tcPr>
            <w:tcW w:w="360" w:type="dxa"/>
            <w:vAlign w:val="bottom"/>
            <w:tcBorders>
              <w:bottom w:val="single" w:sz="8" w:color="auto"/>
              <w:right w:val="single" w:sz="8" w:color="auto"/>
            </w:tcBorders>
            <w:shd w:val="clear" w:color="auto" w:fill="D9D9D9"/>
          </w:tcPr>
          <w:p>
            <w:pPr>
              <w:spacing w:after="0"/>
              <w:rPr>
                <w:sz w:val="15"/>
                <w:szCs w:val="15"/>
                <w:color w:val="auto"/>
              </w:rPr>
            </w:pPr>
          </w:p>
        </w:tc>
        <w:tc>
          <w:tcPr>
            <w:tcW w:w="1640" w:type="dxa"/>
            <w:vAlign w:val="bottom"/>
            <w:tcBorders>
              <w:bottom w:val="single" w:sz="8" w:color="auto"/>
              <w:right w:val="single" w:sz="8" w:color="auto"/>
            </w:tcBorders>
            <w:shd w:val="clear" w:color="auto" w:fill="D9D9D9"/>
          </w:tcPr>
          <w:p>
            <w:pPr>
              <w:spacing w:after="0"/>
              <w:rPr>
                <w:sz w:val="15"/>
                <w:szCs w:val="15"/>
                <w:color w:val="auto"/>
              </w:rPr>
            </w:pPr>
          </w:p>
        </w:tc>
        <w:tc>
          <w:tcPr>
            <w:tcW w:w="1640" w:type="dxa"/>
            <w:vAlign w:val="bottom"/>
            <w:tcBorders>
              <w:bottom w:val="single" w:sz="8" w:color="auto"/>
            </w:tcBorders>
            <w:shd w:val="clear" w:color="auto" w:fill="D9D9D9"/>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9"/>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Directors</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13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5"/>
                <w:szCs w:val="15"/>
                <w:color w:val="auto"/>
              </w:rPr>
            </w:pPr>
          </w:p>
        </w:tc>
      </w:tr>
      <w:tr>
        <w:trPr>
          <w:trHeight w:val="184"/>
        </w:trPr>
        <w:tc>
          <w:tcPr>
            <w:tcW w:w="470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Arial" w:cs="Arial" w:eastAsia="Arial" w:hAnsi="Arial"/>
                <w:sz w:val="14"/>
                <w:szCs w:val="14"/>
                <w:b w:val="1"/>
                <w:bCs w:val="1"/>
                <w:color w:val="auto"/>
              </w:rPr>
              <w:t>Part II: Demographic Background</w:t>
            </w:r>
          </w:p>
        </w:tc>
        <w:tc>
          <w:tcPr>
            <w:tcW w:w="1640" w:type="dxa"/>
            <w:vAlign w:val="bottom"/>
            <w:tcBorders>
              <w:bottom w:val="single" w:sz="8" w:color="auto"/>
              <w:right w:val="single" w:sz="8" w:color="auto"/>
            </w:tcBorders>
            <w:shd w:val="clear" w:color="auto" w:fill="D9D9D9"/>
          </w:tcPr>
          <w:p>
            <w:pPr>
              <w:spacing w:after="0"/>
              <w:rPr>
                <w:sz w:val="16"/>
                <w:szCs w:val="16"/>
                <w:color w:val="auto"/>
              </w:rPr>
            </w:pPr>
          </w:p>
        </w:tc>
        <w:tc>
          <w:tcPr>
            <w:tcW w:w="1300" w:type="dxa"/>
            <w:vAlign w:val="bottom"/>
            <w:tcBorders>
              <w:bottom w:val="single" w:sz="8" w:color="auto"/>
            </w:tcBorders>
            <w:shd w:val="clear" w:color="auto" w:fill="D9D9D9"/>
          </w:tcPr>
          <w:p>
            <w:pPr>
              <w:spacing w:after="0"/>
              <w:rPr>
                <w:sz w:val="16"/>
                <w:szCs w:val="16"/>
                <w:color w:val="auto"/>
              </w:rPr>
            </w:pPr>
          </w:p>
        </w:tc>
        <w:tc>
          <w:tcPr>
            <w:tcW w:w="360" w:type="dxa"/>
            <w:vAlign w:val="bottom"/>
            <w:tcBorders>
              <w:bottom w:val="single" w:sz="8" w:color="auto"/>
              <w:right w:val="single" w:sz="8" w:color="auto"/>
            </w:tcBorders>
            <w:shd w:val="clear" w:color="auto" w:fill="D9D9D9"/>
          </w:tcPr>
          <w:p>
            <w:pPr>
              <w:spacing w:after="0"/>
              <w:rPr>
                <w:sz w:val="16"/>
                <w:szCs w:val="16"/>
                <w:color w:val="auto"/>
              </w:rPr>
            </w:pPr>
          </w:p>
        </w:tc>
        <w:tc>
          <w:tcPr>
            <w:tcW w:w="1640" w:type="dxa"/>
            <w:vAlign w:val="bottom"/>
            <w:tcBorders>
              <w:bottom w:val="single" w:sz="8" w:color="auto"/>
              <w:right w:val="single" w:sz="8" w:color="auto"/>
            </w:tcBorders>
            <w:shd w:val="clear" w:color="auto" w:fill="D9D9D9"/>
          </w:tcPr>
          <w:p>
            <w:pPr>
              <w:spacing w:after="0"/>
              <w:rPr>
                <w:sz w:val="16"/>
                <w:szCs w:val="16"/>
                <w:color w:val="auto"/>
              </w:rPr>
            </w:pPr>
          </w:p>
        </w:tc>
        <w:tc>
          <w:tcPr>
            <w:tcW w:w="1640" w:type="dxa"/>
            <w:vAlign w:val="bottom"/>
            <w:tcBorders>
              <w:bottom w:val="single" w:sz="8" w:color="auto"/>
            </w:tcBorders>
            <w:shd w:val="clear" w:color="auto" w:fill="D9D9D9"/>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9"/>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African American or Black</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84"/>
              </w:rPr>
              <w:t>-</w:t>
            </w:r>
          </w:p>
        </w:tc>
        <w:tc>
          <w:tcPr>
            <w:tcW w:w="36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5"/>
                <w:szCs w:val="15"/>
                <w:color w:val="auto"/>
              </w:rPr>
            </w:pPr>
          </w:p>
        </w:tc>
      </w:tr>
      <w:tr>
        <w:trPr>
          <w:trHeight w:val="182"/>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Alaskan Native or Native American</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84"/>
              </w:rPr>
              <w:t>-</w:t>
            </w:r>
          </w:p>
        </w:tc>
        <w:tc>
          <w:tcPr>
            <w:tcW w:w="36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5"/>
                <w:szCs w:val="15"/>
                <w:color w:val="auto"/>
              </w:rPr>
            </w:pPr>
          </w:p>
        </w:tc>
      </w:tr>
      <w:tr>
        <w:trPr>
          <w:trHeight w:val="182"/>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Asian</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5"/>
                <w:szCs w:val="15"/>
                <w:color w:val="auto"/>
              </w:rPr>
            </w:pPr>
          </w:p>
        </w:tc>
      </w:tr>
      <w:tr>
        <w:trPr>
          <w:trHeight w:val="182"/>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Hispanic or Latinx</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84"/>
              </w:rPr>
              <w:t>-</w:t>
            </w:r>
          </w:p>
        </w:tc>
        <w:tc>
          <w:tcPr>
            <w:tcW w:w="36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5"/>
                <w:szCs w:val="15"/>
                <w:color w:val="auto"/>
              </w:rPr>
            </w:pPr>
          </w:p>
        </w:tc>
      </w:tr>
      <w:tr>
        <w:trPr>
          <w:trHeight w:val="182"/>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Native Hawaiian or Pacific Islander</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84"/>
              </w:rPr>
              <w:t>-</w:t>
            </w:r>
          </w:p>
        </w:tc>
        <w:tc>
          <w:tcPr>
            <w:tcW w:w="36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5"/>
                <w:szCs w:val="15"/>
                <w:color w:val="auto"/>
              </w:rPr>
            </w:pPr>
          </w:p>
        </w:tc>
      </w:tr>
      <w:tr>
        <w:trPr>
          <w:trHeight w:val="182"/>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White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3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5"/>
                <w:szCs w:val="15"/>
                <w:color w:val="auto"/>
              </w:rPr>
            </w:pPr>
          </w:p>
        </w:tc>
      </w:tr>
      <w:tr>
        <w:trPr>
          <w:trHeight w:val="182"/>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Two or More Races or Ethnicities</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84"/>
              </w:rPr>
              <w:t>-</w:t>
            </w:r>
          </w:p>
        </w:tc>
        <w:tc>
          <w:tcPr>
            <w:tcW w:w="36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5"/>
                <w:szCs w:val="15"/>
                <w:color w:val="auto"/>
              </w:rPr>
            </w:pPr>
          </w:p>
        </w:tc>
      </w:tr>
      <w:tr>
        <w:trPr>
          <w:trHeight w:val="182"/>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LGBTQ+</w:t>
            </w:r>
          </w:p>
        </w:tc>
        <w:tc>
          <w:tcPr>
            <w:tcW w:w="1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center"/>
              <w:ind w:right="1229"/>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2"/>
        </w:trPr>
        <w:tc>
          <w:tcPr>
            <w:tcW w:w="4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Did Not Disclose Demographic Background</w:t>
            </w:r>
          </w:p>
        </w:tc>
        <w:tc>
          <w:tcPr>
            <w:tcW w:w="1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center"/>
              <w:ind w:right="1229"/>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706"/>
        </w:trPr>
        <w:tc>
          <w:tcPr>
            <w:tcW w:w="4700" w:type="dxa"/>
            <w:vAlign w:val="bottom"/>
          </w:tcPr>
          <w:p>
            <w:pPr>
              <w:spacing w:after="0"/>
              <w:rPr>
                <w:sz w:val="24"/>
                <w:szCs w:val="24"/>
                <w:color w:val="auto"/>
              </w:rPr>
            </w:pPr>
          </w:p>
        </w:tc>
        <w:tc>
          <w:tcPr>
            <w:tcW w:w="1640" w:type="dxa"/>
            <w:vAlign w:val="bottom"/>
          </w:tcPr>
          <w:p>
            <w:pPr>
              <w:jc w:val="right"/>
              <w:ind w:right="549"/>
              <w:spacing w:after="0"/>
              <w:rPr>
                <w:sz w:val="20"/>
                <w:szCs w:val="20"/>
                <w:color w:val="auto"/>
              </w:rPr>
            </w:pPr>
            <w:r>
              <w:rPr>
                <w:rFonts w:ascii="Arial" w:cs="Arial" w:eastAsia="Arial" w:hAnsi="Arial"/>
                <w:sz w:val="14"/>
                <w:szCs w:val="14"/>
                <w:color w:val="auto"/>
              </w:rPr>
              <w:t>11</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300" w:top="931"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CORPORATE GOVERNANCE AND BOARD MATTERS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committed to exercising good corporate governance practices. In furtherance of this commitment, we regularly monitor developments in the area of corporate governance and review our processes, policies and procedures in light of such developments. Key information regarding our corporate governance initiatives can be found on the Investors &amp; Media section of our website, www.ngmbio.com, including our Corporate Governance Guidelines, our Code of Business Conduct and Ethics and the charters for our Audit, Compensation and Nominating and Corporate Governance Committees. Information contained on, or that can be accessed through, our website is not incorporated by reference into and does not form a part of this Proxy Statement. We believe that our corporate governance policies and practices, including the majority of independent directors on our Board of Directors and the appointment of a Lead Independent Director, empower our independent directors to effectively oversee our management, including the performance of our Chief Executive Officer, and provide an effective and appropriately balanced board governance structure.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Independence of the Board of Directors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required under the Nasdaq listing standards, a majority of the members of a listed company’s board of directors must qualify as “independent,” as affirmatively determined by its board of directors. Our Board of Directors has undertaken a review of its composition, the composition of its committees and the independence of each of our directors and nominees for director. Based upon information requested from and provided by each director concerning his or her background, employment and affiliations, including family relationships, our Board of Directors has determined that Drs. Goeddel, Ho and Perlmutter, Mr. Leschly and Mses. Guyer and Hooper do not have any relationships that would interfere with the exercise of independent judgment in carrying out the responsibilities of a director and that each of these directors is otherwise “independent” as that term is defined under applicable Nasdaq listing standards.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Board of Directors determined that Dr. Woodhouse is not considered independent because he currently serves as our Chief Executive Officer, Mr. Rieflin is not considered independent because he currently serves as our Executive Chairman and Dr. Chen is not considered independent because he currently serves as our Chief Scientific Officer. Our Board of Directors has determined that each member of the Audit Committee, Compensation Committee and Nominating and Corporate Governance Committee meets the applicable Nasdaq and SEC rules and regulations regarding “independence” and that each member is free of any relationship that would interfere with his or her individual exercise of independent judgment with regard to the Company. In making these independence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Leadership Structure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Although our bylaws and Corporate Governance Guidelines do not require that we separate the Chairman of the Board of Directors and Chief Executive Officer positions, our Board of Directors believes that having separate positions is the appropriate leadership structure for us at this time and, therefore, the positions of Chairman of the Board of Directors and Chief Executive Officer are currently separated. Separating these positions allows our Chief Executive Officer to focus on our day-to-day business, while allowing our Executive Chairman to lead our Board of Directors in its fundamental role of providing advice to and oversight of members of management. Our Board of Directors recognizes that, depending on the circumstances, other leadership models, such as combining the role of Chairman of the Board of Directors with the role of 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Corporate Governance Guidelines provide that in the event the Chairman is not an independent director, our Board of Directors may designate one of the independent directors to serve as Lead Independent Director. Our Board of Directors has appointed Dr. Goeddel to serve as our Lead Independent Director. Specific roles and responsibilities of the Lead Independent Director, which are detailed in our Corporate Governance Guidelines, include: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931" w:right="319" w:bottom="1440" w:gutter="0" w:footer="0" w:header="0"/>
        </w:sectPr>
      </w:pPr>
    </w:p>
    <w:bookmarkStart w:id="16" w:name="page17"/>
    <w:bookmarkEnd w:id="16"/>
    <w:p>
      <w:pPr>
        <w:ind w:left="520" w:hanging="260"/>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establishing the agenda with the Chairman and Chief Executive Officer for regular meetings of the Board of Directors and serving as Board meeting chair in the absence of the Chairman;</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establishing the agenda for meetings of the independent directors;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coordinating with the committee chairs regarding meeting agendas and informational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presiding over meetings of the independent directors;</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presiding over any portions of meetings of the Board of Directors at which the evaluation or compensation of the Chief Executive Officer or Chairman is presented or discussed;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presiding over any portions of meetings of the Board of Directors at which the performance of the Board of Directors is presented or discussed; and</w:t>
      </w:r>
    </w:p>
    <w:p>
      <w:pPr>
        <w:spacing w:after="0" w:line="93"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coordinating the activities of the other independent directors and performing such other duties as may be established or delegated by the Chairman or the Board of Directors.</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discussed above, except for our Chief Executive Officer, Executive Chairman and Chief Scientific Officer, our Board of Directors is comprised of independent directors. The active involvement of these independent directors, combined with the qualifications and significant responsibilities of our Lead Independent Director, provide balance on the Board of Directors and promote strong, independent oversight of our management and affairs.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Role of the Board of Directors in Risk Oversight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Board of Directors believes that risk management is an important part of establishing, updating and executing our business strategy. Our Board of Directors, as a whole and through its committees, has oversight responsibility relating to risks that could affect our corporate strategy, business objectives, compliance, operations and the financial condition and performance of the Company. Our Board of Directors and its committees focus their oversight on the most significant risks facing the Company and on the processes to identify, prioritize, assess, manage and mitigate those risks. While our Board of Directors is ultimately responsible for risk oversight at the Company, our Board of Directors has delegated to its committees the oversight of risks associated with their respective areas of responsibility, as summarized below. In addition, while our Board of Directors and its committees have an oversight role, management is principally tasked with direct responsibility for management and assessment of risks and the implementation of processes and controls to mitigate their effects on the Company. In turn, the Company’s senior management reports to the Board of Directors and its committees on areas of material risk to the Company, including strategic, operational, financial, cybersecurity, legal and regulatory risks and, when appropriate, the committees provide reports to the full Board of Directors on these and other areas for review.</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Board of Directors has delegated to the Audit Committee the primary responsibility for the oversight of the major financial and legal compliance risks facing our business. In this regard, the Audit Committee is responsible for overseeing our financial reporting process on behalf of our Board of Directors and reviewing with management and our auditors, as appropriate, our major financial and legal compliance risk exposures and the steps taken by management to monitor and control these exposures, including risks relating to data privacy, technology and information security, including cyber security and back-up of information systems. The Compensation Committee is responsible for overseeing our practices and policies of employee compensation as they relate to risk management and risk-taking incentives to determine whether such compensation policies and practices are reasonably likely to have a material adverse effect on the Company. The Nominating and Corporate Governance Committee oversees the management of risks associated with our corporate governance practices and overall board effectiveness, and reviews senior management’s efforts to monitor compliance with the Company’s programs and policies designed to ensure adherence to applicable laws and rules, as well as to its Code of Business Conduct and Ethics.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Meetings of the Board of Directors; Annual Meeting Attendance</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Board of Directors met five times during 2021. Each director attended 75% or more of the aggregate number of meetings of the Board of Directors and of the committees on which he or she served, held during the portion of 2021 for which he or she was a director or committee member. In accordance with our Corporate Governance Guidelines, our directors are encouraged, but not required, to attend each annual meeting of stockholders. All of our directors attended our 2021 annual meeting of stockholders held on June 8, 2021.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931"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Information Regarding Committees of the Board of Directors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Board of Directors has three standing committees: an Audit Committee, a Compensation Committee and a Nominating and Corporate Governance Committee. The following table provides membership and meeting information for 2021 for each of these committees: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Nominating and</w:t>
            </w:r>
          </w:p>
        </w:tc>
      </w:tr>
      <w:tr>
        <w:trPr>
          <w:trHeight w:val="170"/>
        </w:trPr>
        <w:tc>
          <w:tcPr>
            <w:tcW w:w="4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r>
      <w:tr>
        <w:trPr>
          <w:trHeight w:val="206"/>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Audit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Governance</w:t>
            </w:r>
          </w:p>
        </w:tc>
      </w:tr>
      <w:tr>
        <w:trPr>
          <w:trHeight w:val="203"/>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David V. Goeddel, Ph.D.</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Shelly D. Guyer</w:t>
            </w:r>
          </w:p>
        </w:tc>
        <w:tc>
          <w:tcPr>
            <w:tcW w:w="1660" w:type="dxa"/>
            <w:vAlign w:val="bottom"/>
            <w:gridSpan w:val="2"/>
          </w:tcPr>
          <w:p>
            <w:pPr>
              <w:jc w:val="center"/>
              <w:ind w:right="100"/>
              <w:spacing w:after="0" w:line="161" w:lineRule="exact"/>
              <w:rPr>
                <w:sz w:val="20"/>
                <w:szCs w:val="20"/>
                <w:color w:val="auto"/>
              </w:rPr>
            </w:pPr>
            <w:r>
              <w:rPr>
                <w:rFonts w:ascii="MS PGothic" w:cs="MS PGothic" w:eastAsia="MS PGothic" w:hAnsi="MS PGothic"/>
                <w:sz w:val="14"/>
                <w:szCs w:val="14"/>
                <w:color w:val="auto"/>
                <w:w w:val="94"/>
              </w:rPr>
              <w:t>✓</w:t>
            </w:r>
            <w:r>
              <w:rPr>
                <w:rFonts w:ascii="Times New Roman" w:cs="Times New Roman" w:eastAsia="Times New Roman" w:hAnsi="Times New Roman"/>
                <w:sz w:val="14"/>
                <w:szCs w:val="14"/>
                <w:color w:val="auto"/>
                <w:w w:val="94"/>
              </w:rPr>
              <w: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0"/>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80"/>
              <w:spacing w:after="0" w:line="141" w:lineRule="exact"/>
              <w:rPr>
                <w:sz w:val="20"/>
                <w:szCs w:val="20"/>
                <w:color w:val="auto"/>
              </w:rPr>
            </w:pPr>
            <w:r>
              <w:rPr>
                <w:rFonts w:ascii="MS PGothic" w:cs="MS PGothic" w:eastAsia="MS PGothic" w:hAnsi="MS PGothic"/>
                <w:sz w:val="14"/>
                <w:szCs w:val="14"/>
                <w:color w:val="auto"/>
                <w:w w:val="85"/>
              </w:rPr>
              <w:t>✓</w:t>
            </w:r>
          </w:p>
        </w:tc>
        <w:tc>
          <w:tcPr>
            <w:tcW w:w="1860" w:type="dxa"/>
            <w:vAlign w:val="bottom"/>
            <w:shd w:val="clear" w:color="auto" w:fill="CCEEFF"/>
          </w:tcPr>
          <w:p>
            <w:pPr>
              <w:spacing w:after="0"/>
              <w:rPr>
                <w:sz w:val="15"/>
                <w:szCs w:val="15"/>
                <w:color w:val="auto"/>
              </w:rPr>
            </w:pPr>
          </w:p>
        </w:tc>
      </w:tr>
      <w:tr>
        <w:trPr>
          <w:trHeight w:val="212"/>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Suzanne Sawochka Hooper</w:t>
            </w:r>
          </w:p>
        </w:tc>
        <w:tc>
          <w:tcPr>
            <w:tcW w:w="1660" w:type="dxa"/>
            <w:vAlign w:val="bottom"/>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1720" w:type="dxa"/>
            <w:vAlign w:val="bottom"/>
            <w:gridSpan w:val="2"/>
          </w:tcPr>
          <w:p>
            <w:pPr>
              <w:jc w:val="center"/>
              <w:ind w:right="80"/>
              <w:spacing w:after="0" w:line="161" w:lineRule="exact"/>
              <w:rPr>
                <w:sz w:val="20"/>
                <w:szCs w:val="20"/>
                <w:color w:val="auto"/>
              </w:rPr>
            </w:pPr>
            <w:r>
              <w:rPr>
                <w:rFonts w:ascii="MS PGothic" w:cs="MS PGothic" w:eastAsia="MS PGothic" w:hAnsi="MS PGothic"/>
                <w:sz w:val="14"/>
                <w:szCs w:val="14"/>
                <w:color w:val="auto"/>
                <w:w w:val="82"/>
              </w:rPr>
              <w:t>✓</w:t>
            </w:r>
            <w:r>
              <w:rPr>
                <w:rFonts w:ascii="Arial" w:cs="Arial" w:eastAsia="Arial" w:hAnsi="Arial"/>
                <w:sz w:val="14"/>
                <w:szCs w:val="14"/>
                <w:color w:val="auto"/>
                <w:w w:val="82"/>
              </w:rPr>
              <w:t>*</w:t>
            </w:r>
          </w:p>
        </w:tc>
        <w:tc>
          <w:tcPr>
            <w:tcW w:w="1860" w:type="dxa"/>
            <w:vAlign w:val="bottom"/>
          </w:tcPr>
          <w:p>
            <w:pPr>
              <w:spacing w:after="0"/>
              <w:rPr>
                <w:sz w:val="18"/>
                <w:szCs w:val="18"/>
                <w:color w:val="auto"/>
              </w:rPr>
            </w:pPr>
          </w:p>
        </w:tc>
      </w:tr>
      <w:tr>
        <w:trPr>
          <w:trHeight w:val="180"/>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Mark Leschly</w:t>
            </w:r>
          </w:p>
        </w:tc>
        <w:tc>
          <w:tcPr>
            <w:tcW w:w="1660" w:type="dxa"/>
            <w:vAlign w:val="bottom"/>
            <w:gridSpan w:val="2"/>
            <w:shd w:val="clear" w:color="auto" w:fill="CCEEFF"/>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212"/>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Roger M. Perlmutter, M.D., Ph.D.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w:t>
            </w:r>
          </w:p>
        </w:tc>
      </w:tr>
      <w:tr>
        <w:trPr>
          <w:trHeight w:val="180"/>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Number of Meetings</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r>
      <w:tr>
        <w:trPr>
          <w:trHeight w:val="246"/>
        </w:trPr>
        <w:tc>
          <w:tcPr>
            <w:tcW w:w="5960" w:type="dxa"/>
            <w:vAlign w:val="bottom"/>
            <w:gridSpan w:val="2"/>
          </w:tcPr>
          <w:p>
            <w:pPr>
              <w:spacing w:after="0"/>
              <w:rPr>
                <w:sz w:val="20"/>
                <w:szCs w:val="20"/>
                <w:color w:val="auto"/>
              </w:rPr>
            </w:pPr>
            <w:r>
              <w:rPr>
                <w:rFonts w:ascii="Arial" w:cs="Arial" w:eastAsia="Arial" w:hAnsi="Arial"/>
                <w:sz w:val="14"/>
                <w:szCs w:val="14"/>
                <w:color w:val="auto"/>
              </w:rPr>
              <w:t>________________________________</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55"/>
        </w:trPr>
        <w:tc>
          <w:tcPr>
            <w:tcW w:w="460" w:type="dxa"/>
            <w:vAlign w:val="bottom"/>
          </w:tcPr>
          <w:p>
            <w:pPr>
              <w:spacing w:after="0"/>
              <w:rPr>
                <w:sz w:val="20"/>
                <w:szCs w:val="20"/>
                <w:color w:val="auto"/>
              </w:rPr>
            </w:pPr>
            <w:r>
              <w:rPr>
                <w:rFonts w:ascii="Arial" w:cs="Arial" w:eastAsia="Arial" w:hAnsi="Arial"/>
                <w:sz w:val="14"/>
                <w:szCs w:val="14"/>
                <w:color w:val="auto"/>
              </w:rPr>
              <w:t>*</w:t>
            </w:r>
          </w:p>
        </w:tc>
        <w:tc>
          <w:tcPr>
            <w:tcW w:w="5580" w:type="dxa"/>
            <w:vAlign w:val="bottom"/>
            <w:gridSpan w:val="2"/>
          </w:tcPr>
          <w:p>
            <w:pPr>
              <w:ind w:left="40"/>
              <w:spacing w:after="0"/>
              <w:rPr>
                <w:sz w:val="20"/>
                <w:szCs w:val="20"/>
                <w:color w:val="auto"/>
              </w:rPr>
            </w:pPr>
            <w:r>
              <w:rPr>
                <w:rFonts w:ascii="Arial" w:cs="Arial" w:eastAsia="Arial" w:hAnsi="Arial"/>
                <w:sz w:val="14"/>
                <w:szCs w:val="14"/>
                <w:color w:val="auto"/>
              </w:rPr>
              <w:t>Committee Chair</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60" w:type="dxa"/>
            <w:vAlign w:val="bottom"/>
          </w:tcPr>
          <w:p>
            <w:pPr>
              <w:spacing w:after="0"/>
              <w:rPr>
                <w:sz w:val="22"/>
                <w:szCs w:val="22"/>
                <w:color w:val="auto"/>
              </w:rPr>
            </w:pPr>
          </w:p>
        </w:tc>
      </w:tr>
    </w:tbl>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Below is a description of the Audit Committee, Compensation Committee and Nominating and Corporate Governance Committee. The written charters of the committees are available to stockholders on the Investors &amp; Media section of our website at www.ngmbio.com. Each of the committees has authority to engage legal counsel or other experts or consultants, as it deems appropriate to carry out its responsibilities.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Audit Committee consists of Mr. Leschly and Mses. Guyer and Hooper, each of whom our Board of Directors has determined satisfies the independence requirements under the Nasdaq listing standards and Rule 10A-3(b)(1) of the Securities Exchange Act of 1934, as amended, or the Exchange Act. The Chair of our Audit Committee is Ms. Guyer, whom our Board of Directors has determined is an “audit committee financial expert” as defined by applicable SEC rules. Each member of our Audit Committee can read and understand fundamental financial statements in accordance with the applicable Nasdaq listing standards. In arriving at these determinations, our Board of Directors has examined each Audit Committee member’s scope of experience and the nature of her or his employment. The functions of this committee include:</w:t>
      </w:r>
    </w:p>
    <w:p>
      <w:pPr>
        <w:spacing w:after="0" w:line="140" w:lineRule="exact"/>
        <w:rPr>
          <w:sz w:val="20"/>
          <w:szCs w:val="20"/>
          <w:color w:val="auto"/>
        </w:rPr>
      </w:pPr>
    </w:p>
    <w:p>
      <w:pPr>
        <w:ind w:left="520" w:hanging="260"/>
        <w:spacing w:after="0" w:line="29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assisting our Board of Directors in overseeing our corporate accounting and financial reporting processes, systems of internal control over financial reporting and audits of our financial statements and systems of disclosure controls and procedures, as well as the quality and integrity of our financial statements and reports;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assisting our Board of Directors in assessing the qualifications and independence of, and overseeing the performance of and compensation to be paid to, our registered public accounting firm or firms engaged as our independent outside auditors for the purpose of preparing or issuing an audit report or performing audit services;</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reviewing and considering any related party transaction for approval or disapproval, as the case may be, and providing oversight of related party transactions;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preparing the required report of the Audit Committee for inclusion in our annual proxy statement;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reviewing and assessing, at least annually, the performance of the Audit Committee and the adequacy of its charter.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the Audit Committee of the Board of Directors</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Audit Committee has reviewed and discussed the audited consolidated financial statements for the fiscal year ended December 31, 2021 with management of the Company. The Audit Committee has discussed with the independent registered public accounting firm the matters required to be discussed by the applicable requirements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931" w:right="319" w:bottom="1440" w:gutter="0" w:footer="0" w:header="0"/>
        </w:sectPr>
      </w:pPr>
    </w:p>
    <w:bookmarkStart w:id="18" w:name="page19"/>
    <w:bookmarkEnd w:id="18"/>
    <w:p>
      <w:pPr>
        <w:jc w:val="both"/>
        <w:spacing w:after="0" w:line="262" w:lineRule="auto"/>
        <w:rPr>
          <w:sz w:val="20"/>
          <w:szCs w:val="20"/>
          <w:color w:val="auto"/>
        </w:rPr>
      </w:pPr>
      <w:r>
        <w:rPr>
          <w:rFonts w:ascii="Arial" w:cs="Arial" w:eastAsia="Arial" w:hAnsi="Arial"/>
          <w:sz w:val="14"/>
          <w:szCs w:val="14"/>
          <w:color w:val="auto"/>
        </w:rPr>
        <w:t>of the Public Company Accounting Oversight Board (PCAOB) and the SEC. The Audit Committee has also received the written disclosures and the letter from the independent registered public accounting firm required by applicable requirements of the PCAOB regarding the independent auditors’ communications with the Audit Committee concerning independence, and has discussed with the independent registered public accounting firm the audit firm’s independence. Based on the foregoing, the Audit Committee has recommended to the Board of Directors that the audited consolidated financial statements be included in our Annual Report on Form 10-K for the fiscal year ended December 31, 2021.</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Respectfully submitted,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Audit Committee of the Board of Directors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Shelly D. Guyer (Chair)</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Suzanne Sawochka Hooper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 Leschly</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Compensation Committee consists of Dr. Ho and Ms. Hooper. Ms. Hooper serves as the Chair of our Compensation Committee. Our Board of Directors has determined that each of Dr. Ho and Ms. Hooper is independent under the Nasdaq listing standards. The functions of this committee include:</w:t>
      </w:r>
    </w:p>
    <w:p>
      <w:pPr>
        <w:spacing w:after="0" w:line="120"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overseeing our overall compensation strategy;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the Company’s practices and policies of employee compensation as they relate to risk management and risk-taking incentives;</w:t>
      </w:r>
    </w:p>
    <w:p>
      <w:pPr>
        <w:spacing w:after="0" w:line="93"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evaluating our Chief Executive Officer’s and Executive Chairman’s performance in light of relevant corporate performance goals and objectives and determining and approving, or reviewing and recommending to the Board of Directors for approval, the compensation and other terms of employment of the Chief Executive Officer and Executive Chairman;</w:t>
      </w:r>
    </w:p>
    <w:p>
      <w:pPr>
        <w:spacing w:after="0" w:line="4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and determining the form and amount of compensation to be paid to our other executive officers and senior management;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and recommending to the Board of Directors the type and amount of compensation to be paid or awarded to directors;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adopting, amending, terminating and administering our compensation plans and programs;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and assessing, at least annually, the performance of the Compensation Committee and the adequacy of its charter.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 Processes and Procedures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agenda for each meeting is usually developed by the Chair of the Compensation Committee, in consultation with management.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Company’s Chief Executive Officer may not participate in, or be present during, any deliberations or determinations of the Compensation Committee regarding his compensation or his individual performance. The Company’s Executive Chairman may also not participate in, or be present during, any deliberations or determinations of the Compensation Committee regarding his compensation or his individual performance.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931" w:right="319" w:bottom="1440" w:gutter="0" w:footer="0" w:header="0"/>
        </w:sectPr>
      </w:pPr>
    </w:p>
    <w:bookmarkStart w:id="19" w:name="page20"/>
    <w:bookmarkEnd w:id="19"/>
    <w:p>
      <w:pPr>
        <w:jc w:val="both"/>
        <w:spacing w:after="0" w:line="265" w:lineRule="auto"/>
        <w:rPr>
          <w:sz w:val="20"/>
          <w:szCs w:val="20"/>
          <w:color w:val="auto"/>
        </w:rPr>
      </w:pPr>
      <w:r>
        <w:rPr>
          <w:rFonts w:ascii="Arial" w:cs="Arial" w:eastAsia="Arial" w:hAnsi="Arial"/>
          <w:sz w:val="14"/>
          <w:szCs w:val="14"/>
          <w:color w:val="auto"/>
        </w:rPr>
        <w:t>The charter of the Compensation Committee grants the Compensation Committee full access to all books, records, facilities and personnel of the Company, as well as authority to obtain, at the expense of the Company, advice and assistance from internal and external legal, accounting or other advisors and consultants as the Compensation Committee deems necessary or appropriate in carrying out its duties. In particular, the Compensation Committee has the sole authority to select, retain and terminate any compensation consultant to assist in its evaluation of executive and director compensation, including the sole authority to approve the consultant’s reasonable fees and other retention terms.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See “Compensation Discussion and Analysis—Process for Determining Executive Compensation” in this Proxy Statement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Neither Dr. Ho nor Ms. Hooper is or has been an officer or employee of our Company.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Our Nominating and Corporate Governance Committee consists of Drs. Goeddel and Perlmutter, and Dr. Perlmutter serves as Chair. Our Board of Directors has determined that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Drs. Goeddel and Perlmutter are independent under the applicable Nasdaq listing standards. The functions of this committee include:</w:t>
      </w:r>
    </w:p>
    <w:p>
      <w:pPr>
        <w:spacing w:after="0" w:line="165" w:lineRule="exact"/>
        <w:rPr>
          <w:sz w:val="20"/>
          <w:szCs w:val="20"/>
          <w:color w:val="auto"/>
        </w:rPr>
      </w:pPr>
    </w:p>
    <w:p>
      <w:pPr>
        <w:ind w:left="520" w:hanging="260"/>
        <w:spacing w:after="0" w:line="290"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developing, reviewing and assessing our corporate governance documents, including our Corporate Governance Guidelines and Code of Business Conduct and Ethics, and reviewing management’s efforts to monitor compliance with our programs and policies designed to ensure adherence to applicable laws and rules;</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identifying and evaluating candidates to serve as directors consistent with the criteria approved by our Board of Directors;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recommending candidates for selection to our Board of Directors, or, to the extent required below, to serve as nominees for director for the annual meeting of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discussing and assessing the performance of our Board of Directors and its committees;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making other recommendations to our Board of Directors regarding the Board’s leadership structure and other affairs relating to our directors;</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oversee the Company’s environmental, social and governance efforts, progress and disclosures and regularly review emerging corporate governance issues and practices, including proxy advisory firm policies and recommendations; and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and assessing, at least annually, the performance of the Nominating and Corporate Governance Committee and the adequacy of its charter.</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having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Candidates for director nominees are reviewed in the context of the current composition of the Board of Directors and the competencies of the individual members, the current and future operating requirements of NGM and the long-term interests of stockholders, with the objective of having a balanced and effective Board of Directors that reflects a variety of characteristics, perspectives, skills and professional experience. The Nominating and Corporate Governance Committee’s review and periodic assessments of the characteristics, perspectives, skills and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931" w:right="319" w:bottom="1440" w:gutter="0" w:footer="0" w:header="0"/>
        </w:sectPr>
      </w:pPr>
    </w:p>
    <w:bookmarkStart w:id="20" w:name="page21"/>
    <w:bookmarkEnd w:id="20"/>
    <w:p>
      <w:pPr>
        <w:jc w:val="both"/>
        <w:spacing w:after="0" w:line="260" w:lineRule="auto"/>
        <w:rPr>
          <w:sz w:val="20"/>
          <w:szCs w:val="20"/>
          <w:color w:val="auto"/>
        </w:rPr>
      </w:pPr>
      <w:r>
        <w:rPr>
          <w:rFonts w:ascii="Arial" w:cs="Arial" w:eastAsia="Arial" w:hAnsi="Arial"/>
          <w:sz w:val="14"/>
          <w:szCs w:val="14"/>
          <w:color w:val="auto"/>
        </w:rPr>
        <w:t>professional experience it seeks in the Board as a whole, and in individual directors, in connection with its review of the Board’s composition, enables it to assess the effectiveness of its goal of achieving a balanced and effective Board comprised of a diverse set of directors. In conducting this assessment, the Nominating and Corporate Governance Committee typically considers diversity in terms of background, perspective and experience, including diversity with respect to race, ethnicity, gender and sexual orientation, and such other factors as it deems appropriate, given the current needs of the Board of Directors and NGM. The Nominating and Corporate Governance Committee and our Board of Directors are committed to actively seeking highly-qualified candidates who are women or from underrepresented minorities to include in the pool of candidates from which director nominees are chosen.</w:t>
      </w:r>
    </w:p>
    <w:p>
      <w:pPr>
        <w:spacing w:after="0" w:line="131"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The Nominating and Corporate Governance Committee uses its network of contacts to compile a list of potential candidates, but may also engage, if it deems appropriate, a professional search firm. In January 2022, the Nominating and Corporate Governance Committee engaged Heidrich &amp; Struggles to assist in the search for well-qualified and credentialed director candidates.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 by majority vote.</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case of incumbent directors whose terms of office are set to expire, the Nominating and Corporate Governance Committee reviewed these directors’ service to NGM, including the number of meetings attended, level of participation, quality of performance and any relationships and transactions that might impair the directors’ independence, as well as the overall composition of the Board and the desire to add new skill sets, expertise and diversity to the Company. In the case of all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delivering a written recommendation to the Nominating and Corporate Governance Committee at the following address: 333 Oyster Point Boulevard, South San Francisco, California 94080, Attn: Secretary.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common stock and has been a holder for at least one year. Any such submission must be accompanied by the written consent of the proposed nominee to be named as a nominee and to serve as a director if elected. The Secretary will forward such communication to the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Communications with the Board of Directors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Board of Directors believes that stockholders should have an opportunity to communicate with the Board of Directors, and efforts have been made to ensure that the views of stockholders are heard by the Board of Directors or individual directors, as applicable, and that appropriate responses are provided to stockholders in a timely manner. We believe that our responsiveness to stockholder communications to the Board of Directors has been excellent. Stockholders wishing to communicate with the Board of Directors or an individual director may send a written communication to the Board of Directors or such director c/o NGM Biopharmaceuticals, Inc., 333 Oyster Point Boulevard, South San Francisco, California 94080, Attn: Secretary. The Secretary will review each communication. The Secretary will forward such communication to the Board of Directors or to any individual director to whom the communication is addressed unless the communication contains advertisements or solicitations or is unduly hostile, threatening or similarly inappropriate, in which case the Secretary shall discard the communication.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931"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adopted a Code of Business Conduct and Ethics that applies to all of our employees, officers and directors, including those officers responsible for financial reporting. The full text of our Code of Business Conduct and Ethics is posted on the Investors &amp; Media section of our website at www.ngmbio.com.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Information contained on, or that can be accessed through, our website is not incorporated by reference into and does not form a part of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Governance Guidelines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part of our Board of Directors’ commitment to enhancing stockholder value over the long term, our Board of Directors has adopted a set of Corporate Governance Guidelines to provide the framework for the governance of the Company and to assist our Board of Directors in the exercise of its responsibilities. Our Corporate Governance Guidelines cover, among other topics, Board composition and structure, Board membership criteria, director independence, Board and Board committee assessments, committees of the Board of Directors, Board access to management and outside advisors and director orientation and education. The Corporate Governance Guidelines, as well as the charters for each committee of the Board of Directors, may be viewed on the Investors &amp; Media section of our website at www.ngmbio.com. Information contained on, or that can be accessed through, our website is not incorporated by reference into and does not form a part of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Hedging and Pledging Policy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adopted a policy, which applies to all of our directors and employees (including officers), that prohibits, among other things, short selling of our securities, trading derivative securities of the Company (other than employee stock options) and purchasing our securities on margin or holding our securities in a margin account. The policy also provides that directors and employees (including officers) are prohibited from engaging in any hedging or monetization transactions, including through the use of financial instruments such as prepaid variable forwards, equity swaps, collars and exchange funds. Additionally, directors, officers and employees may not engage in any transaction in our securities without first obtaining pre-clearance of the transaction from our Chief Financial Officer, General Counsel or their respective designees.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931"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information with respect to our executive officers as of March 25,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00" w:type="dxa"/>
            <w:vAlign w:val="bottom"/>
            <w:tcBorders>
              <w:bottom w:val="single" w:sz="8" w:color="CFF0FC"/>
            </w:tcBorders>
          </w:tcPr>
          <w:p>
            <w:pPr>
              <w:spacing w:after="0"/>
              <w:rPr>
                <w:sz w:val="14"/>
                <w:szCs w:val="14"/>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Position</w:t>
            </w:r>
          </w:p>
        </w:tc>
      </w:tr>
      <w:tr>
        <w:trPr>
          <w:trHeight w:val="203"/>
        </w:trPr>
        <w:tc>
          <w:tcPr>
            <w:tcW w:w="4740" w:type="dxa"/>
            <w:vAlign w:val="bottom"/>
            <w:gridSpan w:val="2"/>
            <w:shd w:val="clear" w:color="auto" w:fill="CFF0FC"/>
          </w:tcPr>
          <w:p>
            <w:pPr>
              <w:ind w:left="20"/>
              <w:spacing w:after="0" w:line="203" w:lineRule="exact"/>
              <w:rPr>
                <w:sz w:val="20"/>
                <w:szCs w:val="20"/>
                <w:color w:val="auto"/>
              </w:rPr>
            </w:pPr>
            <w:r>
              <w:rPr>
                <w:rFonts w:ascii="Arial" w:cs="Arial" w:eastAsia="Arial" w:hAnsi="Arial"/>
                <w:sz w:val="14"/>
                <w:szCs w:val="14"/>
                <w:color w:val="auto"/>
              </w:rPr>
              <w:t>William J. Rieflin</w:t>
            </w:r>
            <w:r>
              <w:rPr>
                <w:rFonts w:ascii="Arial" w:cs="Arial" w:eastAsia="Arial" w:hAnsi="Arial"/>
                <w:sz w:val="18"/>
                <w:szCs w:val="18"/>
                <w:color w:val="auto"/>
                <w:vertAlign w:val="superscript"/>
              </w:rPr>
              <w:t>(1)</w:t>
            </w: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FF0FC"/>
          </w:tcPr>
          <w:p>
            <w:pPr>
              <w:spacing w:after="0"/>
              <w:rPr>
                <w:sz w:val="17"/>
                <w:szCs w:val="17"/>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Executive Chairman of the Board of Directors</w:t>
            </w:r>
          </w:p>
        </w:tc>
      </w:tr>
      <w:tr>
        <w:trPr>
          <w:trHeight w:val="212"/>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 xml:space="preserve">David J. Woodhouse, Ph.D. </w:t>
            </w:r>
            <w:r>
              <w:rPr>
                <w:rFonts w:ascii="Arial" w:cs="Arial" w:eastAsia="Arial" w:hAnsi="Arial"/>
                <w:sz w:val="18"/>
                <w:szCs w:val="18"/>
                <w:color w:val="auto"/>
                <w:vertAlign w:val="superscript"/>
              </w:rPr>
              <w:t>(2)</w:t>
            </w:r>
          </w:p>
        </w:tc>
        <w:tc>
          <w:tcPr>
            <w:tcW w:w="680" w:type="dxa"/>
            <w:vAlign w:val="bottom"/>
          </w:tcPr>
          <w:p>
            <w:pPr>
              <w:jc w:val="center"/>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Chief Executive Officer and Director</w:t>
            </w:r>
          </w:p>
        </w:tc>
      </w:tr>
      <w:tr>
        <w:trPr>
          <w:trHeight w:val="180"/>
        </w:trPr>
        <w:tc>
          <w:tcPr>
            <w:tcW w:w="47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Siobhan Nolan Mangini</w:t>
            </w: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5"/>
                <w:szCs w:val="15"/>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Chief Financial Officer</w:t>
            </w:r>
          </w:p>
        </w:tc>
      </w:tr>
      <w:tr>
        <w:trPr>
          <w:trHeight w:val="212"/>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Jin-Long Chen, Ph.D.</w:t>
            </w:r>
            <w:r>
              <w:rPr>
                <w:rFonts w:ascii="Arial" w:cs="Arial" w:eastAsia="Arial" w:hAnsi="Arial"/>
                <w:sz w:val="18"/>
                <w:szCs w:val="18"/>
                <w:color w:val="auto"/>
                <w:vertAlign w:val="superscript"/>
              </w:rPr>
              <w:t>(3)</w:t>
            </w:r>
          </w:p>
        </w:tc>
        <w:tc>
          <w:tcPr>
            <w:tcW w:w="680" w:type="dxa"/>
            <w:vAlign w:val="bottom"/>
          </w:tcPr>
          <w:p>
            <w:pPr>
              <w:jc w:val="center"/>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Founder, Chief Scientific Officer and Director</w:t>
            </w:r>
          </w:p>
        </w:tc>
      </w:tr>
      <w:tr>
        <w:trPr>
          <w:trHeight w:val="18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Hsiao D. Lieu, M.D.</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Senior Vice President, Chief Medical Officer</w:t>
            </w:r>
          </w:p>
        </w:tc>
      </w:tr>
      <w:tr>
        <w:trPr>
          <w:trHeight w:val="186"/>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Valerie Pierce</w:t>
            </w:r>
          </w:p>
        </w:tc>
        <w:tc>
          <w:tcPr>
            <w:tcW w:w="680" w:type="dxa"/>
            <w:vAlign w:val="bottom"/>
          </w:tcPr>
          <w:p>
            <w:pPr>
              <w:jc w:val="center"/>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Senior Vice President, General Counsel and Chief Compliance Officer</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87" w:lineRule="exact"/>
        <w:rPr>
          <w:sz w:val="20"/>
          <w:szCs w:val="20"/>
          <w:color w:val="auto"/>
        </w:rPr>
      </w:pPr>
    </w:p>
    <w:p>
      <w:pPr>
        <w:ind w:left="500" w:hanging="495"/>
        <w:spacing w:after="0"/>
        <w:tabs>
          <w:tab w:leader="none" w:pos="5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Please see “Class I Directors Continuing in Office Until the 2023 Annual Meeting of Stockholders” for Mr. Rieflin’s biography.</w:t>
      </w:r>
    </w:p>
    <w:p>
      <w:pPr>
        <w:spacing w:after="0" w:line="43" w:lineRule="exact"/>
        <w:rPr>
          <w:rFonts w:ascii="Arial" w:cs="Arial" w:eastAsia="Arial" w:hAnsi="Arial"/>
          <w:sz w:val="11"/>
          <w:szCs w:val="11"/>
          <w:color w:val="auto"/>
        </w:rPr>
      </w:pPr>
    </w:p>
    <w:p>
      <w:pPr>
        <w:ind w:left="500" w:hanging="495"/>
        <w:spacing w:after="0"/>
        <w:tabs>
          <w:tab w:leader="none" w:pos="5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Please see “Class III Director Nominees for Election for a Three-Year Term Expiring at the 2025 Annual Meeting of Stockholders” for Dr. Woodhouse’s biography.</w:t>
      </w:r>
    </w:p>
    <w:p>
      <w:pPr>
        <w:spacing w:after="0" w:line="43" w:lineRule="exact"/>
        <w:rPr>
          <w:rFonts w:ascii="Arial" w:cs="Arial" w:eastAsia="Arial" w:hAnsi="Arial"/>
          <w:sz w:val="11"/>
          <w:szCs w:val="11"/>
          <w:color w:val="auto"/>
        </w:rPr>
      </w:pPr>
    </w:p>
    <w:p>
      <w:pPr>
        <w:ind w:left="500" w:hanging="495"/>
        <w:spacing w:after="0"/>
        <w:tabs>
          <w:tab w:leader="none" w:pos="5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Please see “Class II Directors Continuing in Office Until the 2024 Annual Meeting of Stockholders” for Dr. Chen’s biography.</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Siobhan Nolan Mangini</w:t>
      </w:r>
      <w:r>
        <w:rPr>
          <w:rFonts w:ascii="Arial" w:cs="Arial" w:eastAsia="Arial" w:hAnsi="Arial"/>
          <w:sz w:val="14"/>
          <w:szCs w:val="14"/>
          <w:color w:val="auto"/>
        </w:rPr>
        <w:t>, age 41, has served as our Chief Financial Officer since July 2020. Prior to that, Ms. Nolan Mangini served in various roles at Castlight Health, Inc., a</w:t>
      </w:r>
      <w:r>
        <w:rPr>
          <w:rFonts w:ascii="Arial" w:cs="Arial" w:eastAsia="Arial" w:hAnsi="Arial"/>
          <w:sz w:val="14"/>
          <w:szCs w:val="14"/>
          <w:i w:val="1"/>
          <w:iCs w:val="1"/>
          <w:color w:val="auto"/>
        </w:rPr>
        <w:t xml:space="preserve"> </w:t>
      </w:r>
      <w:r>
        <w:rPr>
          <w:rFonts w:ascii="Arial" w:cs="Arial" w:eastAsia="Arial" w:hAnsi="Arial"/>
          <w:sz w:val="14"/>
          <w:szCs w:val="14"/>
          <w:color w:val="auto"/>
        </w:rPr>
        <w:t>healthcare technology company, from 2012 to February 2020, and most recently as President from December 2019 to February 2020 and President and Chief Financial Officer from July 2019 to December 2019. Prior to that, she served as Chief Financial Officer from July 2016 to July 2019; Vice President, Finance &amp; Business Operations from October 2015 to July 2016; Senior Director, Financial Planning &amp; Business Operations from November 2014 to September 2015; and Director, Strategy &amp; Business Development from February 2012 to November 2014. Prior to joining Castlight Health, Ms. Nolan Mangini worked at Bain &amp; Company, a management consulting company, from 2009 to January 2012, specializing in the health care and private equity practices. She currently serves as a member of the board of directors and audit committee chair at Marathon Health, a private healthcare technology company. Ms. Nolan Mangini holds a B.S. in Economics from The Wharton School at the University of Pennsylvania, an M.B.A. from the Graduate School of Business at Stanford University and an M.P.A. from The Kennedy School of Government at Harvard University.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Hsiao D. Lieu, M.D.</w:t>
      </w:r>
      <w:r>
        <w:rPr>
          <w:rFonts w:ascii="Arial" w:cs="Arial" w:eastAsia="Arial" w:hAnsi="Arial"/>
          <w:sz w:val="14"/>
          <w:szCs w:val="14"/>
          <w:color w:val="auto"/>
        </w:rPr>
        <w:t>, age 51, has served as our Senior Vice President, Chief Medical Officer since March 2019. Prior to that, Dr. Lieu worked at Genentech from November 2017 to</w:t>
      </w:r>
      <w:r>
        <w:rPr>
          <w:rFonts w:ascii="Arial" w:cs="Arial" w:eastAsia="Arial" w:hAnsi="Arial"/>
          <w:sz w:val="14"/>
          <w:szCs w:val="14"/>
          <w:i w:val="1"/>
          <w:iCs w:val="1"/>
          <w:color w:val="auto"/>
        </w:rPr>
        <w:t xml:space="preserve"> </w:t>
      </w:r>
      <w:r>
        <w:rPr>
          <w:rFonts w:ascii="Arial" w:cs="Arial" w:eastAsia="Arial" w:hAnsi="Arial"/>
          <w:sz w:val="14"/>
          <w:szCs w:val="14"/>
          <w:color w:val="auto"/>
        </w:rPr>
        <w:t>March 2019 as Vice President of Early Clinical Development for non-oncology molecules. He also worked at Eli Lilly and Company from July 2012 through November 2017, where he held various leadership roles, most recently as Global Brand Development Leader, Autoimmune, Taltz®. Prior to joining Eli Lilly, Dr. Lieu was a co-founder and Chief Executive Officer of RetinoRx, LLC and Chief Medical Officer and Executive Vice President at Niles Therapeutics, Inc. and held clinical development leadership roles with Portola Pharmaceuticals, Inc. and CV Therapeutics, Inc. (which was acquired by Gilead Sciences, Inc). Dr. Lieu was an attending cardiologist at San Francisco General Hospital from 2002 to 2013 and an adjunct Associate Clinical Medical Professor at University of California, San Francisco. Dr. Lieu received his M.D. from Albert Einstein College of Medicine and B.A. from New York University.</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Valerie Pierce</w:t>
      </w:r>
      <w:r>
        <w:rPr>
          <w:rFonts w:ascii="Arial" w:cs="Arial" w:eastAsia="Arial" w:hAnsi="Arial"/>
          <w:sz w:val="14"/>
          <w:szCs w:val="14"/>
          <w:color w:val="auto"/>
        </w:rPr>
        <w:t>, age 59, has served as our Senior Vice President, General Counsel and Chief Compliance Officer since October 2019. Prior to joining NGM, Ms. Pierce served as</w:t>
      </w:r>
      <w:r>
        <w:rPr>
          <w:rFonts w:ascii="Arial" w:cs="Arial" w:eastAsia="Arial" w:hAnsi="Arial"/>
          <w:sz w:val="14"/>
          <w:szCs w:val="14"/>
          <w:i w:val="1"/>
          <w:iCs w:val="1"/>
          <w:color w:val="auto"/>
        </w:rPr>
        <w:t xml:space="preserve"> </w:t>
      </w:r>
      <w:r>
        <w:rPr>
          <w:rFonts w:ascii="Arial" w:cs="Arial" w:eastAsia="Arial" w:hAnsi="Arial"/>
          <w:sz w:val="14"/>
          <w:szCs w:val="14"/>
          <w:color w:val="auto"/>
        </w:rPr>
        <w:t>Senior Vice President, Associate General Counsel at Jazz Pharmaceuticals plc from August 2017 through September 2019 and Vice President, Associate General Counsel from September 2012 through August 2017, where she was responsible for corporate governance and securities matters, transactional support, legal operations and a wide variety of other matters. Before Jazz, Ms. Pierce worked in various in-house positions, including Vice President and Senior Transactional Counsel at Amyris, Inc., Senior Vice President and General Counsel at Sunesis Pharmaceuticals, Inc., General Counsel at the Institute for OneWorld Health and earlier roles at Tularik Inc. and ALZA Corporation. Ms. Pierce received a B.A. from Yale University and a J.D. from Yale Law School.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931"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COMPENSATION DISCUSSION AND ANALYSIS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became a public company in April 2019, and in 2020 and 2021 we filed our proxy statements under the scaled-down reporting rules applicable to emerging growth companies. At the end of 2021, we ceased to be an emerging growth company as defined by applicable reporting rules, and, therefore, this Proxy Statement includes additional detail regarding executive compensation that was previously not required, including: this Compensation Discussion and Analysis, or CD&amp;A; additional compensation tables for “Grants of Plan-Based Awards in 2021,” “Option Exercises in 2021” and “Potential Payments upon Termination or Change in Control;” an advisory vote on the compensation of our named executive officers, which is included as Proposal 2 in this Proxy Statement; and an advisory vote on the preferred frequency of advisory votes on the compensation of our named executive officers, which is included as Proposal 3 in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Our named executive officers for 2021 are:</w:t>
      </w:r>
    </w:p>
    <w:p>
      <w:pPr>
        <w:spacing w:after="0" w:line="179"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David J. Woodhouse, Ph.D., our Chief Executive Officer;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Siobhan Nolan Mangini, our Chief Financial Officer;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Jin-Long Chen, Ph.D., our Founder and Chief Scientific Officer;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Hsiao D. Lieu, M.D., our Senior Vice President and Chief Medical Officer;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Valerie Pierce, our Secretary, Senior Vice President, General Counsel and Chief Compliance Officer.</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This CD&amp;A discusses the principles underlying our policies and decisions with respect to the compensation of our named executive officers and all material factors relevant to an analysis of these policies and decisions.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 of Business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 biopharmaceutical company focused on discovering and developing novel, potentially life-changing medicines for people whose health and lives have been disrupted by disease. Our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Currently, we have seven disclosed programs, including four in Phase 2 or 2b studies, across three therapeutic areas: cancer, retinal diseases and liver and metabolic diseases.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Accomplishments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2021 was a transformational year for us. We made significant progress advancing our pipeline, which now includes six programs in the clinic.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Our key accomplishments in 2021 included the following:</w:t>
      </w:r>
    </w:p>
    <w:p>
      <w:pPr>
        <w:spacing w:after="0" w:line="179"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Raised $134.6 million in net proceeds in a follow-on public offering of common stock.</w:t>
      </w:r>
    </w:p>
    <w:p>
      <w:pPr>
        <w:spacing w:after="0" w:line="93"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Renegotiated our collaboration agreement with Merck, Sharp &amp; Dohme, Inc, or Merck, to regain worldwide rights to our disclosed oncology programs and to narrow the scope of the collaboration to focus primarily on the discovery and development of novel medicines for unmet patient needs in retinal and cardiovascular and metabolic diseases, including heart failure.</w:t>
      </w:r>
    </w:p>
    <w:p>
      <w:pPr>
        <w:spacing w:after="0" w:line="48"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Completed enrollment of the Phase 2 CATALINA trial of NGM621, a monoclonal antibody product candidate against complement C3, in patients with geographic atrophy, or GA, secondary to age-related macular degeneration, totaling 320 patients at 65 sites in the United States.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Presented the results of a Phase 1 trial of NGM621 in patients with GA at the Angiogenesis, Exudation, and Degeneration Annual Meeting and the Association for Research in Vision and Ophthalmology (ARVO) 2021 Annual Meeting and published the data in the American Journal of Ophthalmology.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931" w:right="319" w:bottom="1440" w:gutter="0" w:footer="0" w:header="0"/>
        </w:sectPr>
      </w:pPr>
    </w:p>
    <w:bookmarkStart w:id="24" w:name="page25"/>
    <w:bookmarkEnd w:id="24"/>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Initiated the placebo-controlled Phase 2 portion of the PINNACLES trial of NGM120, a novel GFRAL antagonist antibody product candidate, in combination with gemcitabine and Nab-paclitaxel as a first-line treatment in patients with metastatic pancreatic cancer.</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Presented preliminary findings from an ongoing, open-label Phase 1a/1b dose escalation trial of NGM120 in patients with advanced solid tumors at the European Society for Medical Oncology (ESMO) Virtual Congress.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Initiated a Phase 1/2 trial of NGM707, a dual ILT2/ILT4 antagonist antibody product candidate, as a monotherapy and in combination with KEYTRUDA® (pembrolizumab), in patients with advanced solid tumors and progressed the trial through multiple dose cohorts in the Phase 1a monotherapy dose escalation.</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Entered into a clinical trial collaboration and supply agreement with Merck related to our ongoing Phase 1/2 trial of NGM707 in combination with Merck’s KEYTRUDA® (pembrolizumab).</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Disclosed our fourth oncology development candidate, NGM831, an ILT3 antagonist antibody product candidate, further establishing our growing portfolio of development candidates focused on tumor stroma biology and myeloid reprogramming.</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Enrolled patients in ALPINE 4, the Phase 2b trial of aldafermin in patients with compensated non-alcoholic steatohepatitis cirrhosis (F4 NASH), throughout 2021, enabling us to complete enrollment in January 2022.</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Compensation Philosophy and Pay-for-Performance Emphasis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Our overall compensation philosophy and executive officer compensation program is guided by the following objectives and principles:</w:t>
      </w:r>
    </w:p>
    <w:p>
      <w:pPr>
        <w:spacing w:after="0" w:line="179"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structure executive compensation to reward and motivate executive officers who contribute to the achievement of our operational and strategic objectives;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attract and retain executive officers who contribute to our Company’s ongoing performance and long-term success;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link executive officer compensation and stockholder interests through the grant of long-term equity incentives.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seek to attract, motivate and retain highly qualified executive officers by compensating them competitively, consistent with our success and their contribution to that success. Our ability to excel depends on the skills, creativity, integrity and teamwork of all of our employees, including our executive officers, in service of not only our short-term goals, but also our broader long-term strategic objectives. Given the long product development cycles in the biopharmaceutical industry, our Compensation Committee believes that compensation paid to our executive officers should be aligned with both our short- and long-term performance and results intended to create stockholder value. Furthermore, compensation paid to our executive officers is intended to enhance our ability to attract and retain highly qualified executives in a competitive talent market. Mindful of these principles, we have structured our compensation program to ensure that a significant portion of our executive officers’ compensation opportunity is related to factors that are designed to enhance stockholder value and facilitate attracting and retaining qualified key executives who are critical to our long-term success.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 significant percentage of target compensation for our Chief Executive Officer and other named executive officers is structured in the form of “at-risk” compensation, consisting of the opportunity to earn annual performance bonus payments dependent upon Company and individual performance and stock option grants. We believe this approach best aligns our executive officers’ interests with those of our stockholders for both near- and long-term performance. Target total compensation for our named executive officers for 2021, as shown below, reflects annual base salary, each individual’s bonus paid out at target (as further described below under the heading “Performance-Based Bonus Program”) and the grant date fair value of equity awards granted during the year (as reported in “Executive Compensation—Summary Compensation Table” below).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931" w:right="31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600710</wp:posOffset>
            </wp:positionV>
            <wp:extent cx="4608195" cy="3395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608195" cy="339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Features of our Executive Compensation Program</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88048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21" w:lineRule="exact"/>
        <w:rPr>
          <w:sz w:val="20"/>
          <w:szCs w:val="20"/>
          <w:color w:val="auto"/>
        </w:rPr>
      </w:pPr>
    </w:p>
    <w:p>
      <w:pPr>
        <w:ind w:left="180" w:hanging="161"/>
        <w:spacing w:after="0"/>
        <w:tabs>
          <w:tab w:leader="none" w:pos="180" w:val="left"/>
        </w:tabs>
        <w:numPr>
          <w:ilvl w:val="0"/>
          <w:numId w:val="20"/>
        </w:numPr>
        <w:rPr>
          <w:rFonts w:ascii="MS PGothic" w:cs="MS PGothic" w:eastAsia="MS PGothic" w:hAnsi="MS PGothic"/>
          <w:sz w:val="14"/>
          <w:szCs w:val="14"/>
          <w:color w:val="auto"/>
        </w:rPr>
      </w:pPr>
      <w:r>
        <w:rPr>
          <w:rFonts w:ascii="Arial" w:cs="Arial" w:eastAsia="Arial" w:hAnsi="Arial"/>
          <w:sz w:val="14"/>
          <w:szCs w:val="14"/>
          <w:color w:val="auto"/>
        </w:rPr>
        <w:t>Design executive compensation to align pay with performance</w:t>
      </w:r>
    </w:p>
    <w:p>
      <w:pPr>
        <w:spacing w:after="0" w:line="83" w:lineRule="exact"/>
        <w:rPr>
          <w:rFonts w:ascii="MS PGothic" w:cs="MS PGothic" w:eastAsia="MS PGothic" w:hAnsi="MS PGothic"/>
          <w:sz w:val="14"/>
          <w:szCs w:val="14"/>
          <w:color w:val="auto"/>
        </w:rPr>
      </w:pPr>
    </w:p>
    <w:p>
      <w:pPr>
        <w:ind w:left="20" w:hanging="1"/>
        <w:spacing w:after="0" w:line="258" w:lineRule="auto"/>
        <w:tabs>
          <w:tab w:leader="none" w:pos="176" w:val="left"/>
        </w:tabs>
        <w:numPr>
          <w:ilvl w:val="0"/>
          <w:numId w:val="20"/>
        </w:numPr>
        <w:rPr>
          <w:rFonts w:ascii="MS PGothic" w:cs="MS PGothic" w:eastAsia="MS PGothic" w:hAnsi="MS PGothic"/>
          <w:sz w:val="14"/>
          <w:szCs w:val="14"/>
          <w:color w:val="auto"/>
        </w:rPr>
      </w:pPr>
      <w:r>
        <w:rPr>
          <w:rFonts w:ascii="Arial" w:cs="Arial" w:eastAsia="Arial" w:hAnsi="Arial"/>
          <w:sz w:val="14"/>
          <w:szCs w:val="14"/>
          <w:color w:val="auto"/>
        </w:rPr>
        <w:t>Emphasize long-term equity incentives, with the majority of executive compensation being “at-risk”</w:t>
      </w:r>
    </w:p>
    <w:p>
      <w:pPr>
        <w:spacing w:after="0" w:line="35" w:lineRule="exact"/>
        <w:rPr>
          <w:rFonts w:ascii="MS PGothic" w:cs="MS PGothic" w:eastAsia="MS PGothic" w:hAnsi="MS PGothic"/>
          <w:sz w:val="14"/>
          <w:szCs w:val="14"/>
          <w:color w:val="auto"/>
        </w:rPr>
      </w:pPr>
    </w:p>
    <w:p>
      <w:pPr>
        <w:ind w:left="20" w:right="180" w:hanging="1"/>
        <w:spacing w:after="0" w:line="258" w:lineRule="auto"/>
        <w:tabs>
          <w:tab w:leader="none" w:pos="176" w:val="left"/>
        </w:tabs>
        <w:numPr>
          <w:ilvl w:val="0"/>
          <w:numId w:val="20"/>
        </w:numPr>
        <w:rPr>
          <w:rFonts w:ascii="MS PGothic" w:cs="MS PGothic" w:eastAsia="MS PGothic" w:hAnsi="MS PGothic"/>
          <w:sz w:val="14"/>
          <w:szCs w:val="14"/>
          <w:color w:val="auto"/>
        </w:rPr>
      </w:pPr>
      <w:r>
        <w:rPr>
          <w:rFonts w:ascii="Arial" w:cs="Arial" w:eastAsia="Arial" w:hAnsi="Arial"/>
          <w:sz w:val="14"/>
          <w:szCs w:val="14"/>
          <w:color w:val="auto"/>
        </w:rPr>
        <w:t>Reevaluate and adjust our program annually based on company and market developments and stockholder feedback</w:t>
      </w:r>
    </w:p>
    <w:p>
      <w:pPr>
        <w:spacing w:after="0" w:line="35" w:lineRule="exact"/>
        <w:rPr>
          <w:rFonts w:ascii="MS PGothic" w:cs="MS PGothic" w:eastAsia="MS PGothic" w:hAnsi="MS PGothic"/>
          <w:sz w:val="14"/>
          <w:szCs w:val="14"/>
          <w:color w:val="auto"/>
        </w:rPr>
      </w:pPr>
    </w:p>
    <w:p>
      <w:pPr>
        <w:ind w:left="180" w:hanging="161"/>
        <w:spacing w:after="0"/>
        <w:tabs>
          <w:tab w:leader="none" w:pos="180" w:val="left"/>
        </w:tabs>
        <w:numPr>
          <w:ilvl w:val="0"/>
          <w:numId w:val="20"/>
        </w:numPr>
        <w:rPr>
          <w:rFonts w:ascii="MS PGothic" w:cs="MS PGothic" w:eastAsia="MS PGothic" w:hAnsi="MS PGothic"/>
          <w:sz w:val="14"/>
          <w:szCs w:val="14"/>
          <w:color w:val="auto"/>
        </w:rPr>
      </w:pPr>
      <w:r>
        <w:rPr>
          <w:rFonts w:ascii="Arial" w:cs="Arial" w:eastAsia="Arial" w:hAnsi="Arial"/>
          <w:sz w:val="14"/>
          <w:szCs w:val="14"/>
          <w:color w:val="auto"/>
        </w:rPr>
        <w:t>Discourage inappropriate risk-taking</w:t>
      </w:r>
    </w:p>
    <w:p>
      <w:pPr>
        <w:spacing w:after="0" w:line="72" w:lineRule="exact"/>
        <w:rPr>
          <w:rFonts w:ascii="MS PGothic" w:cs="MS PGothic" w:eastAsia="MS PGothic" w:hAnsi="MS PGothic"/>
          <w:sz w:val="14"/>
          <w:szCs w:val="14"/>
          <w:color w:val="auto"/>
        </w:rPr>
      </w:pPr>
    </w:p>
    <w:p>
      <w:pPr>
        <w:ind w:left="180" w:hanging="161"/>
        <w:spacing w:after="0"/>
        <w:tabs>
          <w:tab w:leader="none" w:pos="180" w:val="left"/>
        </w:tabs>
        <w:numPr>
          <w:ilvl w:val="0"/>
          <w:numId w:val="20"/>
        </w:numPr>
        <w:rPr>
          <w:rFonts w:ascii="MS PGothic" w:cs="MS PGothic" w:eastAsia="MS PGothic" w:hAnsi="MS PGothic"/>
          <w:sz w:val="14"/>
          <w:szCs w:val="14"/>
          <w:color w:val="auto"/>
        </w:rPr>
      </w:pPr>
      <w:r>
        <w:rPr>
          <w:rFonts w:ascii="Arial" w:cs="Arial" w:eastAsia="Arial" w:hAnsi="Arial"/>
          <w:sz w:val="14"/>
          <w:szCs w:val="14"/>
          <w:color w:val="auto"/>
        </w:rPr>
        <w:t>Prohibit hedging and pledging by officers and directors</w:t>
      </w:r>
    </w:p>
    <w:p>
      <w:pPr>
        <w:spacing w:after="0" w:line="72" w:lineRule="exact"/>
        <w:rPr>
          <w:rFonts w:ascii="MS PGothic" w:cs="MS PGothic" w:eastAsia="MS PGothic" w:hAnsi="MS PGothic"/>
          <w:sz w:val="14"/>
          <w:szCs w:val="14"/>
          <w:color w:val="auto"/>
        </w:rPr>
      </w:pPr>
    </w:p>
    <w:p>
      <w:pPr>
        <w:ind w:left="20" w:right="140" w:hanging="1"/>
        <w:spacing w:after="0" w:line="258" w:lineRule="auto"/>
        <w:tabs>
          <w:tab w:leader="none" w:pos="176" w:val="left"/>
        </w:tabs>
        <w:numPr>
          <w:ilvl w:val="0"/>
          <w:numId w:val="20"/>
        </w:numPr>
        <w:rPr>
          <w:rFonts w:ascii="MS PGothic" w:cs="MS PGothic" w:eastAsia="MS PGothic" w:hAnsi="MS PGothic"/>
          <w:sz w:val="14"/>
          <w:szCs w:val="14"/>
          <w:color w:val="auto"/>
        </w:rPr>
      </w:pPr>
      <w:r>
        <w:rPr>
          <w:rFonts w:ascii="Arial" w:cs="Arial" w:eastAsia="Arial" w:hAnsi="Arial"/>
          <w:sz w:val="14"/>
          <w:szCs w:val="14"/>
          <w:color w:val="auto"/>
        </w:rPr>
        <w:t>Engage an independent compensation consultant who reports directly to the Compensation Committee</w:t>
      </w:r>
    </w:p>
    <w:p>
      <w:pPr>
        <w:spacing w:after="0" w:line="35" w:lineRule="exact"/>
        <w:rPr>
          <w:rFonts w:ascii="MS PGothic" w:cs="MS PGothic" w:eastAsia="MS PGothic" w:hAnsi="MS PGothic"/>
          <w:sz w:val="14"/>
          <w:szCs w:val="14"/>
          <w:color w:val="auto"/>
        </w:rPr>
      </w:pPr>
    </w:p>
    <w:p>
      <w:pPr>
        <w:ind w:left="20" w:right="240" w:hanging="1"/>
        <w:spacing w:after="0" w:line="258" w:lineRule="auto"/>
        <w:tabs>
          <w:tab w:leader="none" w:pos="176" w:val="left"/>
        </w:tabs>
        <w:numPr>
          <w:ilvl w:val="0"/>
          <w:numId w:val="20"/>
        </w:numPr>
        <w:rPr>
          <w:rFonts w:ascii="MS PGothic" w:cs="MS PGothic" w:eastAsia="MS PGothic" w:hAnsi="MS PGothic"/>
          <w:sz w:val="14"/>
          <w:szCs w:val="14"/>
          <w:color w:val="auto"/>
        </w:rPr>
      </w:pPr>
      <w:r>
        <w:rPr>
          <w:rFonts w:ascii="Arial" w:cs="Arial" w:eastAsia="Arial" w:hAnsi="Arial"/>
          <w:sz w:val="14"/>
          <w:szCs w:val="14"/>
          <w:color w:val="auto"/>
        </w:rPr>
        <w:t>Have 100% independent directors on the Compensation Committee who meet regularly in independent session without management present</w:t>
      </w:r>
    </w:p>
    <w:p>
      <w:pPr>
        <w:spacing w:after="0" w:line="200" w:lineRule="exact"/>
        <w:rPr>
          <w:sz w:val="20"/>
          <w:szCs w:val="20"/>
          <w:color w:val="auto"/>
        </w:rPr>
      </w:pPr>
    </w:p>
    <w:p>
      <w:pPr>
        <w:spacing w:after="0" w:line="39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1800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0080" cy="6985"/>
                    </a:xfrm>
                    <a:prstGeom prst="rect">
                      <a:avLst/>
                    </a:prstGeom>
                    <a:noFill/>
                  </pic:spPr>
                </pic:pic>
              </a:graphicData>
            </a:graphic>
          </wp:anchor>
        </w:drawing>
      </w:r>
    </w:p>
    <w:p>
      <w:pPr>
        <w:spacing w:after="0" w:line="21" w:lineRule="exact"/>
        <w:rPr>
          <w:sz w:val="20"/>
          <w:szCs w:val="20"/>
          <w:color w:val="auto"/>
        </w:rPr>
      </w:pPr>
    </w:p>
    <w:p>
      <w:pPr>
        <w:spacing w:after="0" w:line="379" w:lineRule="auto"/>
        <w:rPr>
          <w:sz w:val="20"/>
          <w:szCs w:val="20"/>
          <w:color w:val="auto"/>
        </w:rPr>
      </w:pPr>
      <w:r>
        <w:rPr>
          <w:rFonts w:ascii="Arial" w:cs="Arial" w:eastAsia="Arial" w:hAnsi="Arial"/>
          <w:sz w:val="14"/>
          <w:szCs w:val="14"/>
          <w:color w:val="auto"/>
        </w:rPr>
        <w:t>X No excessive or “single-trigger” change in control or severance payments X No excise tax or other tax gross-ups</w:t>
      </w:r>
    </w:p>
    <w:p>
      <w:pPr>
        <w:spacing w:after="0" w:line="1" w:lineRule="exact"/>
        <w:rPr>
          <w:sz w:val="20"/>
          <w:szCs w:val="20"/>
          <w:color w:val="auto"/>
        </w:rPr>
      </w:pPr>
    </w:p>
    <w:p>
      <w:pPr>
        <w:ind w:right="1500"/>
        <w:spacing w:after="0" w:line="416" w:lineRule="auto"/>
        <w:rPr>
          <w:sz w:val="20"/>
          <w:szCs w:val="20"/>
          <w:color w:val="auto"/>
        </w:rPr>
      </w:pPr>
      <w:r>
        <w:rPr>
          <w:rFonts w:ascii="Arial" w:cs="Arial" w:eastAsia="Arial" w:hAnsi="Arial"/>
          <w:sz w:val="14"/>
          <w:szCs w:val="14"/>
          <w:color w:val="auto"/>
        </w:rPr>
        <w:t>X No guaranteed bonuses or base salary increases X No executive fringe benefits or perquisites</w:t>
      </w:r>
    </w:p>
    <w:p>
      <w:pPr>
        <w:sectPr>
          <w:pgSz w:w="11900" w:h="16838" w:orient="portrait"/>
          <w:cols w:equalWidth="0" w:num="2">
            <w:col w:w="6040" w:space="180"/>
            <w:col w:w="4720"/>
          </w:cols>
          <w:pgMar w:left="300" w:top="1440" w:right="65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Process for Determining 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Role of Our Compensation Committee and the Chief Executive Officer</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Compensation Committee is responsible for overseeing and approving the compensation of our executive officers. In this capacity, our Compensation Committee designs, implements, reviews and approves all compensation for our executive officers, except for our Chief Executive Officer and Executive Chairman, whose respective compensation is approved by our Board of Directors based on recommendations from our Compensation Committee. To aid the Compensation Committee in making its determination, our Chief Executive Officer provides recommendations annually to the Compensation Committee regarding the compensation of all executive officers (other than himself and the Executive Chairman) based on the overall corporate achievements during the period being assessed and his knowledge of the individual contributions to our success by each of the executive officers. The Compensation Committee takes these recommendations into consideration when determining the overall performance of the company and each of our executive officers individually, as demonstrated by progress against corporate goals and achievement against other corporate priorities.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Role of the Independent Compensation Consultant</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2021, the Compensation Committee engaged Aon’s Human Capital Solutions practice, a division of Aon plc (“Aon”), as its independent compensation consultant to examine various policies under the Compensation Committee’s charter. Aon reports directly to the Compensation Committee, and the Compensation Committee has the sole authority to hire, fire and direct the work of Aon. In 2021, Aon advised the Compensation Committee on a variety of compensation-related issues, including:</w:t>
      </w:r>
    </w:p>
    <w:p>
      <w:pPr>
        <w:spacing w:after="0" w:line="134"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identifying an updated peer group of companies for market comparison purposes;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gathering data on our executive officer cash and equity compensation relative to competitive market practices;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gathering data on peer group short- and long-term incentive practices;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gathering data on peer group equity use and dilution;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addressing trends and best practices in executive compensation to inform the Compensation Committee’s decisions;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developing a market-based framework for potential changes to our compensation program for the Compensation Committee’s review and input.</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After review and consultation with Aon, our Compensation Committee determined that Aon is independent, and that there is no conflict of interest resulting from retaining Aon currently or during 2021. In reaching these conclusions, our Compensation Committee considered the factors set forth in the SEC rules and the Nasdaq listing standards. Other than services provided to our Compensation Committee, Aon has not performed any other work for us.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Defining and Comparing Compensation to Market Benchmarks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Because we aim to attract and retain the most highly qualified executive officers in an extremely competitive market for talent, our Compensation Committee believes that it is important when making its compensation decisions to be informed as to the current practices of comparable public companies with which we compete for top talent. To this end, as described below, the Compensation Committee reviews certain market data compiled by Aon for each executive officer’s position, including information relating to the mix and levels of compensation for executive officers in the biopharmaceutical industry, with a focus on target total compensation in line with the Compensation Committee’s holistic approach to executive compensation. The use of market data is not formulaic, and the Compensation Committee considers market data as only one of the factors that informs its decisions, as described below.</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933"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color w:val="auto"/>
        </w:rPr>
        <w:t>Determination of 2021 Peer Group</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October 2020, our Compensation Committee, using information provided by Aon, established a peer group to be used in connection with making compensation decisions for 2021 based on a balance of industry focus, number of employees, state of development, complexity and market capitalization. Specifically, the selection was focused on public biopharmaceutical companies that are pre-commercial, with an emphasis on companies that have recently gone public and a preference for companies with product candidates in Phase 2 or Phase 3 clinical trials, as well as preclinical platform companies where appropriate, in each case meeting at least two of the following three criteria:</w:t>
      </w:r>
    </w:p>
    <w:p>
      <w:pPr>
        <w:spacing w:after="0" w:line="138" w:lineRule="exact"/>
        <w:rPr>
          <w:sz w:val="20"/>
          <w:szCs w:val="20"/>
          <w:color w:val="auto"/>
        </w:rPr>
      </w:pPr>
    </w:p>
    <w:p>
      <w:pPr>
        <w:ind w:left="520" w:hanging="260"/>
        <w:spacing w:after="0" w:line="29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companies with market capitalizations that range from approximately 0.3x to 3.0x our market capitalization at the time of selecting the peer group (i.e., $400 million to $3.6 billion);</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companies with 100 to 500 employees;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companies based in the United States, with a focus on companies headquartered within the Bay Area and other biotechnology hub locations.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Based on these criteria, in October 2020, Aon recommended, and our Compensation Committee approved, the following companies as our peer group for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Adverum Biotechnologies, Inc.</w:t>
            </w:r>
          </w:p>
        </w:tc>
        <w:tc>
          <w:tcPr>
            <w:tcW w:w="736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Editas Medicine, Inc.</w:t>
            </w:r>
          </w:p>
        </w:tc>
      </w:tr>
      <w:tr>
        <w:trPr>
          <w:trHeight w:val="180"/>
        </w:trPr>
        <w:tc>
          <w:tcPr>
            <w:tcW w:w="3920" w:type="dxa"/>
            <w:vAlign w:val="bottom"/>
          </w:tcPr>
          <w:p>
            <w:pPr>
              <w:ind w:left="20"/>
              <w:spacing w:after="0"/>
              <w:rPr>
                <w:sz w:val="20"/>
                <w:szCs w:val="20"/>
                <w:color w:val="auto"/>
              </w:rPr>
            </w:pPr>
            <w:r>
              <w:rPr>
                <w:rFonts w:ascii="Arial" w:cs="Arial" w:eastAsia="Arial" w:hAnsi="Arial"/>
                <w:sz w:val="14"/>
                <w:szCs w:val="14"/>
                <w:color w:val="auto"/>
              </w:rPr>
              <w:t>Alector, Inc.</w:t>
            </w:r>
          </w:p>
        </w:tc>
        <w:tc>
          <w:tcPr>
            <w:tcW w:w="7360" w:type="dxa"/>
            <w:vAlign w:val="bottom"/>
          </w:tcPr>
          <w:p>
            <w:pPr>
              <w:ind w:left="1720"/>
              <w:spacing w:after="0"/>
              <w:rPr>
                <w:sz w:val="20"/>
                <w:szCs w:val="20"/>
                <w:color w:val="auto"/>
              </w:rPr>
            </w:pPr>
            <w:r>
              <w:rPr>
                <w:rFonts w:ascii="Arial" w:cs="Arial" w:eastAsia="Arial" w:hAnsi="Arial"/>
                <w:sz w:val="14"/>
                <w:szCs w:val="14"/>
                <w:color w:val="auto"/>
              </w:rPr>
              <w:t>Fate Therapeutics, Inc.</w:t>
            </w:r>
          </w:p>
        </w:tc>
      </w:t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Allogene Therapeutics, Inc.</w:t>
            </w:r>
          </w:p>
        </w:tc>
        <w:tc>
          <w:tcPr>
            <w:tcW w:w="736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Gossamer Bio, Inc.</w:t>
            </w:r>
          </w:p>
        </w:tc>
      </w:tr>
      <w:tr>
        <w:trPr>
          <w:trHeight w:val="180"/>
        </w:trPr>
        <w:tc>
          <w:tcPr>
            <w:tcW w:w="3920" w:type="dxa"/>
            <w:vAlign w:val="bottom"/>
          </w:tcPr>
          <w:p>
            <w:pPr>
              <w:ind w:left="20"/>
              <w:spacing w:after="0"/>
              <w:rPr>
                <w:sz w:val="20"/>
                <w:szCs w:val="20"/>
                <w:color w:val="auto"/>
              </w:rPr>
            </w:pPr>
            <w:r>
              <w:rPr>
                <w:rFonts w:ascii="Arial" w:cs="Arial" w:eastAsia="Arial" w:hAnsi="Arial"/>
                <w:sz w:val="14"/>
                <w:szCs w:val="14"/>
                <w:color w:val="auto"/>
              </w:rPr>
              <w:t>AnaptysBio, Inc.</w:t>
            </w:r>
          </w:p>
        </w:tc>
        <w:tc>
          <w:tcPr>
            <w:tcW w:w="7360" w:type="dxa"/>
            <w:vAlign w:val="bottom"/>
          </w:tcPr>
          <w:p>
            <w:pPr>
              <w:ind w:left="1720"/>
              <w:spacing w:after="0"/>
              <w:rPr>
                <w:sz w:val="20"/>
                <w:szCs w:val="20"/>
                <w:color w:val="auto"/>
              </w:rPr>
            </w:pPr>
            <w:r>
              <w:rPr>
                <w:rFonts w:ascii="Arial" w:cs="Arial" w:eastAsia="Arial" w:hAnsi="Arial"/>
                <w:sz w:val="14"/>
                <w:szCs w:val="14"/>
                <w:color w:val="auto"/>
              </w:rPr>
              <w:t>Intellia Therapeutics, Inc.</w:t>
            </w:r>
          </w:p>
        </w:tc>
      </w:t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Apellis Pharmaceuticals, Inc.</w:t>
            </w:r>
          </w:p>
        </w:tc>
        <w:tc>
          <w:tcPr>
            <w:tcW w:w="736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Madrigal Pharmaceuticals, Inc.</w:t>
            </w:r>
          </w:p>
        </w:tc>
      </w:tr>
      <w:tr>
        <w:trPr>
          <w:trHeight w:val="180"/>
        </w:trPr>
        <w:tc>
          <w:tcPr>
            <w:tcW w:w="3920" w:type="dxa"/>
            <w:vAlign w:val="bottom"/>
          </w:tcPr>
          <w:p>
            <w:pPr>
              <w:ind w:left="20"/>
              <w:spacing w:after="0"/>
              <w:rPr>
                <w:sz w:val="20"/>
                <w:szCs w:val="20"/>
                <w:color w:val="auto"/>
              </w:rPr>
            </w:pPr>
            <w:r>
              <w:rPr>
                <w:rFonts w:ascii="Arial" w:cs="Arial" w:eastAsia="Arial" w:hAnsi="Arial"/>
                <w:sz w:val="14"/>
                <w:szCs w:val="14"/>
                <w:color w:val="auto"/>
              </w:rPr>
              <w:t>Arcus Biosciences, Inc.</w:t>
            </w:r>
          </w:p>
        </w:tc>
        <w:tc>
          <w:tcPr>
            <w:tcW w:w="7360" w:type="dxa"/>
            <w:vAlign w:val="bottom"/>
          </w:tcPr>
          <w:p>
            <w:pPr>
              <w:ind w:left="1720"/>
              <w:spacing w:after="0"/>
              <w:rPr>
                <w:sz w:val="20"/>
                <w:szCs w:val="20"/>
                <w:color w:val="auto"/>
              </w:rPr>
            </w:pPr>
            <w:r>
              <w:rPr>
                <w:rFonts w:ascii="Arial" w:cs="Arial" w:eastAsia="Arial" w:hAnsi="Arial"/>
                <w:sz w:val="14"/>
                <w:szCs w:val="14"/>
                <w:color w:val="auto"/>
              </w:rPr>
              <w:t>Odonate Therapeutics, Inc.</w:t>
            </w:r>
          </w:p>
        </w:tc>
      </w:t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Atara Biotherapeutics, Inc.</w:t>
            </w:r>
          </w:p>
        </w:tc>
        <w:tc>
          <w:tcPr>
            <w:tcW w:w="736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Replimune Group, Inc.</w:t>
            </w:r>
          </w:p>
        </w:tc>
      </w:tr>
      <w:tr>
        <w:trPr>
          <w:trHeight w:val="180"/>
        </w:trPr>
        <w:tc>
          <w:tcPr>
            <w:tcW w:w="3920" w:type="dxa"/>
            <w:vAlign w:val="bottom"/>
          </w:tcPr>
          <w:p>
            <w:pPr>
              <w:ind w:left="20"/>
              <w:spacing w:after="0"/>
              <w:rPr>
                <w:sz w:val="20"/>
                <w:szCs w:val="20"/>
                <w:color w:val="auto"/>
              </w:rPr>
            </w:pPr>
            <w:r>
              <w:rPr>
                <w:rFonts w:ascii="Arial" w:cs="Arial" w:eastAsia="Arial" w:hAnsi="Arial"/>
                <w:sz w:val="14"/>
                <w:szCs w:val="14"/>
                <w:color w:val="auto"/>
              </w:rPr>
              <w:t>Constellation Pharmaceuticals, Inc.</w:t>
            </w:r>
          </w:p>
        </w:tc>
        <w:tc>
          <w:tcPr>
            <w:tcW w:w="7360" w:type="dxa"/>
            <w:vAlign w:val="bottom"/>
          </w:tcPr>
          <w:p>
            <w:pPr>
              <w:ind w:left="1720"/>
              <w:spacing w:after="0"/>
              <w:rPr>
                <w:sz w:val="20"/>
                <w:szCs w:val="20"/>
                <w:color w:val="auto"/>
              </w:rPr>
            </w:pPr>
            <w:r>
              <w:rPr>
                <w:rFonts w:ascii="Arial" w:cs="Arial" w:eastAsia="Arial" w:hAnsi="Arial"/>
                <w:sz w:val="14"/>
                <w:szCs w:val="14"/>
                <w:color w:val="auto"/>
              </w:rPr>
              <w:t>Rubius Therapeutics, Inc.</w:t>
            </w:r>
          </w:p>
        </w:tc>
      </w:t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CytomX Therapeutics, Inc.</w:t>
            </w:r>
          </w:p>
        </w:tc>
        <w:tc>
          <w:tcPr>
            <w:tcW w:w="736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Tricida, Inc.</w:t>
            </w:r>
          </w:p>
        </w:tc>
      </w:tr>
      <w:tr>
        <w:trPr>
          <w:trHeight w:val="180"/>
        </w:trPr>
        <w:tc>
          <w:tcPr>
            <w:tcW w:w="3920" w:type="dxa"/>
            <w:vAlign w:val="bottom"/>
          </w:tcPr>
          <w:p>
            <w:pPr>
              <w:ind w:left="20"/>
              <w:spacing w:after="0"/>
              <w:rPr>
                <w:sz w:val="20"/>
                <w:szCs w:val="20"/>
                <w:color w:val="auto"/>
              </w:rPr>
            </w:pPr>
            <w:r>
              <w:rPr>
                <w:rFonts w:ascii="Arial" w:cs="Arial" w:eastAsia="Arial" w:hAnsi="Arial"/>
                <w:sz w:val="14"/>
                <w:szCs w:val="14"/>
                <w:color w:val="auto"/>
              </w:rPr>
              <w:t>Denali Therapeutics Inc.</w:t>
            </w:r>
          </w:p>
        </w:tc>
        <w:tc>
          <w:tcPr>
            <w:tcW w:w="7360" w:type="dxa"/>
            <w:vAlign w:val="bottom"/>
          </w:tcPr>
          <w:p>
            <w:pPr>
              <w:ind w:left="1720"/>
              <w:spacing w:after="0"/>
              <w:rPr>
                <w:sz w:val="20"/>
                <w:szCs w:val="20"/>
                <w:color w:val="auto"/>
              </w:rPr>
            </w:pPr>
            <w:r>
              <w:rPr>
                <w:rFonts w:ascii="Arial" w:cs="Arial" w:eastAsia="Arial" w:hAnsi="Arial"/>
                <w:sz w:val="14"/>
                <w:szCs w:val="14"/>
                <w:color w:val="auto"/>
              </w:rPr>
              <w:t>Turning Point Therapeutics, Inc.</w:t>
            </w:r>
          </w:p>
        </w:tc>
      </w:t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Dicerna Pharmaceuticals, Inc.</w:t>
            </w:r>
          </w:p>
        </w:tc>
        <w:tc>
          <w:tcPr>
            <w:tcW w:w="736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Voyager Therapeutics, Inc.</w:t>
            </w: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At the time of approval of the 2021 peer group, our market cap was between the 50th and 60th percentiles of the peer companies, reflecting strong alignment with the companies selected for inclusion.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Market Data</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late 2020, Aon completed an assessment of executive compensation based on our chosen 2021 peer group to inform the Compensation Committee’s determination of executive compensation for 2021. This assessment used market data that was compiled from multiple sources and provided by Aon to the Compensation Committee, including: (i) data from the Aon Global Life Sciences Survey with respect to the 2021 peer group companies listed above, or the peer survey data; (ii) the 2021 peer group companies’ publicly disclosed information, or public peer data; and (iii) data from public biotechnology and pharmaceutical companies in the Aon Global Life Sciences Survey, or the general survey data, which included survey data with respect to our selected 2021 peer group companies. Generally, peer survey data and public peer data are used in establishing market data reference points, and the general survey data is used when there is a lack of peer survey data and public peer data for an executive officer’s position. The peer survey data, the general survey data and the public peer data are collectively referred to in this Proxy Statement as market data.</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Compensation Committee reviews each executive officer’s target total compensation, comprising both target total cash compensation (consisting of base salary and annual target performance-based bonus) and equity compensation, against the market data described above primarily to ensure that our executive compensation program, as a whole, is positioned competitively to attract and retain the highest caliber of executive officers and that the total compensation opportunity for the executive officer group is aligned with our corporate objectives and strategic needs. However, the Compensation Committee recognizes that its compensation decisions may result in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933" w:right="319" w:bottom="1440" w:gutter="0" w:footer="0" w:header="0"/>
        </w:sectPr>
      </w:pPr>
    </w:p>
    <w:bookmarkStart w:id="28" w:name="page29"/>
    <w:bookmarkEnd w:id="28"/>
    <w:p>
      <w:pPr>
        <w:jc w:val="both"/>
        <w:spacing w:after="0" w:line="258" w:lineRule="auto"/>
        <w:rPr>
          <w:sz w:val="20"/>
          <w:szCs w:val="20"/>
          <w:color w:val="auto"/>
        </w:rPr>
      </w:pPr>
      <w:r>
        <w:rPr>
          <w:rFonts w:ascii="Arial" w:cs="Arial" w:eastAsia="Arial" w:hAnsi="Arial"/>
          <w:sz w:val="14"/>
          <w:szCs w:val="14"/>
          <w:color w:val="auto"/>
        </w:rPr>
        <w:t>compensation that is higher or lower than that paid by peer companies for similar positions based on the Compensation Committee’s exercise of its discretion and its consideration of factors such as experience, scope of position, position criticality and career arc. Our Compensation Committee believes that over-reliance on benchmarking against market data, particularly peer survey data, can result in compensation that is unrelated to the value delivered by our executive officers because compensation benchmarking does not take into account company-to-company variations among actual roles with similar titles or the specific performance of the individual executive officer. Additionally, due to the nature of our business, we compete for executive talent with many companies that are not similar to our peer companies, including with public companies that are larger and more established than we are or that possess greater resources than we do and, particularly for certain roles, that may be in industries other than biotechnology, with smaller private companies that may be able to offer greater equity compensation potential and with prestigious academic and non-profit institutions. Compensation data for such companies and institutions is not reflected in the market data.</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the Compensation Committee does not use a formulaic approach to set pay at a particular positioning within the market data; rather, the Compensation Committee reviews a range of market data reference points as one factor before making compensation determinations for employees generally and on an individual basis for each executive officer. While the Compensation Committee views a range of reference points, it generally considers the 60th percentile of market data for base salary and the 50th percentile of market data for each of annual target bonus awards, long-term incentive compensation and target total direct compensation as appropriate general targets to take into consideration when determining overall employee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Used in Determining Executive Compensation</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When determining the compensation of each of our executive officers, our Compensation Committee, with input from our Chief Executive Officer and reference to the market data, generally considers a number of key factors, including:</w:t>
      </w:r>
    </w:p>
    <w:p>
      <w:pPr>
        <w:spacing w:after="0" w:line="120"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overall corporate performance,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performance against our intentionally aggressive annual corporate goals and other corporate priorities;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market trends and pressures;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experience level of the executive officer and the scope and criticality of their role;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executive officer’s individual performance and career trajectory;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internal pay equity;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need to attract and retain talent in a competitive market;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impact of aggregate compensation on the annual budget and stockholder dilution.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making decisions regarding executive compensation, the Compensation Committee members also exercise their independent judgment and bring to bear their experience and understanding of compensation practices in the biopharmaceutical industry.</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Elements of Executive Compensation; 2021 Compensation Decisions for our Named Executive Officers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primary components of our executive compensation program are base salary, annual performance-based cash bonus awards and annual option awards. We believe that these components, along with our other benefits, foster a productive work environment that offers our employees the flexibility and opportunity to thrive in a collaborative atmosphere and to receive meaningful rewards and recognition for their contributions to our growth and success. We view these components of compensation as related but distinct. While annual cash bonus awards and annual option awards are not guaranteed, we believe that, as is common in the biopharmaceutical industry, base salary, annual cash bonuses and equity-based awards are all necessary to attract and retain employees. To date, we have not adopted any formal policies or guidelines for allocating compensation between long- and short-term compensation, or between cash and non-cash compensation. However, as described above, in practice the vast majority of compensation for our named executive officers is structured in the form of “at-risk” compensation, intentionally designed to align our executive officers’ interests with those of our stockholders for near- and long-term performance.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931"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Base Salaries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Base salary is an important element of compensation to attract and retain our executive officers. We provide base salary as a fixed source of cash compensation to recognize each named executive officer’s day-to-day responsibilities, while providing an appropriate and competitive base level of current cash income. Adjustments to base salaries are generally based on the scope of the executive officer’s responsibilities, position criticality, experience and tenure, as well as current market data regarding similar positions and other factors described above. Base salary increases are not formulaic or guaranteed.</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early 2021, the 2021 annual base salaries of our named executive officers were determined and approved by our Board of Directors (with respect to Dr. Woodhouse) and by our Compensation Committee (with respect to our other named executive officers), with retroactive effect to January 1, 2021. The base salary increases principally reflected general merit and competitive market adjustments. In particular, with respect to Dr. Woodhouse, the adjustment was made to address the competitive positioning of his base salary, which was below the 25th percentile of the market data collected by Aon. After giving effect to Dr. Woodhouse’s base salary increase, his base salary was positioned at the 25th percentile of the market data. The base salary of Dr. Chen was positioned at the 75th percentile of the market data in light of the criticality of the Chief Scientific Officer position to our Company generally, as well as recognition of Dr. Chen’s founder status, excellent performance and significant ongoing contributions to the culture of our Company. The base salaries of the other named executive officers were positioned between the 25th and 50th percentiles of the market data. The following table shows each named executive officer’s 2021 annual base salary: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2020 Annual Base</w:t>
            </w:r>
          </w:p>
        </w:tc>
        <w:tc>
          <w:tcPr>
            <w:tcW w:w="15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2021 Annual Base</w:t>
            </w:r>
          </w:p>
        </w:tc>
        <w:tc>
          <w:tcPr>
            <w:tcW w:w="150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Percent Increase</w:t>
            </w:r>
          </w:p>
        </w:tc>
        <w:tc>
          <w:tcPr>
            <w:tcW w:w="0" w:type="dxa"/>
            <w:vAlign w:val="bottom"/>
          </w:tcPr>
          <w:p>
            <w:pPr>
              <w:spacing w:after="0"/>
              <w:rPr>
                <w:sz w:val="1"/>
                <w:szCs w:val="1"/>
                <w:color w:val="auto"/>
              </w:rPr>
            </w:pPr>
          </w:p>
        </w:tc>
      </w:tr>
      <w:tr>
        <w:trPr>
          <w:trHeight w:val="170"/>
        </w:trPr>
        <w:tc>
          <w:tcPr>
            <w:tcW w:w="6660" w:type="dxa"/>
            <w:vAlign w:val="bottom"/>
            <w:gridSpan w:val="2"/>
            <w:vMerge w:val="continue"/>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Salary ($)</w:t>
            </w:r>
          </w:p>
        </w:tc>
        <w:tc>
          <w:tcPr>
            <w:tcW w:w="15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Salary ($)</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David J. Woodhouse, Ph.D.</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525,000</w:t>
            </w:r>
          </w:p>
        </w:tc>
        <w:tc>
          <w:tcPr>
            <w:tcW w:w="1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580,000</w:t>
            </w:r>
          </w:p>
        </w:tc>
        <w:tc>
          <w:tcPr>
            <w:tcW w:w="16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80"/>
        </w:trPr>
        <w:tc>
          <w:tcPr>
            <w:tcW w:w="666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Siobhan Nolan Mangini </w:t>
            </w:r>
            <w:r>
              <w:rPr>
                <w:rFonts w:ascii="Arial" w:cs="Arial" w:eastAsia="Arial" w:hAnsi="Arial"/>
                <w:sz w:val="18"/>
                <w:szCs w:val="18"/>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4"/>
                <w:szCs w:val="14"/>
                <w:color w:val="auto"/>
              </w:rPr>
              <w:t>425,000</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435,000</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Jin-Long Chen, Ph.D.</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515,000</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530,000</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80"/>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Hsiao D. Lieu, M.D.</w:t>
            </w:r>
          </w:p>
        </w:tc>
        <w:tc>
          <w:tcPr>
            <w:tcW w:w="1480" w:type="dxa"/>
            <w:vAlign w:val="bottom"/>
          </w:tcPr>
          <w:p>
            <w:pPr>
              <w:jc w:val="right"/>
              <w:spacing w:after="0"/>
              <w:rPr>
                <w:sz w:val="20"/>
                <w:szCs w:val="20"/>
                <w:color w:val="auto"/>
              </w:rPr>
            </w:pPr>
            <w:r>
              <w:rPr>
                <w:rFonts w:ascii="Arial" w:cs="Arial" w:eastAsia="Arial" w:hAnsi="Arial"/>
                <w:sz w:val="14"/>
                <w:szCs w:val="14"/>
                <w:color w:val="auto"/>
              </w:rPr>
              <w:t>432,000</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450,000</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Valerie Pierce</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395,000</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412,000</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98" w:lineRule="exact"/>
        <w:rPr>
          <w:sz w:val="20"/>
          <w:szCs w:val="20"/>
          <w:color w:val="auto"/>
        </w:rPr>
      </w:pPr>
    </w:p>
    <w:p>
      <w:pPr>
        <w:ind w:left="520" w:hanging="515"/>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Ms. Nolan Mangini joined the Company in July 2020.</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Performance-Based Bonus Program</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maintain an annual cash performance-based bonus program in which all employees, including executive officers, who are employed by us as of September 30 of the performance year are eligible to participate. The potential for annual cash bonuses is intended to provide financial incentives to employees to drive individual and Company performance and achievement of annual corporate goals. Whether a bonus is paid to any executive officer in any given year is solely within the discretion of the Compensation Committee (or the Board, as appropriate) and is dependent primarily on an assessment of Company and individual performance. As a result, we consider annual performance bonuses to be a form of “at-risk” compensation that is designed to align our executive officers’ interests with those of our stockholders.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annual cash bonus targets for our executive officers are set by the Compensation Committee (or, with respect to our Chief Executive Officer and Executive Chairman, by our Board of Directors) as a percentage of each executive officer’s base salary. Prior to 2021, the bonus targets for our executive officers were set at below-market levels as we gradually transitioned from the 12% target in place prior to our initial public offering to more competitive bonus targets based on market data. Bonus targets for 2020 for our executive officers were originally set at 25% of their respective base salaries. After reviewing peer company data with Aon, in October 2020, the Compensation Committee decided to increase the bonus targets for employees at the vice president level and above, including our executive officers, to 30% for 2020. In 2021, based on the Compensation Committee’s (or the Board’s, as appropriate) analysis of the market data with respect to annual bonus targets and target total cash compensation, the Compensation Committee (and our Board, as appropriate) determined to increase each named executive officer’s bonus target for 2021 from 30% to the applicable percentage set forth in the table below in an effort to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931" w:right="319" w:bottom="1440" w:gutter="0" w:footer="0" w:header="0"/>
        </w:sectPr>
      </w:pPr>
    </w:p>
    <w:bookmarkStart w:id="30" w:name="page31"/>
    <w:bookmarkEnd w:id="30"/>
    <w:p>
      <w:pPr>
        <w:ind w:left="80"/>
        <w:spacing w:after="0"/>
        <w:rPr>
          <w:sz w:val="20"/>
          <w:szCs w:val="20"/>
          <w:color w:val="auto"/>
        </w:rPr>
      </w:pPr>
      <w:r>
        <w:rPr>
          <w:rFonts w:ascii="Arial" w:cs="Arial" w:eastAsia="Arial" w:hAnsi="Arial"/>
          <w:sz w:val="14"/>
          <w:szCs w:val="14"/>
          <w:color w:val="auto"/>
        </w:rPr>
        <w:t>move the opportunity to earn a bonus to, or closer to, the market 50th percentile for similar positions, while taking into consideration internal equity and experience in role.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Arial" w:cs="Arial" w:eastAsia="Arial" w:hAnsi="Arial"/>
                <w:sz w:val="13"/>
                <w:szCs w:val="13"/>
                <w:b w:val="1"/>
                <w:bCs w:val="1"/>
                <w:color w:val="auto"/>
              </w:rPr>
              <w:t>2021 Target Bonus Award Relative to Peer Data</w:t>
            </w:r>
          </w:p>
        </w:tc>
      </w:tr>
      <w:tr>
        <w:trPr>
          <w:trHeight w:val="180"/>
        </w:trPr>
        <w:tc>
          <w:tcPr>
            <w:tcW w:w="48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38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2021 Target Bonus Award (percent of base salary)</w:t>
            </w:r>
          </w:p>
        </w:tc>
        <w:tc>
          <w:tcPr>
            <w:tcW w:w="3120" w:type="dxa"/>
            <w:vAlign w:val="bottom"/>
          </w:tcPr>
          <w:p>
            <w:pPr>
              <w:ind w:left="1220"/>
              <w:spacing w:after="0"/>
              <w:rPr>
                <w:sz w:val="20"/>
                <w:szCs w:val="20"/>
                <w:color w:val="auto"/>
              </w:rPr>
            </w:pPr>
            <w:r>
              <w:rPr>
                <w:rFonts w:ascii="Arial" w:cs="Arial" w:eastAsia="Arial" w:hAnsi="Arial"/>
                <w:sz w:val="13"/>
                <w:szCs w:val="13"/>
                <w:b w:val="1"/>
                <w:bCs w:val="1"/>
                <w:color w:val="auto"/>
              </w:rPr>
              <w:t>(percentile)</w:t>
            </w:r>
          </w:p>
        </w:tc>
      </w:tr>
      <w:tr>
        <w:trPr>
          <w:trHeight w:val="182"/>
        </w:trPr>
        <w:tc>
          <w:tcPr>
            <w:tcW w:w="20" w:type="dxa"/>
            <w:vAlign w:val="bottom"/>
          </w:tcPr>
          <w:p>
            <w:pPr>
              <w:spacing w:after="0"/>
              <w:rPr>
                <w:sz w:val="15"/>
                <w:szCs w:val="15"/>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David J. Woodhouse, Ph.D.</w:t>
            </w:r>
          </w:p>
        </w:tc>
        <w:tc>
          <w:tcPr>
            <w:tcW w:w="80" w:type="dxa"/>
            <w:vAlign w:val="bottom"/>
            <w:tcBorders>
              <w:top w:val="single" w:sz="8" w:color="CCEEFF"/>
            </w:tcBorders>
            <w:shd w:val="clear" w:color="auto" w:fill="CCEEFF"/>
          </w:tcPr>
          <w:p>
            <w:pPr>
              <w:spacing w:after="0"/>
              <w:rPr>
                <w:sz w:val="15"/>
                <w:szCs w:val="15"/>
                <w:color w:val="auto"/>
              </w:rPr>
            </w:pPr>
          </w:p>
        </w:tc>
        <w:tc>
          <w:tcPr>
            <w:tcW w:w="3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tcBorders>
            <w:shd w:val="clear" w:color="auto" w:fill="CCEEFF"/>
          </w:tcPr>
          <w:p>
            <w:pPr>
              <w:spacing w:after="0"/>
              <w:rPr>
                <w:sz w:val="15"/>
                <w:szCs w:val="15"/>
                <w:color w:val="auto"/>
              </w:rPr>
            </w:pPr>
          </w:p>
        </w:tc>
        <w:tc>
          <w:tcPr>
            <w:tcW w:w="3120" w:type="dxa"/>
            <w:vAlign w:val="bottom"/>
            <w:tcBorders>
              <w:top w:val="single" w:sz="8" w:color="auto"/>
            </w:tcBorders>
            <w:shd w:val="clear" w:color="auto" w:fill="CCEEFF"/>
          </w:tcPr>
          <w:p>
            <w:pPr>
              <w:ind w:left="2880"/>
              <w:spacing w:after="0" w:line="182" w:lineRule="exact"/>
              <w:rPr>
                <w:sz w:val="20"/>
                <w:szCs w:val="20"/>
                <w:color w:val="auto"/>
              </w:rPr>
            </w:pPr>
            <w:r>
              <w:rPr>
                <w:rFonts w:ascii="Arial" w:cs="Arial" w:eastAsia="Arial" w:hAnsi="Arial"/>
                <w:sz w:val="14"/>
                <w:szCs w:val="14"/>
                <w:color w:val="auto"/>
                <w:w w:val="85"/>
              </w:rPr>
              <w:t>25</w:t>
            </w:r>
            <w:r>
              <w:rPr>
                <w:rFonts w:ascii="Arial" w:cs="Arial" w:eastAsia="Arial" w:hAnsi="Arial"/>
                <w:sz w:val="18"/>
                <w:szCs w:val="18"/>
                <w:color w:val="auto"/>
                <w:w w:val="85"/>
                <w:vertAlign w:val="superscript"/>
              </w:rPr>
              <w:t>th</w:t>
            </w:r>
          </w:p>
        </w:tc>
      </w:tr>
      <w:tr>
        <w:trPr>
          <w:trHeight w:val="191"/>
        </w:trPr>
        <w:tc>
          <w:tcPr>
            <w:tcW w:w="2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Siobhan Nolan Mangini</w:t>
            </w:r>
          </w:p>
        </w:tc>
        <w:tc>
          <w:tcPr>
            <w:tcW w:w="33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3120" w:type="dxa"/>
            <w:vAlign w:val="bottom"/>
          </w:tcPr>
          <w:p>
            <w:pPr>
              <w:ind w:left="2880"/>
              <w:spacing w:after="0" w:line="191" w:lineRule="exact"/>
              <w:rPr>
                <w:sz w:val="20"/>
                <w:szCs w:val="20"/>
                <w:color w:val="auto"/>
              </w:rPr>
            </w:pPr>
            <w:r>
              <w:rPr>
                <w:rFonts w:ascii="Arial" w:cs="Arial" w:eastAsia="Arial" w:hAnsi="Arial"/>
                <w:sz w:val="14"/>
                <w:szCs w:val="14"/>
                <w:color w:val="auto"/>
                <w:w w:val="85"/>
              </w:rPr>
              <w:t>50</w:t>
            </w:r>
            <w:r>
              <w:rPr>
                <w:rFonts w:ascii="Arial" w:cs="Arial" w:eastAsia="Arial" w:hAnsi="Arial"/>
                <w:sz w:val="18"/>
                <w:szCs w:val="18"/>
                <w:color w:val="auto"/>
                <w:w w:val="85"/>
                <w:vertAlign w:val="superscript"/>
              </w:rPr>
              <w:t>th</w:t>
            </w:r>
          </w:p>
        </w:tc>
      </w:tr>
      <w:tr>
        <w:trPr>
          <w:trHeight w:val="191"/>
        </w:trPr>
        <w:tc>
          <w:tcPr>
            <w:tcW w:w="20" w:type="dxa"/>
            <w:vAlign w:val="bottom"/>
          </w:tcPr>
          <w:p>
            <w:pPr>
              <w:spacing w:after="0"/>
              <w:rPr>
                <w:sz w:val="16"/>
                <w:szCs w:val="16"/>
                <w:color w:val="auto"/>
              </w:rPr>
            </w:pPr>
          </w:p>
        </w:tc>
        <w:tc>
          <w:tcPr>
            <w:tcW w:w="4780" w:type="dxa"/>
            <w:vAlign w:val="bottom"/>
            <w:gridSpan w:val="2"/>
            <w:shd w:val="clear" w:color="auto" w:fill="CCEEFF"/>
          </w:tcPr>
          <w:p>
            <w:pPr>
              <w:spacing w:after="0" w:line="191" w:lineRule="exact"/>
              <w:rPr>
                <w:sz w:val="20"/>
                <w:szCs w:val="20"/>
                <w:color w:val="auto"/>
              </w:rPr>
            </w:pPr>
            <w:r>
              <w:rPr>
                <w:rFonts w:ascii="Arial" w:cs="Arial" w:eastAsia="Arial" w:hAnsi="Arial"/>
                <w:sz w:val="14"/>
                <w:szCs w:val="14"/>
                <w:color w:val="auto"/>
              </w:rPr>
              <w:t>Jin-Long Chen, Ph.D.</w:t>
            </w:r>
            <w:r>
              <w:rPr>
                <w:rFonts w:ascii="Arial" w:cs="Arial" w:eastAsia="Arial" w:hAnsi="Arial"/>
                <w:sz w:val="18"/>
                <w:szCs w:val="18"/>
                <w:color w:val="auto"/>
                <w:vertAlign w:val="superscript"/>
              </w:rPr>
              <w:t>(1)</w:t>
            </w:r>
          </w:p>
        </w:tc>
        <w:tc>
          <w:tcPr>
            <w:tcW w:w="3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3120" w:type="dxa"/>
            <w:vAlign w:val="bottom"/>
            <w:shd w:val="clear" w:color="auto" w:fill="CCEEFF"/>
          </w:tcPr>
          <w:p>
            <w:pPr>
              <w:ind w:left="2880"/>
              <w:spacing w:after="0" w:line="191" w:lineRule="exact"/>
              <w:rPr>
                <w:sz w:val="20"/>
                <w:szCs w:val="20"/>
                <w:color w:val="auto"/>
              </w:rPr>
            </w:pPr>
            <w:r>
              <w:rPr>
                <w:rFonts w:ascii="Arial" w:cs="Arial" w:eastAsia="Arial" w:hAnsi="Arial"/>
                <w:sz w:val="14"/>
                <w:szCs w:val="14"/>
                <w:color w:val="auto"/>
                <w:w w:val="85"/>
              </w:rPr>
              <w:t>75</w:t>
            </w:r>
            <w:r>
              <w:rPr>
                <w:rFonts w:ascii="Arial" w:cs="Arial" w:eastAsia="Arial" w:hAnsi="Arial"/>
                <w:sz w:val="18"/>
                <w:szCs w:val="18"/>
                <w:color w:val="auto"/>
                <w:w w:val="85"/>
                <w:vertAlign w:val="superscript"/>
              </w:rPr>
              <w:t>th</w:t>
            </w:r>
          </w:p>
        </w:tc>
      </w:tr>
      <w:tr>
        <w:trPr>
          <w:trHeight w:val="191"/>
        </w:trPr>
        <w:tc>
          <w:tcPr>
            <w:tcW w:w="2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Hsiao D. Lieu, M.D.</w:t>
            </w:r>
          </w:p>
        </w:tc>
        <w:tc>
          <w:tcPr>
            <w:tcW w:w="33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3120" w:type="dxa"/>
            <w:vAlign w:val="bottom"/>
          </w:tcPr>
          <w:p>
            <w:pPr>
              <w:ind w:left="2880"/>
              <w:spacing w:after="0" w:line="191" w:lineRule="exact"/>
              <w:rPr>
                <w:sz w:val="20"/>
                <w:szCs w:val="20"/>
                <w:color w:val="auto"/>
              </w:rPr>
            </w:pPr>
            <w:r>
              <w:rPr>
                <w:rFonts w:ascii="Arial" w:cs="Arial" w:eastAsia="Arial" w:hAnsi="Arial"/>
                <w:sz w:val="14"/>
                <w:szCs w:val="14"/>
                <w:color w:val="auto"/>
                <w:w w:val="85"/>
              </w:rPr>
              <w:t>25</w:t>
            </w:r>
            <w:r>
              <w:rPr>
                <w:rFonts w:ascii="Arial" w:cs="Arial" w:eastAsia="Arial" w:hAnsi="Arial"/>
                <w:sz w:val="18"/>
                <w:szCs w:val="18"/>
                <w:color w:val="auto"/>
                <w:w w:val="85"/>
                <w:vertAlign w:val="superscript"/>
              </w:rPr>
              <w:t>th</w:t>
            </w:r>
          </w:p>
        </w:tc>
      </w:tr>
      <w:tr>
        <w:trPr>
          <w:trHeight w:val="191"/>
        </w:trPr>
        <w:tc>
          <w:tcPr>
            <w:tcW w:w="20" w:type="dxa"/>
            <w:vAlign w:val="bottom"/>
          </w:tcPr>
          <w:p>
            <w:pPr>
              <w:spacing w:after="0"/>
              <w:rPr>
                <w:sz w:val="16"/>
                <w:szCs w:val="16"/>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Valerie Pierce</w:t>
            </w:r>
          </w:p>
        </w:tc>
        <w:tc>
          <w:tcPr>
            <w:tcW w:w="3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3120" w:type="dxa"/>
            <w:vAlign w:val="bottom"/>
            <w:shd w:val="clear" w:color="auto" w:fill="CCEEFF"/>
          </w:tcPr>
          <w:p>
            <w:pPr>
              <w:ind w:left="2880"/>
              <w:spacing w:after="0" w:line="191" w:lineRule="exact"/>
              <w:rPr>
                <w:sz w:val="20"/>
                <w:szCs w:val="20"/>
                <w:color w:val="auto"/>
              </w:rPr>
            </w:pPr>
            <w:r>
              <w:rPr>
                <w:rFonts w:ascii="Arial" w:cs="Arial" w:eastAsia="Arial" w:hAnsi="Arial"/>
                <w:sz w:val="14"/>
                <w:szCs w:val="14"/>
                <w:color w:val="auto"/>
                <w:w w:val="85"/>
              </w:rPr>
              <w:t>50</w:t>
            </w:r>
            <w:r>
              <w:rPr>
                <w:rFonts w:ascii="Arial" w:cs="Arial" w:eastAsia="Arial" w:hAnsi="Arial"/>
                <w:sz w:val="18"/>
                <w:szCs w:val="18"/>
                <w:color w:val="auto"/>
                <w:w w:val="85"/>
                <w:vertAlign w:val="superscript"/>
              </w:rPr>
              <w:t>th</w:t>
            </w:r>
          </w:p>
        </w:tc>
      </w:tr>
    </w:tbl>
    <w:p>
      <w:pPr>
        <w:spacing w:after="0" w:line="102" w:lineRule="exact"/>
        <w:rPr>
          <w:sz w:val="20"/>
          <w:szCs w:val="20"/>
          <w:color w:val="auto"/>
        </w:rPr>
      </w:pPr>
    </w:p>
    <w:p>
      <w:pPr>
        <w:ind w:left="80"/>
        <w:spacing w:after="0"/>
        <w:rPr>
          <w:sz w:val="20"/>
          <w:szCs w:val="20"/>
          <w:color w:val="auto"/>
        </w:rPr>
      </w:pPr>
      <w:r>
        <w:rPr>
          <w:rFonts w:ascii="Arial" w:cs="Arial" w:eastAsia="Arial" w:hAnsi="Arial"/>
          <w:sz w:val="14"/>
          <w:szCs w:val="14"/>
          <w:color w:val="auto"/>
        </w:rPr>
        <w:t>_______________________________</w:t>
      </w:r>
    </w:p>
    <w:p>
      <w:pPr>
        <w:spacing w:after="0" w:line="172" w:lineRule="exact"/>
        <w:rPr>
          <w:sz w:val="20"/>
          <w:szCs w:val="20"/>
          <w:color w:val="auto"/>
        </w:rPr>
      </w:pPr>
    </w:p>
    <w:p>
      <w:pPr>
        <w:ind w:left="600" w:hanging="515"/>
        <w:spacing w:after="0" w:line="266" w:lineRule="auto"/>
        <w:tabs>
          <w:tab w:leader="none" w:pos="596"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2021 target bonus for Dr. Chen was positioned at the 75th percentile of the market data for his position in light of the criticality of the Chief Scientific Officer position to our Company generally, as well as recognition of Dr. Chen’s founder status and significant ongoing contributions to the culture of our Company.</w:t>
      </w:r>
    </w:p>
    <w:p>
      <w:pPr>
        <w:spacing w:after="0" w:line="131" w:lineRule="exact"/>
        <w:rPr>
          <w:sz w:val="20"/>
          <w:szCs w:val="20"/>
          <w:color w:val="auto"/>
        </w:rPr>
      </w:pPr>
    </w:p>
    <w:p>
      <w:pPr>
        <w:jc w:val="both"/>
        <w:ind w:left="80"/>
        <w:spacing w:after="0" w:line="262" w:lineRule="auto"/>
        <w:rPr>
          <w:sz w:val="20"/>
          <w:szCs w:val="20"/>
          <w:color w:val="auto"/>
        </w:rPr>
      </w:pPr>
      <w:r>
        <w:rPr>
          <w:rFonts w:ascii="Arial" w:cs="Arial" w:eastAsia="Arial" w:hAnsi="Arial"/>
          <w:sz w:val="14"/>
          <w:szCs w:val="14"/>
          <w:color w:val="auto"/>
        </w:rPr>
        <w:t>Bonuses for all employees, including our executive officers, are allocated from a bonus pool that is determined by the Compensation Committee each year. In determining the amount of bonus pool funding, the Compensation Committee considers a number of factors, including the Company’s achievement of intentionally aggressive annual corporate goals set by our Board and adopted by the Compensation Committee, the business environment in which the Company’s results were achieved, achievements and challenges not expressly included in or contemplated by the annual corporate goals, and market data and dynamics. The total aggregate bonus payout for all employees, including executive officers, does not exceed the amount of the approved bonus pool.</w:t>
      </w:r>
    </w:p>
    <w:p>
      <w:pPr>
        <w:spacing w:after="0" w:line="140" w:lineRule="exact"/>
        <w:rPr>
          <w:sz w:val="20"/>
          <w:szCs w:val="20"/>
          <w:color w:val="auto"/>
        </w:rPr>
      </w:pPr>
    </w:p>
    <w:p>
      <w:pPr>
        <w:jc w:val="both"/>
        <w:ind w:left="80"/>
        <w:spacing w:after="0" w:line="257" w:lineRule="auto"/>
        <w:rPr>
          <w:sz w:val="20"/>
          <w:szCs w:val="20"/>
          <w:color w:val="auto"/>
        </w:rPr>
      </w:pPr>
      <w:r>
        <w:rPr>
          <w:rFonts w:ascii="Arial" w:cs="Arial" w:eastAsia="Arial" w:hAnsi="Arial"/>
          <w:sz w:val="14"/>
          <w:szCs w:val="14"/>
          <w:color w:val="auto"/>
        </w:rPr>
        <w:t>The Company’s annual corporate goals generally fall into two broad strategic areas – advancement of research and development (“R&amp;D”) programs and corporate business objectives – and are intended to drive specific product discovery objectives and preclinical and clinical development achievements across our broad pipeline and to continue to build the foundation for the Company’s future growth. The philosophy of the Board since the inception of the Company has been to establish very aggressive annual corporate goals, based on a belief that more progress will be made in the exercise of striving to achieve stretch goals, even if all of the goals are not fully achieved. Consistent with that philosophy, the 2021 corporate goals approved by our Board of Directors, or the 2021 goals, were intentionally aggressive stretch goals designed to incentivize extraordinary performance, while recognizing that 100% achievement of all of our stretch goals was unlikely to be achieved. Nonetheless, the Board takes the position that to set goals at a level where all of them can realistically be achieved does not fit our culture, which strives to incentivize extraordinary performance. As a result, the Compensation Committee determined at the beginning of 2021 that the achievement of approximately 80% of our challenging 2021 goals could result in funding 100% of the bonus pool. The Compensation Committee recognized that achieving even 80% of the 2021 goals would be difficult, requiring focused effort and diligence, and would represent strong positive alignment with the Company’s business objectives.</w:t>
      </w:r>
    </w:p>
    <w:p>
      <w:pPr>
        <w:spacing w:after="0" w:line="316" w:lineRule="exact"/>
        <w:rPr>
          <w:sz w:val="20"/>
          <w:szCs w:val="20"/>
          <w:color w:val="auto"/>
        </w:rPr>
      </w:pPr>
    </w:p>
    <w:p>
      <w:pPr>
        <w:jc w:val="both"/>
        <w:ind w:left="80"/>
        <w:spacing w:after="0" w:line="260" w:lineRule="auto"/>
        <w:rPr>
          <w:sz w:val="20"/>
          <w:szCs w:val="20"/>
          <w:color w:val="auto"/>
        </w:rPr>
      </w:pPr>
      <w:r>
        <w:rPr>
          <w:rFonts w:ascii="Arial" w:cs="Arial" w:eastAsia="Arial" w:hAnsi="Arial"/>
          <w:sz w:val="14"/>
          <w:szCs w:val="14"/>
          <w:color w:val="auto"/>
        </w:rPr>
        <w:t>In early 2022, in making its decision regarding the amount of the bonus pool, the Compensation Committee, based on input from our Chief Executive Officer and other members of the Board, considered, as one factor, our achievements against our aggressive 2021 goals, which contained both R&amp;D and corporate business goals. The R&amp;D goals encompassed a number of specific development goals for aldafermin and our other product candidates and goals related to drug discovery research activities. The corporate business goals related to recruiting and retention efforts, corporate development and investor relations activities, cybersecurity risk assessments, financial audit and reporting goals, including successful SOX 404(b) readiness, diversity, equity and inclusion, or DEI, and spending control. Specifically, the Compensation Committee noted the following achievements with respect to our 2021 goals:</w:t>
      </w:r>
    </w:p>
    <w:p>
      <w:pPr>
        <w:spacing w:after="0" w:line="142" w:lineRule="exact"/>
        <w:rPr>
          <w:sz w:val="20"/>
          <w:szCs w:val="20"/>
          <w:color w:val="auto"/>
        </w:rPr>
      </w:pPr>
    </w:p>
    <w:p>
      <w:pPr>
        <w:ind w:left="600" w:hanging="260"/>
        <w:spacing w:after="0"/>
        <w:tabs>
          <w:tab w:leader="none" w:pos="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raising $134.6 million in a follow-on public offering of common stock in January 2021 at $27.00 per share;</w:t>
      </w:r>
    </w:p>
    <w:p>
      <w:pPr>
        <w:spacing w:after="0" w:line="93" w:lineRule="exact"/>
        <w:rPr>
          <w:rFonts w:ascii="Arial" w:cs="Arial" w:eastAsia="Arial" w:hAnsi="Arial"/>
          <w:sz w:val="14"/>
          <w:szCs w:val="14"/>
          <w:color w:val="auto"/>
        </w:rPr>
      </w:pPr>
    </w:p>
    <w:p>
      <w:pPr>
        <w:ind w:left="600" w:hanging="260"/>
        <w:spacing w:after="0"/>
        <w:tabs>
          <w:tab w:leader="none" w:pos="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completion of enrollment in the NGM621 CATALINA clinical trial, including enrolling approximately 30% more subjects than the original target;</w:t>
      </w:r>
    </w:p>
    <w:p>
      <w:pPr>
        <w:spacing w:after="0" w:line="93" w:lineRule="exact"/>
        <w:rPr>
          <w:rFonts w:ascii="Arial" w:cs="Arial" w:eastAsia="Arial" w:hAnsi="Arial"/>
          <w:sz w:val="14"/>
          <w:szCs w:val="14"/>
          <w:color w:val="auto"/>
        </w:rPr>
      </w:pPr>
    </w:p>
    <w:p>
      <w:pPr>
        <w:ind w:left="600" w:hanging="260"/>
        <w:spacing w:after="0"/>
        <w:tabs>
          <w:tab w:leader="none" w:pos="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successful renegotiation of the Merck collaboration, particularly with respect to regaining ownership of all of the product candidates in our oncology portfolio;</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360"/>
          </w:cols>
          <w:pgMar w:left="220" w:top="931" w:right="319" w:bottom="1440" w:gutter="0" w:footer="0" w:header="0"/>
        </w:sectPr>
      </w:pPr>
    </w:p>
    <w:bookmarkStart w:id="31" w:name="page32"/>
    <w:bookmarkEnd w:id="31"/>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initiation of a Phase 1/2 clinical trial of NGM707;</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additional progress in the development of NGM120, NGM831 and NGM438;</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 preparations for SOX 404(b) compliance;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progress in our DEI efforts and associated goals.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in making its decision, the Compensation Committee considered notable achievements and challenges not expressly included in or contemplated by the 2021 goals. The Compensation Committee noted that, in May 2021, the Company’s 24-week Phase 2b ALPINE 2/3 study evaluating aldafermin in F2/F3 NASH patients did not meet its primary endpoint of fibrosis improvement. As a result, the 2021 goals relating to the advancement of aldafermin in F2/F3 NASH patients into Phase 3 clinical trials were no longer relevant, which led the Company to shift resources toward advancing the Company’s other programs. In addition, in June 2021, the restructuring of our collaboration with Merck narrowed the future scope of the collaboration requiring restructuring and refocusing of our research efforts and making some of the 2021 goals irrelevant. As a result of both of these significant and unexpected events, in June 2021, management, the Compensation Committee and the Board agreed upon a set of revised priorities for the second half of the year, including:</w:t>
      </w:r>
    </w:p>
    <w:p>
      <w:pPr>
        <w:spacing w:after="0" w:line="142"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building oncology-focused capabilities and talent to advance our oncology portfolio that we wholly own as a result of the collaboration restructuring;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progressing the development of NGM707;</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ramping up business development activities to be positioned to maximize the value of our broad portfolio and access late-stage development and commercial capabilities, if appropriate;</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operationalizing our amended collaboration with Merck;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successfully navigating through the continuing and evolving impacts of the COVID-19 pandemic.</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its assessment, the Compensation Committee also considered progress made with respect to these revised priorities to ensure that management had appropriately and successfully pivoted its focus and efforts to those activities that were in the best interests of the Company and its stockholders in the second half of the year in light of the changes that occurred in the first half of the year, particularly given the return of our oncology product candidates from Merck as a result of the collaboration restructuring. Considering the totality of 2021 achievements, responses to changed corporate priorities, financial impact and the current competitive market for talent, the Compensation Committee determined to fund the bonus pool in an aggregate amount equal to all employee bonuses paid at their respective targets.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early 2022, the Compensation Committee also determined (or, with respect to Dr. Woodhouse, recommended that the Board of Directors approve) the amount of cash bonuses for each named executive officer, taking into account each named executive officer’s bonus target, his or her contributions to achievement of corporate goals and other company achievements, other aspects of individual performance, total cash compensation relative to market data and other factors. The Compensation Committee (or Board, as applicable) did not attempt to pinpoint the level of achievement of the 2021 goals and priorities, or each named executive officer’s individual performance during 2021, in a quantitative or formulaic manner. Accordingly, we do not consider these bonuses to be “non-equity incentive plan compensation” within the meaning of applicable SEC rules.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Compensation Committee considered the following aspects of each named executive officer’s individual performance, including contributions toward the corporate accomplishments noted above, when determining the amount of his or her 2021 cash bonus payment.</w:t>
      </w:r>
    </w:p>
    <w:p>
      <w:pPr>
        <w:spacing w:after="0" w:line="110" w:lineRule="exact"/>
        <w:rPr>
          <w:sz w:val="20"/>
          <w:szCs w:val="20"/>
          <w:color w:val="auto"/>
        </w:rPr>
      </w:pPr>
    </w:p>
    <w:p>
      <w:pPr>
        <w:jc w:val="both"/>
        <w:ind w:left="520" w:hanging="260"/>
        <w:spacing w:after="0" w:line="235"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Dr. Woodhouse: our Compensation Committee considered Dr. Woodhouse’s role in leading the company during a challenging pandemic year, with accomplishments that included the rapid enrollment of our CATALINA trial, the agile redeployment of resources following the ALPINE 2/3 data readout to support our focused efforts in oncology, the advancement of our three new myeloid reprogramming product candidates, the renegotiation of our collaboration with Merck resulting in regained rights to our oncology portfolio and the January follow-on equity offering.</w:t>
      </w:r>
    </w:p>
    <w:p>
      <w:pPr>
        <w:spacing w:after="0" w:line="16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Ms. Nolan Mangini: our Compensation Committee considered Ms. Nolan Mangini’s leadership role in investor relations and finance including the preparation and execution of our January follow-on equity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931" w:right="319" w:bottom="1440" w:gutter="0" w:footer="0" w:header="0"/>
        </w:sectPr>
      </w:pPr>
    </w:p>
    <w:bookmarkStart w:id="32" w:name="page33"/>
    <w:bookmarkEnd w:id="32"/>
    <w:p>
      <w:pPr>
        <w:jc w:val="both"/>
        <w:ind w:left="520"/>
        <w:spacing w:after="0" w:line="271" w:lineRule="auto"/>
        <w:rPr>
          <w:sz w:val="20"/>
          <w:szCs w:val="20"/>
          <w:color w:val="auto"/>
        </w:rPr>
      </w:pPr>
      <w:r>
        <w:rPr>
          <w:rFonts w:ascii="Arial" w:cs="Arial" w:eastAsia="Arial" w:hAnsi="Arial"/>
          <w:sz w:val="14"/>
          <w:szCs w:val="14"/>
          <w:color w:val="auto"/>
        </w:rPr>
        <w:t>offering, her leadership role in strategy and business development including the renegotiation of our collaboration with Merck resulting in regained rights to our oncology portfolio, her leadership of the accounting organization including successfully preparing the Company for SOX 404(b) compliance and her successful recruitment of key new staff in each of her areas of functional oversight.</w:t>
      </w:r>
    </w:p>
    <w:p>
      <w:pPr>
        <w:spacing w:after="0" w:line="49" w:lineRule="exact"/>
        <w:rPr>
          <w:sz w:val="20"/>
          <w:szCs w:val="20"/>
          <w:color w:val="auto"/>
        </w:rPr>
      </w:pPr>
    </w:p>
    <w:p>
      <w:pPr>
        <w:jc w:val="both"/>
        <w:ind w:left="520" w:hanging="260"/>
        <w:spacing w:after="0" w:line="265"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Dr. Chen: our Compensation Committee considered Dr. Chen’s leadership role in the discovery and ongoing scientific support for our three new myeloid reprogramming product candidates, NGM707, NGM831 and NGM438, the importance of his contributions to, and achievements under, the Merck collaboration that enabled the favorable renegotiation of the collaboration terms, his efforts to optimize productivity and opportunity under the revised Merck agreement, recruitment of key new staff in our discovery research function, his expert guidance and decision making across our R&amp;D portfolio and his role as company-wide champion of our science-led culture.</w:t>
      </w:r>
    </w:p>
    <w:p>
      <w:pPr>
        <w:spacing w:after="0" w:line="52"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Dr. Lieu: our Compensation Committee considered Dr. Lieu’s leadership role in the oversight and progress of all of our product candidate clinical trials, including the rapid enrollment of our CATALINA trial with 30% more patients than originally targeted, the rapid shifting of internal resources in our development organization following the ALPINE 2/3 data readout to support our focus of efforts in oncology and the recruitment of critical new staff in regulatory, clinical development and biometrics with expertise in oncology.</w:t>
      </w:r>
    </w:p>
    <w:p>
      <w:pPr>
        <w:spacing w:after="0" w:line="42" w:lineRule="exact"/>
        <w:rPr>
          <w:rFonts w:ascii="Arial" w:cs="Arial" w:eastAsia="Arial" w:hAnsi="Arial"/>
          <w:sz w:val="14"/>
          <w:szCs w:val="14"/>
          <w:color w:val="auto"/>
        </w:rPr>
      </w:pPr>
    </w:p>
    <w:p>
      <w:pPr>
        <w:jc w:val="both"/>
        <w:ind w:left="520" w:hanging="260"/>
        <w:spacing w:after="0" w:line="239" w:lineRule="auto"/>
        <w:tabs>
          <w:tab w:leader="none" w:pos="516" w:val="left"/>
        </w:tabs>
        <w:numPr>
          <w:ilvl w:val="0"/>
          <w:numId w:val="30"/>
        </w:numPr>
        <w:rPr>
          <w:rFonts w:ascii="Times New Roman" w:cs="Times New Roman" w:eastAsia="Times New Roman" w:hAnsi="Times New Roman"/>
          <w:sz w:val="14"/>
          <w:szCs w:val="14"/>
          <w:color w:val="auto"/>
        </w:rPr>
      </w:pPr>
      <w:r>
        <w:rPr>
          <w:rFonts w:ascii="Arial" w:cs="Arial" w:eastAsia="Arial" w:hAnsi="Arial"/>
          <w:sz w:val="14"/>
          <w:szCs w:val="14"/>
          <w:color w:val="auto"/>
        </w:rPr>
        <w:t>Ms. Pierce: our Compensation Committee considered Ms. Pierce’s leadership role of our legal and compliance functions in the preparation and execution of our January follow-on equity offering, renegotiation of our collaboration with Merck and other key company contracts, timely filing of SEC reporting documents and broader contributions to managing company growth and diversity, equity and inclusion efforts.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light of all the foregoing, the Compensation Committee approved (or, with respect to Dr. Woodhouse, recommended that the Board of Directors approve) bonus payments for 2021 for each named executive officer as set forth in the table below, all of which were approximately in line with their target bonus percentage.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Named Executive Officer</w:t>
            </w:r>
          </w:p>
        </w:tc>
        <w:tc>
          <w:tcPr>
            <w:tcW w:w="2940" w:type="dxa"/>
            <w:vAlign w:val="bottom"/>
            <w:gridSpan w:val="2"/>
          </w:tcPr>
          <w:p>
            <w:pPr>
              <w:ind w:left="20"/>
              <w:spacing w:after="0"/>
              <w:rPr>
                <w:sz w:val="20"/>
                <w:szCs w:val="20"/>
                <w:color w:val="auto"/>
              </w:rPr>
            </w:pPr>
            <w:r>
              <w:rPr>
                <w:rFonts w:ascii="Arial" w:cs="Arial" w:eastAsia="Arial" w:hAnsi="Arial"/>
                <w:sz w:val="13"/>
                <w:szCs w:val="13"/>
                <w:b w:val="1"/>
                <w:bCs w:val="1"/>
                <w:color w:val="auto"/>
              </w:rPr>
              <w:t>Actual 2021 Performance-Based Bonus Award</w:t>
            </w:r>
          </w:p>
        </w:tc>
        <w:tc>
          <w:tcPr>
            <w:tcW w:w="2920" w:type="dxa"/>
            <w:vAlign w:val="bottom"/>
          </w:tcPr>
          <w:p>
            <w:pPr>
              <w:jc w:val="right"/>
              <w:spacing w:after="0"/>
              <w:rPr>
                <w:sz w:val="20"/>
                <w:szCs w:val="20"/>
                <w:color w:val="auto"/>
              </w:rPr>
            </w:pPr>
            <w:r>
              <w:rPr>
                <w:rFonts w:ascii="Arial" w:cs="Arial" w:eastAsia="Arial" w:hAnsi="Arial"/>
                <w:sz w:val="13"/>
                <w:szCs w:val="13"/>
                <w:b w:val="1"/>
                <w:bCs w:val="1"/>
                <w:color w:val="auto"/>
                <w:w w:val="99"/>
              </w:rPr>
              <w:t>Actual 2021 Performance-Based Bonus Award</w:t>
            </w:r>
          </w:p>
        </w:tc>
        <w:tc>
          <w:tcPr>
            <w:tcW w:w="0" w:type="dxa"/>
            <w:vAlign w:val="bottom"/>
          </w:tcPr>
          <w:p>
            <w:pPr>
              <w:spacing w:after="0"/>
              <w:rPr>
                <w:sz w:val="1"/>
                <w:szCs w:val="1"/>
                <w:color w:val="auto"/>
              </w:rPr>
            </w:pPr>
          </w:p>
        </w:tc>
      </w:tr>
      <w:tr>
        <w:trPr>
          <w:trHeight w:val="177"/>
        </w:trPr>
        <w:tc>
          <w:tcPr>
            <w:tcW w:w="5420" w:type="dxa"/>
            <w:vAlign w:val="bottom"/>
            <w:gridSpan w:val="2"/>
            <w:vMerge w:val="continue"/>
          </w:tcPr>
          <w:p>
            <w:pPr>
              <w:spacing w:after="0"/>
              <w:rPr>
                <w:sz w:val="15"/>
                <w:szCs w:val="15"/>
                <w:color w:val="auto"/>
              </w:rPr>
            </w:pPr>
          </w:p>
        </w:tc>
        <w:tc>
          <w:tcPr>
            <w:tcW w:w="2860" w:type="dxa"/>
            <w:vAlign w:val="bottom"/>
          </w:tcPr>
          <w:p>
            <w:pPr>
              <w:jc w:val="right"/>
              <w:ind w:right="129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2920" w:type="dxa"/>
            <w:vAlign w:val="bottom"/>
          </w:tcPr>
          <w:p>
            <w:pPr>
              <w:jc w:val="right"/>
              <w:ind w:right="831"/>
              <w:spacing w:after="0"/>
              <w:rPr>
                <w:sz w:val="20"/>
                <w:szCs w:val="20"/>
                <w:color w:val="auto"/>
              </w:rPr>
            </w:pPr>
            <w:r>
              <w:rPr>
                <w:rFonts w:ascii="Arial" w:cs="Arial" w:eastAsia="Arial" w:hAnsi="Arial"/>
                <w:sz w:val="13"/>
                <w:szCs w:val="13"/>
                <w:b w:val="1"/>
                <w:bCs w:val="1"/>
                <w:color w:val="auto"/>
              </w:rPr>
              <w:t>(% of Base Salary)</w:t>
            </w:r>
          </w:p>
        </w:tc>
        <w:tc>
          <w:tcPr>
            <w:tcW w:w="0" w:type="dxa"/>
            <w:vAlign w:val="bottom"/>
          </w:tcPr>
          <w:p>
            <w:pPr>
              <w:spacing w:after="0"/>
              <w:rPr>
                <w:sz w:val="1"/>
                <w:szCs w:val="1"/>
                <w:color w:val="auto"/>
              </w:rPr>
            </w:pPr>
          </w:p>
        </w:tc>
      </w:tr>
      <w:tr>
        <w:trPr>
          <w:trHeight w:val="185"/>
        </w:trPr>
        <w:tc>
          <w:tcPr>
            <w:tcW w:w="5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David J. Woodhouse, Ph.D.</w:t>
            </w:r>
          </w:p>
        </w:tc>
        <w:tc>
          <w:tcPr>
            <w:tcW w:w="80" w:type="dxa"/>
            <w:vAlign w:val="bottom"/>
            <w:tcBorders>
              <w:top w:val="single" w:sz="8" w:color="CFF0FC"/>
            </w:tcBorders>
            <w:shd w:val="clear" w:color="auto" w:fill="CFF0FC"/>
          </w:tcPr>
          <w:p>
            <w:pPr>
              <w:spacing w:after="0"/>
              <w:rPr>
                <w:sz w:val="16"/>
                <w:szCs w:val="16"/>
                <w:color w:val="auto"/>
              </w:rPr>
            </w:pPr>
          </w:p>
        </w:tc>
        <w:tc>
          <w:tcPr>
            <w:tcW w:w="2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tcBorders>
              <w:top w:val="single" w:sz="8" w:color="CFF0FC"/>
            </w:tcBorders>
            <w:shd w:val="clear" w:color="auto" w:fill="CFF0FC"/>
          </w:tcPr>
          <w:p>
            <w:pPr>
              <w:spacing w:after="0"/>
              <w:rPr>
                <w:sz w:val="16"/>
                <w:szCs w:val="16"/>
                <w:color w:val="auto"/>
              </w:rPr>
            </w:pPr>
          </w:p>
        </w:tc>
        <w:tc>
          <w:tcPr>
            <w:tcW w:w="2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8"/>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Siobhan Nolan Mangini</w:t>
            </w:r>
          </w:p>
        </w:tc>
        <w:tc>
          <w:tcPr>
            <w:tcW w:w="2860" w:type="dxa"/>
            <w:vAlign w:val="bottom"/>
          </w:tcPr>
          <w:p>
            <w:pPr>
              <w:jc w:val="right"/>
              <w:spacing w:after="0"/>
              <w:rPr>
                <w:sz w:val="20"/>
                <w:szCs w:val="20"/>
                <w:color w:val="auto"/>
              </w:rPr>
            </w:pPr>
            <w:r>
              <w:rPr>
                <w:rFonts w:ascii="Arial" w:cs="Arial" w:eastAsia="Arial" w:hAnsi="Arial"/>
                <w:sz w:val="14"/>
                <w:szCs w:val="14"/>
                <w:color w:val="auto"/>
              </w:rPr>
              <w:t>175,000</w:t>
            </w:r>
          </w:p>
        </w:tc>
        <w:tc>
          <w:tcPr>
            <w:tcW w:w="8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3"/>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Jin-Long Chen, Ph.D.</w:t>
            </w:r>
          </w:p>
        </w:tc>
        <w:tc>
          <w:tcPr>
            <w:tcW w:w="2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FF0FC"/>
          </w:tcPr>
          <w:p>
            <w:pPr>
              <w:spacing w:after="0"/>
              <w:rPr>
                <w:sz w:val="16"/>
                <w:szCs w:val="16"/>
                <w:color w:val="auto"/>
              </w:rPr>
            </w:pPr>
          </w:p>
        </w:tc>
        <w:tc>
          <w:tcPr>
            <w:tcW w:w="2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8"/>
        </w:trPr>
        <w:tc>
          <w:tcPr>
            <w:tcW w:w="5420" w:type="dxa"/>
            <w:vAlign w:val="bottom"/>
            <w:gridSpan w:val="2"/>
          </w:tcPr>
          <w:p>
            <w:pPr>
              <w:ind w:left="20"/>
              <w:spacing w:after="0"/>
              <w:rPr>
                <w:sz w:val="20"/>
                <w:szCs w:val="20"/>
                <w:color w:val="auto"/>
              </w:rPr>
            </w:pPr>
            <w:r>
              <w:rPr>
                <w:rFonts w:ascii="Arial" w:cs="Arial" w:eastAsia="Arial" w:hAnsi="Arial"/>
                <w:sz w:val="14"/>
                <w:szCs w:val="14"/>
                <w:color w:val="auto"/>
              </w:rPr>
              <w:t>Hsiao D. Lieu, M.D.</w:t>
            </w:r>
          </w:p>
        </w:tc>
        <w:tc>
          <w:tcPr>
            <w:tcW w:w="2860" w:type="dxa"/>
            <w:vAlign w:val="bottom"/>
          </w:tcPr>
          <w:p>
            <w:pPr>
              <w:jc w:val="right"/>
              <w:spacing w:after="0"/>
              <w:rPr>
                <w:sz w:val="20"/>
                <w:szCs w:val="20"/>
                <w:color w:val="auto"/>
              </w:rPr>
            </w:pPr>
            <w:r>
              <w:rPr>
                <w:rFonts w:ascii="Arial" w:cs="Arial" w:eastAsia="Arial" w:hAnsi="Arial"/>
                <w:sz w:val="14"/>
                <w:szCs w:val="14"/>
                <w:color w:val="auto"/>
              </w:rPr>
              <w:t>175,000</w:t>
            </w:r>
          </w:p>
        </w:tc>
        <w:tc>
          <w:tcPr>
            <w:tcW w:w="8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Valerie Pierce</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170,000</w:t>
            </w:r>
          </w:p>
        </w:tc>
        <w:tc>
          <w:tcPr>
            <w:tcW w:w="80" w:type="dxa"/>
            <w:vAlign w:val="bottom"/>
            <w:shd w:val="clear" w:color="auto" w:fill="CCEEFF"/>
          </w:tcPr>
          <w:p>
            <w:pPr>
              <w:spacing w:after="0"/>
              <w:rPr>
                <w:sz w:val="16"/>
                <w:szCs w:val="16"/>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believe that our ability to grant equity awards is a valuable and necessary compensation tool that aligns the long-term financial interests of our executive officers with the financial interests of our stockholders and is therefore a key aspect of our pay-for-performance program. In addition, we believe that our ability to grant equity awards helps us to attract, retain and motivate executive officers, and fosters an ownership culture, designed to encourage them to devote their best efforts to our business and financial success. To date, all equity awards have been in the form of stock options. Stock options provide value to our executive officers only if the market price of our common stock appreciates over the fair market value on the stock option grant date. Vesting of options is generally tied to continuous service with us, serving as an additional retention measure. Our executive officers are typically awarded an initial new hire option grant upon commencement of employment, as well as annual option grants thereafter. Annual grants historically commenced after 12 to 18 months of employment, but currently typically commence in the year following the executive officer’s employment start date so long as the executive officer was employed by October 1st of the preceding year (although the amount of any such grant takes into consideration the amount of time that has passed since the new hire grant was made). However, an annual option grant is not guaranteed and is awarded at the sole discretion of the Compensation Committee (or Board, as appropriate). We consider annual option grants to be a form of “at-risk” compensation.</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Each of our named executive officers currently holds stock options under our Amended and Restated 2018 Equity Incentive Plan, or the Restated 2018 Plan, and some hold options under our 2008 Equity Incentive Plan, or the 2008 Plan. Such options were granted subject to the general terms of the applicable plan and the applicable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931" w:right="31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4"/>
          <w:szCs w:val="14"/>
          <w:color w:val="auto"/>
        </w:rPr>
        <w:t>forms of stock option agreement thereunder. All options are granted with a per share exercise price equal to no less than the fair market value of a share of our common stock on the grant date, and generally vest, for initial new hire grants, as to 25% of the shares subject to the option on the first anniversary of the applicable new hire start date with the remainder vesting on a monthly basis over 36 months thereafter and, for annual grants, on a monthly basis over 48 months, in each case subject to continued service with us through each vesting date. All options have a maximum term of up to 10 years from the date of grant, subject to earlier expiration following the cessation of an executive officer’s continuous service with us. Option vesting is subject to acceleration as described below under “Executive Compensation—Potential Payments Upon Termination or Change in Control” and “—Equity Compensation Plans.” Options generally remain exercisable for three months following an executive officer’s cessation of continuous service, except in the event of a termination for cause or due to disability or death.</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specific vesting terms of each named executive officer’s stock options are described below under “Executive Compensation—Outstanding Equity Awards at December 31, 2021.” For additional information about our equity compensation plans, please see the section titled “Executive Compensation—Equity Compensation Plans” below.</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February 2021, the Compensation Committee granted to each of Drs. Chen and Lieu and Mses. Nolan Mangini and Pierce a stock option to purchase 175,000, 100,000, 50,000 and 100,000 shares of our common stock, respectively, which vest as to 1/48th of the shares subject to the option each month from January 1, 2021, subject to each executive’s continued service to us on each applicable vesting date. The amount of Ms. Nolan Mangini’s grant reflected the fact that she joined the Company on July 2020. In February 2021, on the Compensation Committee’s recommendation, the Board of Directors approved the grant of a stock option to Dr. Woodhouse to purchase 450,000 shares of our common stock, which vests as to 1/48th of the shares subject to the option each month from January 1, 2021, subject to his continued service to us on each applicable vesting date. Such options were granted as of the second business day following the day on which the Company’s Annual Report on Form 10-K for the year ended December 31, 2020 was filed. Stock option grants for the named executive officers in 2021 were based on the Compensation Committee’s consideration of a number of factors, including market data for the relevant positions (evaluated based both on value and percent of company), management of dilution, the retention value of existing holdings and internal equity across the senior leadership team.</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Features of Our Executive Compensation Program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 with Our Named Executive Officers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entered into employment agreements or offer letters with each of our named executive officers. We designed these agreements to be part of a competitive compensation package and to keep our named executive officers focused on our business goals and objectives. The key terms of the employment agreements or offer letters are described below under the caption “Executive Compensation—Employment, Severance and Change-in-Control Arrangements” below.</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Pursuant to their employments agreements or offer letters, each of Dr. Woodhouse and Mses. Nolan Mangini and Pierce is eligible to receive severance payments and benefits upon an involuntary termination of employment without cause (and other than as a result of death or disability) or upon a resignation for good reason, in either case on or within 18 months following a change in control of our Company. We believe that this protection serves to encourage continued attention and dedication to duties without distraction arising from the possibility of a change in control for executive officers in positions not likely to be continued in role by the acquiror in the event of a change in control, and provides the business with a smooth transition in the event of such a termination of employment of these named executive officers in connection with a transaction. This severance and change-in-control arrangement is also designed to retain these named executive officers in their key positions as we compete for talented executives in the marketplace where such protections are commonly offered. The key terms of these change-in-control severance arrangements are described below under the caption “Executive Compensation— Employment, Severance and Change-in-Control Arrangements” below.</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each of our named executive officers holds stock options under our equity incentive plans that were granted subject to our form of stock option agreements. A description of the termination and change-in-control provisions in such equity incentive plans and form of stock option agreements is provided below under “Executive Compensation—Equity Compensation Plans.”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931"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Other Benefits and Perquisites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named executive officers are eligible to participate in all of our benefit plans, such as our 401(k) plan and our NGM Biopharmaceuticals Matching Plan, or the 401(k) Matching Plan (see “Executive Compensation—401(k) Plan and Matching Plan” below), medical, dental, vision, short-term disability, long-term disability and group life insurance, in each case generally on the same basis as other employees. In 2021, for all of our full-time employees in the United States, including our named executive officers, we made a matching contribution in our common stock under our 401(k) Matching Plan equal to 50% of the employee’s 401(k) plan contribution, up to a maximum annual Company contribution of $750 worth of our common stock. Beginning in fiscal year 2022, the matching contribution in our common stock will continue to be equal to 50% of the employee’s 401(k) plan contribution but will be matched by a maximum annual Company contribution of up to $3,500 worth of our common stock.</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do not currently have qualified or nonqualified defined benefit plans or deferred compensation plans, nor do we offer pension or other retirement benefits other than our 401(k) plan. We generally do not offer perquisites or personal benefits to our named executive officers.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Additional Compensation Information, Policies and Practices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and Tax Considerations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FASB Accounting Standards Codification Topic 718, Compensation—Stock Compensation, or ASC 718, we are required to estimate and record an expense for each award of equity compensation (including stock options) over the vesting period of the award. We record share-based compensation expense on an ongoing basis according to ASC 718. The Compensation Committee has considered, and may in the future consider, the grant of performance-based or other types of stock awards to executive officers in lieu of or in addition to stock option grants in light of the accounting impact of ASC 718 and other considerations.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Section 162(m) of the Internal Revenue Code, or Section 162(m), compensation paid to each of our “covered employees” that exceeds $1 million per taxable year is generally non-deductible unless the compensation qualifies for (i) certain grandfathered exceptions (including the “performance-based compensation” exception) for certain compensation paid pursuant to a written binding contract in effect on November 2, 2017 and not materially modified on or after such date or (ii) the reliance period exception for certain compensation paid by corporations that became publicly held on or before December 20, 2019.</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the Compensation Committee considers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NGM and of our stockholders, which may include providing for compensation that is not deductible by us due to the deduction limit under Section 162(m). The Compensation Committee also retains the flexibility to modify compensation that was initially intended to be exempt from the deduction limit under Section 162(m) if it determines that such modifications are consistent with our business needs.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Insider Trading Policy and Hedging and Pledging Prohibitions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maintain an insider trading policy that prohibits our officers, directors, employees, consultants and contractors from, among other things, engaging in speculative transactions in our securities, including by way of the purchase or sale of “put” or “call” options or other derivative securities directly linked to our equity, short sales of our equity or purchases of our securities on margin. In addition, no officer, director or employee may engage in any transaction in our securities, including any purchase or sale in the open market, loan, pledge, hedge or other transfer, without first obtaining pre-clearance of the transaction from our Chief Financial Officer, General Counsel or their respective designees.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Clawbacks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80"/>
          </w:cols>
          <w:pgMar w:left="300" w:top="931" w:right="319" w:bottom="1440" w:gutter="0" w:footer="0" w:header="0"/>
        </w:sectPr>
      </w:pPr>
    </w:p>
    <w:bookmarkStart w:id="35" w:name="page36"/>
    <w:bookmarkEnd w:id="35"/>
    <w:p>
      <w:pPr>
        <w:jc w:val="both"/>
        <w:spacing w:after="0" w:line="290" w:lineRule="auto"/>
        <w:rPr>
          <w:sz w:val="20"/>
          <w:szCs w:val="20"/>
          <w:color w:val="auto"/>
        </w:rPr>
      </w:pPr>
      <w:r>
        <w:rPr>
          <w:rFonts w:ascii="Arial" w:cs="Arial" w:eastAsia="Arial" w:hAnsi="Arial"/>
          <w:sz w:val="14"/>
          <w:szCs w:val="14"/>
          <w:color w:val="auto"/>
        </w:rPr>
        <w:t>incentive-based or equity-based compensation they receive in accordance with the provisions of section 304 of the Sarbanes-Oxley Act of 2002. Additionally, we intend to implement a Dodd-Frank Act-compliant clawback policy as soon as, and to the extent that, the requirements of such clawbacks are finalized by the SEC.</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 Assessment Concerning Compensation Practices and Policies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With the assistance of the Compensation Committee’s compensation consultant and our outside legal counsel, in December 2021, the Compensation Committee reviewed our compensation policies and practices to assess whether they encourage employees to take excessive or inappropriate risks. After reviewing and assessing our compensation philosophy, policies and practices, including the mix of fixed and variable, short- and long-term incentives and overall compensation, incentive plan structures and risk mitigation features, and oversight of each plan and arrangement, the Compensation Committee determined that any risks arising from our compensation policies and practices for our employees are not reasonably likely to have a material adverse effect on our Company as a whole. The Compensation Committee believes that the mix and design of the elements of executive compensation do not encourage management to assume excessive or inappropriate risks; and the mix of short-term compensation (in the form of base salary and annual bonus, if any, which is based on the achievement of multiple performance goals), and long-term compensation (in the form of stock options) prevents undue focus on short-term results and helps align the interests of our named executive officers with the interests of our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the Compensation Committee</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Compensation Committee has reviewed and discussed the Compensation Discussion and Analysis contained in this Proxy Statement with the Company’s management. Based on this review and discussion, the Compensation Committee has recommended to the Board of Directors that the Compensation Discussion and Analysis be included in Company’s Proxy Statement and incorporated by reference into the Company’s Annual Report on Form 10-K for the fiscal year ended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Respectfully submitted,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Committee of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Suzanne Sawochka Hooper (Chairperson)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Carole Ho, M.D.</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931" w:right="319" w:bottom="1440" w:gutter="0" w:footer="0" w:header="0"/>
        </w:sectPr>
      </w:pPr>
    </w:p>
    <w:bookmarkStart w:id="36" w:name="page37"/>
    <w:bookmarkEnd w:id="36"/>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Compensation Table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for the years ended December 31, 2019, 2020 and 2021, the compensation awarded to or paid to, or earned by,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135890</wp:posOffset>
            </wp:positionV>
            <wp:extent cx="499872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8720" cy="698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Salary</w:t>
            </w:r>
          </w:p>
        </w:tc>
        <w:tc>
          <w:tcPr>
            <w:tcW w:w="108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Bonus</w:t>
            </w:r>
          </w:p>
        </w:tc>
        <w:tc>
          <w:tcPr>
            <w:tcW w:w="1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8"/>
              </w:rPr>
              <w:t>All Other</w:t>
            </w:r>
          </w:p>
        </w:tc>
        <w:tc>
          <w:tcPr>
            <w:tcW w:w="1520" w:type="dxa"/>
            <w:vAlign w:val="bottom"/>
            <w:vMerge w:val="restart"/>
          </w:tcPr>
          <w:p>
            <w:pPr>
              <w:jc w:val="right"/>
              <w:ind w:right="53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7"/>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1"/>
                <w:szCs w:val="11"/>
                <w:color w:val="auto"/>
              </w:rPr>
            </w:pPr>
          </w:p>
        </w:tc>
        <w:tc>
          <w:tcPr>
            <w:tcW w:w="9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Year</w:t>
            </w:r>
          </w:p>
        </w:tc>
        <w:tc>
          <w:tcPr>
            <w:tcW w:w="106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38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7"/>
              </w:rPr>
              <w:t>Awards</w:t>
            </w:r>
          </w:p>
        </w:tc>
        <w:tc>
          <w:tcPr>
            <w:tcW w:w="190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80" w:type="dxa"/>
            <w:vAlign w:val="bottom"/>
          </w:tcPr>
          <w:p>
            <w:pPr>
              <w:ind w:left="40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1000" w:type="dxa"/>
            <w:vAlign w:val="bottom"/>
          </w:tcPr>
          <w:p>
            <w:pPr>
              <w:jc w:val="right"/>
              <w:ind w:right="310"/>
              <w:spacing w:after="0" w:line="170"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80" w:type="dxa"/>
            <w:vAlign w:val="bottom"/>
          </w:tcPr>
          <w:p>
            <w:pPr>
              <w:spacing w:after="0"/>
              <w:rPr>
                <w:sz w:val="14"/>
                <w:szCs w:val="14"/>
                <w:color w:val="auto"/>
              </w:rPr>
            </w:pPr>
          </w:p>
        </w:tc>
        <w:tc>
          <w:tcPr>
            <w:tcW w:w="1300" w:type="dxa"/>
            <w:vAlign w:val="bottom"/>
          </w:tcPr>
          <w:p>
            <w:pPr>
              <w:jc w:val="center"/>
              <w:spacing w:after="0" w:line="170"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(2)</w:t>
            </w:r>
          </w:p>
        </w:tc>
        <w:tc>
          <w:tcPr>
            <w:tcW w:w="80" w:type="dxa"/>
            <w:vAlign w:val="bottom"/>
          </w:tcPr>
          <w:p>
            <w:pPr>
              <w:spacing w:after="0"/>
              <w:rPr>
                <w:sz w:val="14"/>
                <w:szCs w:val="14"/>
                <w:color w:val="auto"/>
              </w:rPr>
            </w:pPr>
          </w:p>
        </w:tc>
        <w:tc>
          <w:tcPr>
            <w:tcW w:w="1900" w:type="dxa"/>
            <w:vAlign w:val="bottom"/>
            <w:gridSpan w:val="2"/>
          </w:tcPr>
          <w:p>
            <w:pPr>
              <w:jc w:val="center"/>
              <w:ind w:right="80"/>
              <w:spacing w:after="0" w:line="170" w:lineRule="exact"/>
              <w:rPr>
                <w:sz w:val="20"/>
                <w:szCs w:val="20"/>
                <w:color w:val="auto"/>
              </w:rPr>
            </w:pPr>
            <w:r>
              <w:rPr>
                <w:rFonts w:ascii="Arial" w:cs="Arial" w:eastAsia="Arial" w:hAnsi="Arial"/>
                <w:sz w:val="13"/>
                <w:szCs w:val="13"/>
                <w:b w:val="1"/>
                <w:bCs w:val="1"/>
                <w:color w:val="auto"/>
                <w:w w:val="96"/>
              </w:rPr>
              <w:t>Compensation ($)</w:t>
            </w:r>
            <w:r>
              <w:rPr>
                <w:rFonts w:ascii="Arial" w:cs="Arial" w:eastAsia="Arial" w:hAnsi="Arial"/>
                <w:sz w:val="16"/>
                <w:szCs w:val="16"/>
                <w:b w:val="1"/>
                <w:bCs w:val="1"/>
                <w:color w:val="auto"/>
                <w:w w:val="96"/>
                <w:vertAlign w:val="superscript"/>
              </w:rPr>
              <w:t>(3)</w:t>
            </w:r>
          </w:p>
        </w:tc>
        <w:tc>
          <w:tcPr>
            <w:tcW w:w="1520" w:type="dxa"/>
            <w:vAlign w:val="bottom"/>
          </w:tcPr>
          <w:p>
            <w:pPr>
              <w:jc w:val="right"/>
              <w:ind w:right="61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David J. Woodhouse, Ph.D.</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580,000</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9,031,230</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9,911,980</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525,000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3,833,880</w:t>
            </w: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4,559,630</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490,000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1,476,400</w:t>
            </w: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2,092,150</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Arial" w:cs="Arial" w:eastAsia="Arial" w:hAnsi="Arial"/>
                <w:sz w:val="14"/>
                <w:szCs w:val="14"/>
                <w:color w:val="auto"/>
              </w:rPr>
              <w:t xml:space="preserve">Siobhan Nolan Mangini </w:t>
            </w:r>
            <w:r>
              <w:rPr>
                <w:rFonts w:ascii="Arial" w:cs="Arial" w:eastAsia="Arial" w:hAnsi="Arial"/>
                <w:sz w:val="18"/>
                <w:szCs w:val="18"/>
                <w:color w:val="auto"/>
                <w:vertAlign w:val="superscript"/>
              </w:rPr>
              <w:t>(4)</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980" w:type="dxa"/>
            <w:vAlign w:val="bottom"/>
          </w:tcPr>
          <w:p>
            <w:pPr>
              <w:ind w:left="400"/>
              <w:spacing w:after="0"/>
              <w:rPr>
                <w:sz w:val="20"/>
                <w:szCs w:val="20"/>
                <w:color w:val="auto"/>
              </w:rPr>
            </w:pPr>
            <w:r>
              <w:rPr>
                <w:rFonts w:ascii="Arial" w:cs="Arial" w:eastAsia="Arial" w:hAnsi="Arial"/>
                <w:sz w:val="14"/>
                <w:szCs w:val="14"/>
                <w:color w:val="auto"/>
              </w:rPr>
              <w:t>435,000</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175,000</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1,003,470</w:t>
            </w: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1,614,220</w:t>
            </w:r>
          </w:p>
        </w:tc>
        <w:tc>
          <w:tcPr>
            <w:tcW w:w="0" w:type="dxa"/>
            <w:vAlign w:val="bottom"/>
          </w:tcPr>
          <w:p>
            <w:pPr>
              <w:spacing w:after="0"/>
              <w:rPr>
                <w:sz w:val="1"/>
                <w:szCs w:val="1"/>
                <w:color w:val="auto"/>
              </w:rPr>
            </w:pPr>
          </w:p>
        </w:tc>
      </w:tr>
      <w:tr>
        <w:trPr>
          <w:trHeight w:val="184"/>
        </w:trPr>
        <w:tc>
          <w:tcPr>
            <w:tcW w:w="332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980" w:type="dxa"/>
            <w:vAlign w:val="bottom"/>
          </w:tcPr>
          <w:p>
            <w:pPr>
              <w:ind w:left="400"/>
              <w:spacing w:after="0"/>
              <w:rPr>
                <w:sz w:val="20"/>
                <w:szCs w:val="20"/>
                <w:color w:val="auto"/>
              </w:rPr>
            </w:pPr>
            <w:r>
              <w:rPr>
                <w:rFonts w:ascii="Arial" w:cs="Arial" w:eastAsia="Arial" w:hAnsi="Arial"/>
                <w:sz w:val="14"/>
                <w:szCs w:val="14"/>
                <w:color w:val="auto"/>
              </w:rPr>
              <w:t>199,695</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155,000</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3,458,520</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3,813,965</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Jin-Long Chen, Ph.D.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530,000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3,512,145</w:t>
            </w: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4,242,895</w:t>
            </w:r>
          </w:p>
        </w:tc>
        <w:tc>
          <w:tcPr>
            <w:tcW w:w="0" w:type="dxa"/>
            <w:vAlign w:val="bottom"/>
          </w:tcPr>
          <w:p>
            <w:pPr>
              <w:spacing w:after="0"/>
              <w:rPr>
                <w:sz w:val="1"/>
                <w:szCs w:val="1"/>
                <w:color w:val="auto"/>
              </w:rPr>
            </w:pPr>
          </w:p>
        </w:tc>
      </w:tr>
      <w:tr>
        <w:trPr>
          <w:trHeight w:val="17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shd w:val="clear" w:color="auto" w:fill="CCEEFF"/>
              </w:rPr>
              <w:t>Founder and Chief Scientific Officer</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515,000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1,677,323</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2,368,073</w:t>
            </w: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1,291,850</w:t>
            </w: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1,917,600</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Arial" w:cs="Arial" w:eastAsia="Arial" w:hAnsi="Arial"/>
                <w:sz w:val="14"/>
                <w:szCs w:val="14"/>
                <w:color w:val="auto"/>
              </w:rPr>
              <w:t>Hsiao D. Lieu, M.D.</w:t>
            </w:r>
            <w:r>
              <w:rPr>
                <w:rFonts w:ascii="Arial" w:cs="Arial" w:eastAsia="Arial" w:hAnsi="Arial"/>
                <w:sz w:val="18"/>
                <w:szCs w:val="18"/>
                <w:color w:val="auto"/>
                <w:vertAlign w:val="superscript"/>
              </w:rPr>
              <w:t>(5)</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980" w:type="dxa"/>
            <w:vAlign w:val="bottom"/>
          </w:tcPr>
          <w:p>
            <w:pPr>
              <w:ind w:left="400"/>
              <w:spacing w:after="0"/>
              <w:rPr>
                <w:sz w:val="20"/>
                <w:szCs w:val="20"/>
                <w:color w:val="auto"/>
              </w:rPr>
            </w:pPr>
            <w:r>
              <w:rPr>
                <w:rFonts w:ascii="Arial" w:cs="Arial" w:eastAsia="Arial" w:hAnsi="Arial"/>
                <w:sz w:val="14"/>
                <w:szCs w:val="14"/>
                <w:color w:val="auto"/>
              </w:rPr>
              <w:t>450,000</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175,000</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2,006,940</w:t>
            </w: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2,632,690</w:t>
            </w:r>
          </w:p>
        </w:tc>
        <w:tc>
          <w:tcPr>
            <w:tcW w:w="0" w:type="dxa"/>
            <w:vAlign w:val="bottom"/>
          </w:tcPr>
          <w:p>
            <w:pPr>
              <w:spacing w:after="0"/>
              <w:rPr>
                <w:sz w:val="1"/>
                <w:szCs w:val="1"/>
                <w:color w:val="auto"/>
              </w:rPr>
            </w:pPr>
          </w:p>
        </w:tc>
      </w:tr>
      <w:tr>
        <w:trPr>
          <w:trHeight w:val="184"/>
        </w:trPr>
        <w:tc>
          <w:tcPr>
            <w:tcW w:w="3320" w:type="dxa"/>
            <w:vAlign w:val="bottom"/>
          </w:tcPr>
          <w:p>
            <w:pPr>
              <w:ind w:left="20"/>
              <w:spacing w:after="0"/>
              <w:rPr>
                <w:sz w:val="20"/>
                <w:szCs w:val="20"/>
                <w:color w:val="auto"/>
              </w:rPr>
            </w:pPr>
            <w:r>
              <w:rPr>
                <w:rFonts w:ascii="Arial" w:cs="Arial" w:eastAsia="Arial" w:hAnsi="Arial"/>
                <w:sz w:val="14"/>
                <w:szCs w:val="14"/>
                <w:i w:val="1"/>
                <w:iCs w:val="1"/>
                <w:color w:val="auto"/>
              </w:rPr>
              <w:t>Senior Vice President and Chief Medical Officer</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980" w:type="dxa"/>
            <w:vAlign w:val="bottom"/>
          </w:tcPr>
          <w:p>
            <w:pPr>
              <w:ind w:left="400"/>
              <w:spacing w:after="0"/>
              <w:rPr>
                <w:sz w:val="20"/>
                <w:szCs w:val="20"/>
                <w:color w:val="auto"/>
              </w:rPr>
            </w:pPr>
            <w:r>
              <w:rPr>
                <w:rFonts w:ascii="Arial" w:cs="Arial" w:eastAsia="Arial" w:hAnsi="Arial"/>
                <w:sz w:val="14"/>
                <w:szCs w:val="14"/>
                <w:color w:val="auto"/>
              </w:rPr>
              <w:t>432,000</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239,618</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822,368</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Valerie Pierce</w:t>
            </w:r>
            <w:r>
              <w:rPr>
                <w:rFonts w:ascii="Arial" w:cs="Arial" w:eastAsia="Arial" w:hAnsi="Arial"/>
                <w:sz w:val="18"/>
                <w:szCs w:val="18"/>
                <w:color w:val="auto"/>
                <w:vertAlign w:val="superscript"/>
              </w:rPr>
              <w:t>(6)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412,000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170,000</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2,006,940</w:t>
            </w: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6153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316865"/>
                    </a:xfrm>
                    <a:prstGeom prst="rect">
                      <a:avLst/>
                    </a:prstGeom>
                    <a:noFill/>
                  </pic:spPr>
                </pic:pic>
              </a:graphicData>
            </a:graphic>
          </wp:anchor>
        </w:drawing>
      </w:r>
    </w:p>
    <w:p>
      <w:pPr>
        <w:ind w:left="20"/>
        <w:spacing w:after="0" w:line="220" w:lineRule="auto"/>
        <w:rPr>
          <w:sz w:val="20"/>
          <w:szCs w:val="20"/>
          <w:color w:val="auto"/>
        </w:rPr>
      </w:pPr>
      <w:r>
        <w:rPr>
          <w:rFonts w:ascii="Arial" w:cs="Arial" w:eastAsia="Arial" w:hAnsi="Arial"/>
          <w:sz w:val="14"/>
          <w:szCs w:val="14"/>
          <w:i w:val="1"/>
          <w:iCs w:val="1"/>
          <w:color w:val="auto"/>
        </w:rPr>
        <w:t>Senior Vice President, General Counsel and Chief</w:t>
      </w:r>
    </w:p>
    <w:p>
      <w:pPr>
        <w:ind w:left="20"/>
        <w:spacing w:after="0"/>
        <w:rPr>
          <w:sz w:val="20"/>
          <w:szCs w:val="20"/>
          <w:color w:val="auto"/>
        </w:rPr>
      </w:pPr>
      <w:r>
        <w:rPr>
          <w:rFonts w:ascii="Arial" w:cs="Arial" w:eastAsia="Arial" w:hAnsi="Arial"/>
          <w:sz w:val="14"/>
          <w:szCs w:val="14"/>
          <w:i w:val="1"/>
          <w:iCs w:val="1"/>
          <w:color w:val="auto"/>
        </w:rPr>
        <w:t>Compliance Officer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87" w:lineRule="exact"/>
        <w:rPr>
          <w:sz w:val="20"/>
          <w:szCs w:val="20"/>
          <w:color w:val="auto"/>
        </w:rPr>
      </w:pPr>
    </w:p>
    <w:p>
      <w:pPr>
        <w:ind w:left="520" w:hanging="515"/>
        <w:spacing w:after="0" w:line="283" w:lineRule="auto"/>
        <w:tabs>
          <w:tab w:leader="none" w:pos="51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Amounts represent discretionary annual performance-based bonuses awarded for the year indicated. For a description of the Company’s discretionary annual performance-based bonus program for 2021, see “Compensation Discussion and Analysis—Elements of Executive Compensation; 2021 Compensation Decisions for our Named Executive Officers—Performance-Based Bonus Program.”</w:t>
      </w:r>
    </w:p>
    <w:p>
      <w:pPr>
        <w:spacing w:after="0" w:line="41" w:lineRule="exact"/>
        <w:rPr>
          <w:rFonts w:ascii="Arial" w:cs="Arial" w:eastAsia="Arial" w:hAnsi="Arial"/>
          <w:sz w:val="11"/>
          <w:szCs w:val="11"/>
          <w:color w:val="auto"/>
        </w:rPr>
      </w:pPr>
    </w:p>
    <w:p>
      <w:pPr>
        <w:jc w:val="both"/>
        <w:ind w:left="520" w:hanging="515"/>
        <w:spacing w:after="0" w:line="262" w:lineRule="auto"/>
        <w:tabs>
          <w:tab w:leader="none" w:pos="51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Amounts represent the aggregate grant date fair value of stock options granted to our named executive officers during 2019, 2020 and 2021, as applicable, computed in accordance with ASC Topic 718. Assumptions used in the calculation of these amounts are included in Note 9 to our consolidated financial statements included in our Annual Report on Form 10-K for the year ended December 31, 2021. These amounts do not necessarily correspond to the actual value recognized or that may be recognized by the named executive officers.</w:t>
      </w:r>
    </w:p>
    <w:p>
      <w:pPr>
        <w:spacing w:after="0" w:line="52" w:lineRule="exact"/>
        <w:rPr>
          <w:rFonts w:ascii="Arial" w:cs="Arial" w:eastAsia="Arial" w:hAnsi="Arial"/>
          <w:sz w:val="11"/>
          <w:szCs w:val="11"/>
          <w:color w:val="auto"/>
        </w:rPr>
      </w:pPr>
    </w:p>
    <w:p>
      <w:pPr>
        <w:ind w:left="520" w:hanging="515"/>
        <w:spacing w:after="0" w:line="283" w:lineRule="auto"/>
        <w:tabs>
          <w:tab w:leader="none" w:pos="51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Amounts shown in this column represent defined contribution retirement matching contributions (made in the form of shares of our common stock) provided to the named executive officers on the same terms as provided to all of our regular full-time employees in the United States. For more information regarding these benefits, see below under “—401(k) Plan and Matching Plan.”</w:t>
      </w:r>
    </w:p>
    <w:p>
      <w:pPr>
        <w:spacing w:after="0" w:line="41" w:lineRule="exact"/>
        <w:rPr>
          <w:rFonts w:ascii="Arial" w:cs="Arial" w:eastAsia="Arial" w:hAnsi="Arial"/>
          <w:sz w:val="11"/>
          <w:szCs w:val="11"/>
          <w:color w:val="auto"/>
        </w:rPr>
      </w:pPr>
    </w:p>
    <w:p>
      <w:pPr>
        <w:ind w:left="500" w:hanging="495"/>
        <w:spacing w:after="0"/>
        <w:tabs>
          <w:tab w:leader="none" w:pos="500" w:val="left"/>
        </w:tabs>
        <w:numPr>
          <w:ilvl w:val="0"/>
          <w:numId w:val="31"/>
        </w:numPr>
        <w:rPr>
          <w:rFonts w:ascii="Arial" w:cs="Arial" w:eastAsia="Arial" w:hAnsi="Arial"/>
          <w:sz w:val="11"/>
          <w:szCs w:val="11"/>
          <w:color w:val="auto"/>
        </w:rPr>
      </w:pPr>
      <w:r>
        <w:rPr>
          <w:rFonts w:ascii="Arial" w:cs="Arial" w:eastAsia="Arial" w:hAnsi="Arial"/>
          <w:sz w:val="11"/>
          <w:szCs w:val="11"/>
          <w:color w:val="auto"/>
        </w:rPr>
        <w:t>Ms. Nolan Mangini joined the Company in July 2020.</w:t>
      </w:r>
    </w:p>
    <w:p>
      <w:pPr>
        <w:spacing w:after="0" w:line="85" w:lineRule="exact"/>
        <w:rPr>
          <w:rFonts w:ascii="Arial" w:cs="Arial" w:eastAsia="Arial" w:hAnsi="Arial"/>
          <w:sz w:val="11"/>
          <w:szCs w:val="11"/>
          <w:color w:val="auto"/>
        </w:rPr>
      </w:pPr>
    </w:p>
    <w:p>
      <w:pPr>
        <w:ind w:left="500" w:hanging="495"/>
        <w:spacing w:after="0"/>
        <w:tabs>
          <w:tab w:leader="none" w:pos="500" w:val="left"/>
        </w:tabs>
        <w:numPr>
          <w:ilvl w:val="0"/>
          <w:numId w:val="31"/>
        </w:numPr>
        <w:rPr>
          <w:rFonts w:ascii="Arial" w:cs="Arial" w:eastAsia="Arial" w:hAnsi="Arial"/>
          <w:sz w:val="11"/>
          <w:szCs w:val="11"/>
          <w:color w:val="auto"/>
        </w:rPr>
      </w:pPr>
      <w:r>
        <w:rPr>
          <w:rFonts w:ascii="Arial" w:cs="Arial" w:eastAsia="Arial" w:hAnsi="Arial"/>
          <w:sz w:val="11"/>
          <w:szCs w:val="11"/>
          <w:color w:val="auto"/>
        </w:rPr>
        <w:t>Dr. Lieu was not a named executive officer in 2019 and, thus, only 2020 and 2021 compensation information is shown for Dr. Lieu in this table.</w:t>
      </w:r>
    </w:p>
    <w:p>
      <w:pPr>
        <w:spacing w:after="0" w:line="85" w:lineRule="exact"/>
        <w:rPr>
          <w:rFonts w:ascii="Arial" w:cs="Arial" w:eastAsia="Arial" w:hAnsi="Arial"/>
          <w:sz w:val="11"/>
          <w:szCs w:val="11"/>
          <w:color w:val="auto"/>
        </w:rPr>
      </w:pPr>
    </w:p>
    <w:p>
      <w:pPr>
        <w:ind w:left="500" w:hanging="495"/>
        <w:spacing w:after="0"/>
        <w:tabs>
          <w:tab w:leader="none" w:pos="500" w:val="left"/>
        </w:tabs>
        <w:numPr>
          <w:ilvl w:val="0"/>
          <w:numId w:val="31"/>
        </w:numPr>
        <w:rPr>
          <w:rFonts w:ascii="Arial" w:cs="Arial" w:eastAsia="Arial" w:hAnsi="Arial"/>
          <w:sz w:val="11"/>
          <w:szCs w:val="11"/>
          <w:color w:val="auto"/>
        </w:rPr>
      </w:pPr>
      <w:r>
        <w:rPr>
          <w:rFonts w:ascii="Arial" w:cs="Arial" w:eastAsia="Arial" w:hAnsi="Arial"/>
          <w:sz w:val="11"/>
          <w:szCs w:val="11"/>
          <w:color w:val="auto"/>
        </w:rPr>
        <w:t>Ms. Pierce was not a named executive officer in 2019 or 2020 and, thus, only 2021 compensation information is shown for Ms. Pierce in this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931"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Grants of Plan-Based Awards in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7"/>
              </w:rPr>
              <w:t>All Other Option Awards:</w:t>
            </w:r>
          </w:p>
        </w:tc>
        <w:tc>
          <w:tcPr>
            <w:tcW w:w="1240" w:type="dxa"/>
            <w:vAlign w:val="bottom"/>
            <w:tcBorders>
              <w:top w:val="single" w:sz="8" w:color="auto"/>
            </w:tcBorders>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9"/>
              </w:rPr>
              <w:t>Exercise Price of</w:t>
            </w:r>
          </w:p>
        </w:tc>
        <w:tc>
          <w:tcPr>
            <w:tcW w:w="16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3"/>
                <w:szCs w:val="13"/>
                <w:b w:val="1"/>
                <w:bCs w:val="1"/>
                <w:color w:val="auto"/>
              </w:rPr>
              <w:t>Grant Date Fair Value of</w:t>
            </w:r>
          </w:p>
        </w:tc>
        <w:tc>
          <w:tcPr>
            <w:tcW w:w="0" w:type="dxa"/>
            <w:vAlign w:val="bottom"/>
          </w:tcPr>
          <w:p>
            <w:pPr>
              <w:spacing w:after="0"/>
              <w:rPr>
                <w:sz w:val="1"/>
                <w:szCs w:val="1"/>
                <w:color w:val="auto"/>
              </w:rPr>
            </w:pPr>
          </w:p>
        </w:tc>
      </w:tr>
      <w:tr>
        <w:trPr>
          <w:trHeight w:val="127"/>
        </w:trPr>
        <w:tc>
          <w:tcPr>
            <w:tcW w:w="1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48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Award Type</w:t>
            </w:r>
          </w:p>
        </w:tc>
        <w:tc>
          <w:tcPr>
            <w:tcW w:w="166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Grant Date (1)</w:t>
            </w:r>
          </w:p>
        </w:tc>
        <w:tc>
          <w:tcPr>
            <w:tcW w:w="14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Approval Date</w:t>
            </w:r>
          </w:p>
        </w:tc>
        <w:tc>
          <w:tcPr>
            <w:tcW w:w="192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7"/>
              </w:rPr>
              <w:t>Number of Securities</w:t>
            </w:r>
          </w:p>
        </w:tc>
        <w:tc>
          <w:tcPr>
            <w:tcW w:w="124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9"/>
              </w:rPr>
              <w:t>Option Awards</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00" w:type="dxa"/>
            <w:vAlign w:val="bottom"/>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Underlying Options (#)(2)</w:t>
            </w:r>
          </w:p>
        </w:tc>
        <w:tc>
          <w:tcPr>
            <w:tcW w:w="1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w:t>
            </w:r>
          </w:p>
        </w:tc>
        <w:tc>
          <w:tcPr>
            <w:tcW w:w="1640" w:type="dxa"/>
            <w:vAlign w:val="bottom"/>
          </w:tcPr>
          <w:p>
            <w:pPr>
              <w:jc w:val="right"/>
              <w:ind w:right="111"/>
              <w:spacing w:after="0"/>
              <w:rPr>
                <w:sz w:val="20"/>
                <w:szCs w:val="20"/>
                <w:color w:val="auto"/>
              </w:rPr>
            </w:pPr>
            <w:r>
              <w:rPr>
                <w:rFonts w:ascii="Arial" w:cs="Arial" w:eastAsia="Arial" w:hAnsi="Arial"/>
                <w:sz w:val="13"/>
                <w:szCs w:val="13"/>
                <w:b w:val="1"/>
                <w:bCs w:val="1"/>
                <w:color w:val="auto"/>
              </w:rPr>
              <w:t>Option Awards ($)(3)</w:t>
            </w:r>
          </w:p>
        </w:tc>
        <w:tc>
          <w:tcPr>
            <w:tcW w:w="0" w:type="dxa"/>
            <w:vAlign w:val="bottom"/>
          </w:tcPr>
          <w:p>
            <w:pPr>
              <w:spacing w:after="0"/>
              <w:rPr>
                <w:sz w:val="1"/>
                <w:szCs w:val="1"/>
                <w:color w:val="auto"/>
              </w:rPr>
            </w:pPr>
          </w:p>
        </w:tc>
      </w:tr>
      <w:tr>
        <w:trPr>
          <w:trHeight w:val="171"/>
        </w:trPr>
        <w:tc>
          <w:tcPr>
            <w:tcW w:w="1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David J. Woodhouse, Ph.D.</w:t>
            </w:r>
          </w:p>
        </w:tc>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Stock Option</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3/17/2021</w:t>
            </w: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2/5/2021</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9,031,230</w:t>
            </w:r>
          </w:p>
        </w:tc>
        <w:tc>
          <w:tcPr>
            <w:tcW w:w="0" w:type="dxa"/>
            <w:vAlign w:val="bottom"/>
          </w:tcPr>
          <w:p>
            <w:pPr>
              <w:spacing w:after="0"/>
              <w:rPr>
                <w:sz w:val="1"/>
                <w:szCs w:val="1"/>
                <w:color w:val="auto"/>
              </w:rPr>
            </w:pPr>
          </w:p>
        </w:tc>
      </w:tr>
      <w:tr>
        <w:trPr>
          <w:trHeight w:val="180"/>
        </w:trPr>
        <w:tc>
          <w:tcPr>
            <w:tcW w:w="1900" w:type="dxa"/>
            <w:vAlign w:val="bottom"/>
          </w:tcPr>
          <w:p>
            <w:pPr>
              <w:ind w:left="20"/>
              <w:spacing w:after="0"/>
              <w:rPr>
                <w:sz w:val="20"/>
                <w:szCs w:val="20"/>
                <w:color w:val="auto"/>
              </w:rPr>
            </w:pPr>
            <w:r>
              <w:rPr>
                <w:rFonts w:ascii="Arial" w:cs="Arial" w:eastAsia="Arial" w:hAnsi="Arial"/>
                <w:sz w:val="14"/>
                <w:szCs w:val="14"/>
                <w:color w:val="auto"/>
              </w:rPr>
              <w:t>Siobhan Nolan Mangini</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Stock Option</w:t>
            </w:r>
          </w:p>
        </w:tc>
        <w:tc>
          <w:tcPr>
            <w:tcW w:w="1560" w:type="dxa"/>
            <w:vAlign w:val="bottom"/>
          </w:tcPr>
          <w:p>
            <w:pPr>
              <w:jc w:val="right"/>
              <w:spacing w:after="0"/>
              <w:rPr>
                <w:sz w:val="20"/>
                <w:szCs w:val="20"/>
                <w:color w:val="auto"/>
              </w:rPr>
            </w:pPr>
            <w:r>
              <w:rPr>
                <w:rFonts w:ascii="Arial" w:cs="Arial" w:eastAsia="Arial" w:hAnsi="Arial"/>
                <w:sz w:val="14"/>
                <w:szCs w:val="14"/>
                <w:color w:val="auto"/>
              </w:rPr>
              <w:t>3/17/2021</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2/5/2021</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31.93</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1,003,470</w:t>
            </w: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Jin-Long Chen, Ph.D.</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Option</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3/17/2021</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2/5/2021</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3,512,145</w:t>
            </w:r>
          </w:p>
        </w:tc>
        <w:tc>
          <w:tcPr>
            <w:tcW w:w="0" w:type="dxa"/>
            <w:vAlign w:val="bottom"/>
          </w:tcPr>
          <w:p>
            <w:pPr>
              <w:spacing w:after="0"/>
              <w:rPr>
                <w:sz w:val="1"/>
                <w:szCs w:val="1"/>
                <w:color w:val="auto"/>
              </w:rPr>
            </w:pPr>
          </w:p>
        </w:tc>
      </w:tr>
      <w:tr>
        <w:trPr>
          <w:trHeight w:val="180"/>
        </w:trPr>
        <w:tc>
          <w:tcPr>
            <w:tcW w:w="1900" w:type="dxa"/>
            <w:vAlign w:val="bottom"/>
          </w:tcPr>
          <w:p>
            <w:pPr>
              <w:ind w:left="20"/>
              <w:spacing w:after="0"/>
              <w:rPr>
                <w:sz w:val="20"/>
                <w:szCs w:val="20"/>
                <w:color w:val="auto"/>
              </w:rPr>
            </w:pPr>
            <w:r>
              <w:rPr>
                <w:rFonts w:ascii="Arial" w:cs="Arial" w:eastAsia="Arial" w:hAnsi="Arial"/>
                <w:sz w:val="14"/>
                <w:szCs w:val="14"/>
                <w:color w:val="auto"/>
              </w:rPr>
              <w:t>Hsiao D. Lieu, M.D.</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Stock Option</w:t>
            </w:r>
          </w:p>
        </w:tc>
        <w:tc>
          <w:tcPr>
            <w:tcW w:w="1560" w:type="dxa"/>
            <w:vAlign w:val="bottom"/>
          </w:tcPr>
          <w:p>
            <w:pPr>
              <w:jc w:val="right"/>
              <w:spacing w:after="0"/>
              <w:rPr>
                <w:sz w:val="20"/>
                <w:szCs w:val="20"/>
                <w:color w:val="auto"/>
              </w:rPr>
            </w:pPr>
            <w:r>
              <w:rPr>
                <w:rFonts w:ascii="Arial" w:cs="Arial" w:eastAsia="Arial" w:hAnsi="Arial"/>
                <w:sz w:val="14"/>
                <w:szCs w:val="14"/>
                <w:color w:val="auto"/>
              </w:rPr>
              <w:t>3/17/2021</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2/5/2021</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31.93</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2,006,940</w:t>
            </w: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Valerie Pierce</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Option</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3/17/2021</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2/5/2021</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2,006,940</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87" w:lineRule="exact"/>
        <w:rPr>
          <w:sz w:val="20"/>
          <w:szCs w:val="20"/>
          <w:color w:val="auto"/>
        </w:rPr>
      </w:pPr>
    </w:p>
    <w:p>
      <w:pPr>
        <w:ind w:left="500" w:hanging="495"/>
        <w:spacing w:after="0"/>
        <w:tabs>
          <w:tab w:leader="none" w:pos="500" w:val="left"/>
        </w:tabs>
        <w:numPr>
          <w:ilvl w:val="0"/>
          <w:numId w:val="32"/>
        </w:numPr>
        <w:rPr>
          <w:rFonts w:ascii="Arial" w:cs="Arial" w:eastAsia="Arial" w:hAnsi="Arial"/>
          <w:sz w:val="11"/>
          <w:szCs w:val="11"/>
          <w:color w:val="auto"/>
        </w:rPr>
      </w:pPr>
      <w:r>
        <w:rPr>
          <w:rFonts w:ascii="Arial" w:cs="Arial" w:eastAsia="Arial" w:hAnsi="Arial"/>
          <w:sz w:val="11"/>
          <w:szCs w:val="11"/>
          <w:color w:val="auto"/>
        </w:rPr>
        <w:t>Grant date is the second business day following the day on which the Company’s Annual Report on Form 10-K for the year ended December 31, 2020 was filed.</w:t>
      </w:r>
    </w:p>
    <w:p>
      <w:pPr>
        <w:spacing w:after="0" w:line="85" w:lineRule="exact"/>
        <w:rPr>
          <w:rFonts w:ascii="Arial" w:cs="Arial" w:eastAsia="Arial" w:hAnsi="Arial"/>
          <w:sz w:val="11"/>
          <w:szCs w:val="11"/>
          <w:color w:val="auto"/>
        </w:rPr>
      </w:pPr>
    </w:p>
    <w:p>
      <w:pPr>
        <w:ind w:left="520" w:hanging="515"/>
        <w:spacing w:after="0" w:line="283" w:lineRule="auto"/>
        <w:tabs>
          <w:tab w:leader="none" w:pos="51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Annual options awarded under the Restated 2018 Plan. Options vest as to 1/48th of the shares subject to the option each month from January 1, 2021, subject to each executive’s continued service to us on each applicable vesting date. Options may be exercised when vested following the grant date.</w:t>
      </w:r>
    </w:p>
    <w:p>
      <w:pPr>
        <w:spacing w:after="0" w:line="41" w:lineRule="exact"/>
        <w:rPr>
          <w:rFonts w:ascii="Arial" w:cs="Arial" w:eastAsia="Arial" w:hAnsi="Arial"/>
          <w:sz w:val="11"/>
          <w:szCs w:val="11"/>
          <w:color w:val="auto"/>
        </w:rPr>
      </w:pPr>
    </w:p>
    <w:p>
      <w:pPr>
        <w:jc w:val="both"/>
        <w:ind w:left="520" w:hanging="515"/>
        <w:spacing w:after="0" w:line="262" w:lineRule="auto"/>
        <w:tabs>
          <w:tab w:leader="none" w:pos="51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Amounts represent the grant date fair value of stock options granted to our named executive officers during 2021 computed in accordance with ASC Topic 718. Assumptions used in the calculation of these amounts are included in Note 9 to our consolidated financial statements included in our Annual Report on Form 10-K for the year ended December 31, 2021. These amounts do not necessarily correspond to the actual value recognized or that may be recognized by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931" w:right="319" w:bottom="1440" w:gutter="0" w:footer="0" w:header="0"/>
        </w:sectPr>
      </w:pPr>
    </w:p>
    <w:bookmarkStart w:id="38" w:name="page39"/>
    <w:bookmarkEnd w:id="38"/>
    <w:p>
      <w:pPr>
        <w:ind w:left="60"/>
        <w:spacing w:after="0"/>
        <w:rPr>
          <w:sz w:val="20"/>
          <w:szCs w:val="20"/>
          <w:color w:val="auto"/>
        </w:rPr>
      </w:pPr>
      <w:r>
        <w:rPr>
          <w:rFonts w:ascii="Arial" w:cs="Arial" w:eastAsia="Arial" w:hAnsi="Arial"/>
          <w:sz w:val="14"/>
          <w:szCs w:val="14"/>
          <w:b w:val="1"/>
          <w:bCs w:val="1"/>
          <w:color w:val="auto"/>
        </w:rPr>
        <w:t>Outstanding Equity Awards at December 31, 2021</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table shows certain information regarding outstanding equity awards at December 31, 2021 for our named executive officers.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gridSpan w:val="3"/>
          </w:tcPr>
          <w:p>
            <w:pPr>
              <w:ind w:left="820"/>
              <w:spacing w:after="0"/>
              <w:rPr>
                <w:sz w:val="20"/>
                <w:szCs w:val="20"/>
                <w:color w:val="auto"/>
              </w:rPr>
            </w:pPr>
            <w:r>
              <w:rPr>
                <w:rFonts w:ascii="Arial" w:cs="Arial" w:eastAsia="Arial" w:hAnsi="Arial"/>
                <w:sz w:val="13"/>
                <w:szCs w:val="13"/>
                <w:b w:val="1"/>
                <w:bCs w:val="1"/>
                <w:color w:val="auto"/>
                <w:w w:val="99"/>
              </w:rPr>
              <w:t>Option Awards</w:t>
            </w:r>
            <w:r>
              <w:rPr>
                <w:rFonts w:ascii="Arial" w:cs="Arial" w:eastAsia="Arial" w:hAnsi="Arial"/>
                <w:sz w:val="16"/>
                <w:szCs w:val="16"/>
                <w:b w:val="1"/>
                <w:bCs w:val="1"/>
                <w:color w:val="auto"/>
                <w:w w:val="99"/>
                <w:vertAlign w:val="superscript"/>
              </w:rPr>
              <w:t>(1)(2)</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center"/>
              <w:ind w:right="171"/>
              <w:spacing w:after="0" w:line="118" w:lineRule="exact"/>
              <w:rPr>
                <w:sz w:val="20"/>
                <w:szCs w:val="20"/>
                <w:color w:val="auto"/>
              </w:rPr>
            </w:pPr>
            <w:r>
              <w:rPr>
                <w:rFonts w:ascii="Arial" w:cs="Arial" w:eastAsia="Arial" w:hAnsi="Arial"/>
                <w:sz w:val="13"/>
                <w:szCs w:val="13"/>
                <w:b w:val="1"/>
                <w:bCs w:val="1"/>
                <w:color w:val="auto"/>
                <w:w w:val="95"/>
              </w:rPr>
              <w:t>Number of</w:t>
            </w:r>
          </w:p>
        </w:tc>
        <w:tc>
          <w:tcPr>
            <w:tcW w:w="340" w:type="dxa"/>
            <w:vAlign w:val="bottom"/>
          </w:tcPr>
          <w:p>
            <w:pPr>
              <w:spacing w:after="0"/>
              <w:rPr>
                <w:sz w:val="10"/>
                <w:szCs w:val="10"/>
                <w:color w:val="auto"/>
              </w:rPr>
            </w:pPr>
          </w:p>
        </w:tc>
        <w:tc>
          <w:tcPr>
            <w:tcW w:w="1700" w:type="dxa"/>
            <w:vAlign w:val="bottom"/>
            <w:gridSpan w:val="2"/>
          </w:tcPr>
          <w:p>
            <w:pPr>
              <w:jc w:val="center"/>
              <w:ind w:right="100"/>
              <w:spacing w:after="0" w:line="118" w:lineRule="exact"/>
              <w:rPr>
                <w:sz w:val="20"/>
                <w:szCs w:val="20"/>
                <w:color w:val="auto"/>
              </w:rPr>
            </w:pPr>
            <w:r>
              <w:rPr>
                <w:rFonts w:ascii="Arial" w:cs="Arial" w:eastAsia="Arial" w:hAnsi="Arial"/>
                <w:sz w:val="13"/>
                <w:szCs w:val="13"/>
                <w:b w:val="1"/>
                <w:bCs w:val="1"/>
                <w:color w:val="auto"/>
                <w:w w:val="98"/>
              </w:rPr>
              <w:t>Number of</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71"/>
              <w:spacing w:after="0" w:line="128" w:lineRule="exact"/>
              <w:rPr>
                <w:sz w:val="20"/>
                <w:szCs w:val="20"/>
                <w:color w:val="auto"/>
              </w:rPr>
            </w:pPr>
            <w:r>
              <w:rPr>
                <w:rFonts w:ascii="Arial" w:cs="Arial" w:eastAsia="Arial" w:hAnsi="Arial"/>
                <w:sz w:val="13"/>
                <w:szCs w:val="13"/>
                <w:b w:val="1"/>
                <w:bCs w:val="1"/>
                <w:color w:val="auto"/>
                <w:w w:val="99"/>
              </w:rPr>
              <w:t>Securities</w:t>
            </w:r>
          </w:p>
        </w:tc>
        <w:tc>
          <w:tcPr>
            <w:tcW w:w="340" w:type="dxa"/>
            <w:vAlign w:val="bottom"/>
          </w:tcPr>
          <w:p>
            <w:pPr>
              <w:spacing w:after="0"/>
              <w:rPr>
                <w:sz w:val="11"/>
                <w:szCs w:val="11"/>
                <w:color w:val="auto"/>
              </w:rPr>
            </w:pPr>
          </w:p>
        </w:tc>
        <w:tc>
          <w:tcPr>
            <w:tcW w:w="170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96"/>
              </w:rPr>
              <w:t>Securities</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71"/>
              <w:spacing w:after="0" w:line="128" w:lineRule="exact"/>
              <w:rPr>
                <w:sz w:val="20"/>
                <w:szCs w:val="20"/>
                <w:color w:val="auto"/>
              </w:rPr>
            </w:pPr>
            <w:r>
              <w:rPr>
                <w:rFonts w:ascii="Arial" w:cs="Arial" w:eastAsia="Arial" w:hAnsi="Arial"/>
                <w:sz w:val="13"/>
                <w:szCs w:val="13"/>
                <w:b w:val="1"/>
                <w:bCs w:val="1"/>
                <w:color w:val="auto"/>
                <w:w w:val="97"/>
              </w:rPr>
              <w:t>Underlying</w:t>
            </w:r>
          </w:p>
        </w:tc>
        <w:tc>
          <w:tcPr>
            <w:tcW w:w="340" w:type="dxa"/>
            <w:vAlign w:val="bottom"/>
          </w:tcPr>
          <w:p>
            <w:pPr>
              <w:spacing w:after="0"/>
              <w:rPr>
                <w:sz w:val="11"/>
                <w:szCs w:val="11"/>
                <w:color w:val="auto"/>
              </w:rPr>
            </w:pPr>
          </w:p>
        </w:tc>
        <w:tc>
          <w:tcPr>
            <w:tcW w:w="170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rPr>
              <w:t>Underlying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Grant</w:t>
            </w:r>
          </w:p>
        </w:tc>
        <w:tc>
          <w:tcPr>
            <w:tcW w:w="202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97"/>
              </w:rPr>
              <w:t>Vesting</w:t>
            </w:r>
          </w:p>
        </w:tc>
        <w:tc>
          <w:tcPr>
            <w:tcW w:w="1180" w:type="dxa"/>
            <w:vAlign w:val="bottom"/>
          </w:tcPr>
          <w:p>
            <w:pPr>
              <w:jc w:val="center"/>
              <w:ind w:right="171"/>
              <w:spacing w:after="0" w:line="128" w:lineRule="exact"/>
              <w:rPr>
                <w:sz w:val="20"/>
                <w:szCs w:val="20"/>
                <w:color w:val="auto"/>
              </w:rPr>
            </w:pPr>
            <w:r>
              <w:rPr>
                <w:rFonts w:ascii="Arial" w:cs="Arial" w:eastAsia="Arial" w:hAnsi="Arial"/>
                <w:sz w:val="13"/>
                <w:szCs w:val="13"/>
                <w:b w:val="1"/>
                <w:bCs w:val="1"/>
                <w:color w:val="auto"/>
                <w:w w:val="95"/>
              </w:rPr>
              <w:t>Unexercised</w:t>
            </w:r>
          </w:p>
        </w:tc>
        <w:tc>
          <w:tcPr>
            <w:tcW w:w="340" w:type="dxa"/>
            <w:vAlign w:val="bottom"/>
          </w:tcPr>
          <w:p>
            <w:pPr>
              <w:spacing w:after="0"/>
              <w:rPr>
                <w:sz w:val="11"/>
                <w:szCs w:val="11"/>
                <w:color w:val="auto"/>
              </w:rPr>
            </w:pPr>
          </w:p>
        </w:tc>
        <w:tc>
          <w:tcPr>
            <w:tcW w:w="170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98"/>
              </w:rPr>
              <w:t>Unexercised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180" w:type="dxa"/>
            <w:vAlign w:val="bottom"/>
            <w:vMerge w:val="restart"/>
          </w:tcPr>
          <w:p>
            <w:pPr>
              <w:jc w:val="center"/>
              <w:ind w:right="171"/>
              <w:spacing w:after="0" w:line="128" w:lineRule="exact"/>
              <w:rPr>
                <w:sz w:val="20"/>
                <w:szCs w:val="20"/>
                <w:color w:val="auto"/>
              </w:rPr>
            </w:pPr>
            <w:r>
              <w:rPr>
                <w:rFonts w:ascii="Arial" w:cs="Arial" w:eastAsia="Arial" w:hAnsi="Arial"/>
                <w:sz w:val="13"/>
                <w:szCs w:val="13"/>
                <w:b w:val="1"/>
                <w:bCs w:val="1"/>
                <w:color w:val="auto"/>
              </w:rPr>
              <w:t>Options</w:t>
            </w:r>
          </w:p>
        </w:tc>
        <w:tc>
          <w:tcPr>
            <w:tcW w:w="340" w:type="dxa"/>
            <w:vAlign w:val="bottom"/>
          </w:tcPr>
          <w:p>
            <w:pPr>
              <w:spacing w:after="0"/>
              <w:rPr>
                <w:sz w:val="6"/>
                <w:szCs w:val="6"/>
                <w:color w:val="auto"/>
              </w:rPr>
            </w:pPr>
          </w:p>
        </w:tc>
        <w:tc>
          <w:tcPr>
            <w:tcW w:w="1700" w:type="dxa"/>
            <w:vAlign w:val="bottom"/>
            <w:gridSpan w:val="2"/>
            <w:vMerge w:val="restart"/>
          </w:tcPr>
          <w:p>
            <w:pPr>
              <w:jc w:val="center"/>
              <w:ind w:right="100"/>
              <w:spacing w:after="0" w:line="128" w:lineRule="exact"/>
              <w:rPr>
                <w:sz w:val="20"/>
                <w:szCs w:val="20"/>
                <w:color w:val="auto"/>
              </w:rPr>
            </w:pPr>
            <w:r>
              <w:rPr>
                <w:rFonts w:ascii="Arial" w:cs="Arial" w:eastAsia="Arial" w:hAnsi="Arial"/>
                <w:sz w:val="13"/>
                <w:szCs w:val="13"/>
                <w:b w:val="1"/>
                <w:bCs w:val="1"/>
                <w:color w:val="auto"/>
                <w:w w:val="97"/>
              </w:rPr>
              <w:t>Options</w:t>
            </w:r>
          </w:p>
        </w:tc>
        <w:tc>
          <w:tcPr>
            <w:tcW w:w="1160" w:type="dxa"/>
            <w:vAlign w:val="bottom"/>
            <w:gridSpan w:val="2"/>
            <w:vMerge w:val="restart"/>
          </w:tcPr>
          <w:p>
            <w:pPr>
              <w:jc w:val="center"/>
              <w:ind w:right="100"/>
              <w:spacing w:after="0" w:line="128" w:lineRule="exact"/>
              <w:rPr>
                <w:sz w:val="20"/>
                <w:szCs w:val="20"/>
                <w:color w:val="auto"/>
              </w:rPr>
            </w:pPr>
            <w:r>
              <w:rPr>
                <w:rFonts w:ascii="Arial" w:cs="Arial" w:eastAsia="Arial" w:hAnsi="Arial"/>
                <w:sz w:val="13"/>
                <w:szCs w:val="13"/>
                <w:b w:val="1"/>
                <w:bCs w:val="1"/>
                <w:color w:val="auto"/>
              </w:rPr>
              <w:t>Option</w:t>
            </w: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202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96"/>
              </w:rPr>
              <w:t>Commencement</w:t>
            </w:r>
          </w:p>
        </w:tc>
        <w:tc>
          <w:tcPr>
            <w:tcW w:w="11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27"/>
        </w:trPr>
        <w:tc>
          <w:tcPr>
            <w:tcW w:w="24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220" w:type="dxa"/>
            <w:vAlign w:val="bottom"/>
            <w:gridSpan w:val="2"/>
            <w:vMerge w:val="continue"/>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180" w:type="dxa"/>
            <w:vAlign w:val="bottom"/>
          </w:tcPr>
          <w:p>
            <w:pPr>
              <w:jc w:val="center"/>
              <w:ind w:right="171"/>
              <w:spacing w:after="0" w:line="128" w:lineRule="exact"/>
              <w:rPr>
                <w:sz w:val="20"/>
                <w:szCs w:val="20"/>
                <w:color w:val="auto"/>
              </w:rPr>
            </w:pPr>
            <w:r>
              <w:rPr>
                <w:rFonts w:ascii="Arial" w:cs="Arial" w:eastAsia="Arial" w:hAnsi="Arial"/>
                <w:sz w:val="13"/>
                <w:szCs w:val="13"/>
                <w:b w:val="1"/>
                <w:bCs w:val="1"/>
                <w:color w:val="auto"/>
                <w:w w:val="96"/>
              </w:rPr>
              <w:t>Exercisable</w:t>
            </w:r>
          </w:p>
        </w:tc>
        <w:tc>
          <w:tcPr>
            <w:tcW w:w="340" w:type="dxa"/>
            <w:vAlign w:val="bottom"/>
          </w:tcPr>
          <w:p>
            <w:pPr>
              <w:spacing w:after="0"/>
              <w:rPr>
                <w:sz w:val="11"/>
                <w:szCs w:val="11"/>
                <w:color w:val="auto"/>
              </w:rPr>
            </w:pPr>
          </w:p>
        </w:tc>
        <w:tc>
          <w:tcPr>
            <w:tcW w:w="170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7"/>
              </w:rPr>
              <w:t>Unexercisable</w:t>
            </w:r>
          </w:p>
        </w:tc>
        <w:tc>
          <w:tcPr>
            <w:tcW w:w="116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7"/>
              </w:rPr>
              <w:t>Exercise</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4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9"/>
              </w:rPr>
              <w:t>Date</w:t>
            </w:r>
          </w:p>
        </w:tc>
        <w:tc>
          <w:tcPr>
            <w:tcW w:w="1180" w:type="dxa"/>
            <w:vAlign w:val="bottom"/>
          </w:tcPr>
          <w:p>
            <w:pPr>
              <w:jc w:val="center"/>
              <w:ind w:right="171"/>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Price ($)</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71"/>
        </w:trPr>
        <w:tc>
          <w:tcPr>
            <w:tcW w:w="2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David J. Woodhouse, Ph.D.</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4/22/2015</w:t>
            </w:r>
          </w:p>
        </w:tc>
        <w:tc>
          <w:tcPr>
            <w:tcW w:w="8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3/2/2015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255,000</w:t>
            </w:r>
          </w:p>
        </w:tc>
        <w:tc>
          <w:tcPr>
            <w:tcW w:w="340" w:type="dxa"/>
            <w:vAlign w:val="bottom"/>
            <w:tcBorders>
              <w:top w:val="single" w:sz="8" w:color="CCEEFF"/>
            </w:tcBorders>
            <w:shd w:val="clear" w:color="auto" w:fill="CCEEFF"/>
          </w:tcPr>
          <w:p>
            <w:pPr>
              <w:jc w:val="right"/>
              <w:ind w:right="174"/>
              <w:spacing w:after="0"/>
              <w:rPr>
                <w:sz w:val="20"/>
                <w:szCs w:val="20"/>
                <w:color w:val="auto"/>
              </w:rPr>
            </w:pPr>
            <w:r>
              <w:rPr>
                <w:rFonts w:ascii="Arial" w:cs="Arial" w:eastAsia="Arial" w:hAnsi="Arial"/>
                <w:sz w:val="9"/>
                <w:szCs w:val="9"/>
                <w:color w:val="auto"/>
                <w:w w:val="90"/>
              </w:rPr>
              <w:t>(3)</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4/21/2025</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1/20/2017</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1/1/2017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87,013</w:t>
            </w:r>
          </w:p>
        </w:tc>
        <w:tc>
          <w:tcPr>
            <w:tcW w:w="34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1/19/2027</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1/31/2018</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57,833</w:t>
            </w: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1/30/2028</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7/25/2018</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7/13/2018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500,000</w:t>
            </w:r>
          </w:p>
        </w:tc>
        <w:tc>
          <w:tcPr>
            <w:tcW w:w="34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7/24/2028</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2/7/2019</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2/6/2029</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2/4/2020</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400,000</w:t>
            </w:r>
          </w:p>
        </w:tc>
        <w:tc>
          <w:tcPr>
            <w:tcW w:w="34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16.47</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2/3/2030</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3/17/2021</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103,125</w:t>
            </w: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w w:val="90"/>
              </w:rPr>
              <w:t>(4)</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346,875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3/16/2031</w:t>
            </w:r>
          </w:p>
        </w:tc>
        <w:tc>
          <w:tcPr>
            <w:tcW w:w="0" w:type="dxa"/>
            <w:vAlign w:val="bottom"/>
          </w:tcPr>
          <w:p>
            <w:pPr>
              <w:spacing w:after="0"/>
              <w:rPr>
                <w:sz w:val="1"/>
                <w:szCs w:val="1"/>
                <w:color w:val="auto"/>
              </w:rPr>
            </w:pPr>
          </w:p>
        </w:tc>
      </w:tr>
      <w:tr>
        <w:trPr>
          <w:trHeight w:val="180"/>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Siobhan Nolan Mangini</w:t>
            </w:r>
          </w:p>
        </w:tc>
        <w:tc>
          <w:tcPr>
            <w:tcW w:w="1140" w:type="dxa"/>
            <w:vAlign w:val="bottom"/>
          </w:tcPr>
          <w:p>
            <w:pPr>
              <w:jc w:val="right"/>
              <w:spacing w:after="0"/>
              <w:rPr>
                <w:sz w:val="20"/>
                <w:szCs w:val="20"/>
                <w:color w:val="auto"/>
              </w:rPr>
            </w:pPr>
            <w:r>
              <w:rPr>
                <w:rFonts w:ascii="Arial" w:cs="Arial" w:eastAsia="Arial" w:hAnsi="Arial"/>
                <w:sz w:val="14"/>
                <w:szCs w:val="14"/>
                <w:color w:val="auto"/>
              </w:rPr>
              <w:t>8/3/2020</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7/13/2020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300,000</w:t>
            </w:r>
          </w:p>
        </w:tc>
        <w:tc>
          <w:tcPr>
            <w:tcW w:w="340" w:type="dxa"/>
            <w:vAlign w:val="bottom"/>
          </w:tcPr>
          <w:p>
            <w:pPr>
              <w:jc w:val="right"/>
              <w:ind w:right="174"/>
              <w:spacing w:after="0"/>
              <w:rPr>
                <w:sz w:val="20"/>
                <w:szCs w:val="20"/>
                <w:color w:val="auto"/>
              </w:rPr>
            </w:pPr>
            <w:r>
              <w:rPr>
                <w:rFonts w:ascii="Arial" w:cs="Arial" w:eastAsia="Arial" w:hAnsi="Arial"/>
                <w:sz w:val="9"/>
                <w:szCs w:val="9"/>
                <w:color w:val="auto"/>
                <w:w w:val="90"/>
              </w:rPr>
              <w:t>(3)</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8/2/2030</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3/17/2021</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11,458</w:t>
            </w: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w w:val="90"/>
              </w:rPr>
              <w:t>(4)</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38,542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3/16/2031</w:t>
            </w:r>
          </w:p>
        </w:tc>
        <w:tc>
          <w:tcPr>
            <w:tcW w:w="0" w:type="dxa"/>
            <w:vAlign w:val="bottom"/>
          </w:tcPr>
          <w:p>
            <w:pPr>
              <w:spacing w:after="0"/>
              <w:rPr>
                <w:sz w:val="1"/>
                <w:szCs w:val="1"/>
                <w:color w:val="auto"/>
              </w:rPr>
            </w:pPr>
          </w:p>
        </w:tc>
      </w:tr>
      <w:tr>
        <w:trPr>
          <w:trHeight w:val="180"/>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Jin-Long Chen, Ph.D.</w:t>
            </w:r>
          </w:p>
        </w:tc>
        <w:tc>
          <w:tcPr>
            <w:tcW w:w="1140" w:type="dxa"/>
            <w:vAlign w:val="bottom"/>
          </w:tcPr>
          <w:p>
            <w:pPr>
              <w:jc w:val="right"/>
              <w:spacing w:after="0"/>
              <w:rPr>
                <w:sz w:val="20"/>
                <w:szCs w:val="20"/>
                <w:color w:val="auto"/>
              </w:rPr>
            </w:pPr>
            <w:r>
              <w:rPr>
                <w:rFonts w:ascii="Arial" w:cs="Arial" w:eastAsia="Arial" w:hAnsi="Arial"/>
                <w:sz w:val="14"/>
                <w:szCs w:val="14"/>
                <w:color w:val="auto"/>
              </w:rPr>
              <w:t>1/24/2013</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1/1/2013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85,082</w:t>
            </w:r>
          </w:p>
        </w:tc>
        <w:tc>
          <w:tcPr>
            <w:tcW w:w="34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1/23/2023</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1/24/2014</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1/23/2024</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1/31/2015</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1/1/2015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200,000</w:t>
            </w:r>
          </w:p>
        </w:tc>
        <w:tc>
          <w:tcPr>
            <w:tcW w:w="34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1/30/2025</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1/27/2016</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1/26/2026</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1/20/2017</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1/1/2017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225,000</w:t>
            </w:r>
          </w:p>
        </w:tc>
        <w:tc>
          <w:tcPr>
            <w:tcW w:w="34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1/19/2027</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1/31/2018</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1/30/2028</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2/7/2019</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1/1/2019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175,000</w:t>
            </w:r>
          </w:p>
        </w:tc>
        <w:tc>
          <w:tcPr>
            <w:tcW w:w="34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2/6/2029</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2/4/2020</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2/3/2030</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3/17/2021</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1/1/2021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40,104</w:t>
            </w:r>
          </w:p>
        </w:tc>
        <w:tc>
          <w:tcPr>
            <w:tcW w:w="340" w:type="dxa"/>
            <w:vAlign w:val="bottom"/>
          </w:tcPr>
          <w:p>
            <w:pPr>
              <w:jc w:val="right"/>
              <w:ind w:right="174"/>
              <w:spacing w:after="0"/>
              <w:rPr>
                <w:sz w:val="20"/>
                <w:szCs w:val="20"/>
                <w:color w:val="auto"/>
              </w:rPr>
            </w:pPr>
            <w:r>
              <w:rPr>
                <w:rFonts w:ascii="Arial" w:cs="Arial" w:eastAsia="Arial" w:hAnsi="Arial"/>
                <w:sz w:val="9"/>
                <w:szCs w:val="9"/>
                <w:color w:val="auto"/>
                <w:w w:val="90"/>
              </w:rPr>
              <w:t>(4)</w:t>
            </w:r>
          </w:p>
        </w:tc>
        <w:tc>
          <w:tcPr>
            <w:tcW w:w="1620" w:type="dxa"/>
            <w:vAlign w:val="bottom"/>
          </w:tcPr>
          <w:p>
            <w:pPr>
              <w:jc w:val="right"/>
              <w:spacing w:after="0"/>
              <w:rPr>
                <w:sz w:val="20"/>
                <w:szCs w:val="20"/>
                <w:color w:val="auto"/>
              </w:rPr>
            </w:pPr>
            <w:r>
              <w:rPr>
                <w:rFonts w:ascii="Arial" w:cs="Arial" w:eastAsia="Arial" w:hAnsi="Arial"/>
                <w:sz w:val="14"/>
                <w:szCs w:val="14"/>
                <w:color w:val="auto"/>
              </w:rPr>
              <w:t>134,896</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31.93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3/16/2031</w:t>
            </w:r>
          </w:p>
        </w:tc>
        <w:tc>
          <w:tcPr>
            <w:tcW w:w="0" w:type="dxa"/>
            <w:vAlign w:val="bottom"/>
          </w:tcPr>
          <w:p>
            <w:pPr>
              <w:spacing w:after="0"/>
              <w:rPr>
                <w:sz w:val="1"/>
                <w:szCs w:val="1"/>
                <w:color w:val="auto"/>
              </w:rPr>
            </w:pPr>
          </w:p>
        </w:tc>
      </w:tr>
      <w:tr>
        <w:trPr>
          <w:trHeight w:val="18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Hsiao D. Lieu, M.D.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3/19/2019</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3/19/2019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190,000</w:t>
            </w: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w w:val="90"/>
              </w:rPr>
              <w:t>(3)</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3/18/2029</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2/4/2020</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25,000</w:t>
            </w:r>
          </w:p>
        </w:tc>
        <w:tc>
          <w:tcPr>
            <w:tcW w:w="34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16.47</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2/3/2030</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3/17/2021</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22,916</w:t>
            </w: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w w:val="90"/>
              </w:rPr>
              <w:t>(4)</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77,084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3/16/2031</w:t>
            </w:r>
          </w:p>
        </w:tc>
        <w:tc>
          <w:tcPr>
            <w:tcW w:w="0" w:type="dxa"/>
            <w:vAlign w:val="bottom"/>
          </w:tcPr>
          <w:p>
            <w:pPr>
              <w:spacing w:after="0"/>
              <w:rPr>
                <w:sz w:val="1"/>
                <w:szCs w:val="1"/>
                <w:color w:val="auto"/>
              </w:rPr>
            </w:pPr>
          </w:p>
        </w:tc>
      </w:tr>
      <w:tr>
        <w:trPr>
          <w:trHeight w:val="180"/>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Valerie Pierce</w:t>
            </w:r>
          </w:p>
        </w:tc>
        <w:tc>
          <w:tcPr>
            <w:tcW w:w="1140" w:type="dxa"/>
            <w:vAlign w:val="bottom"/>
          </w:tcPr>
          <w:p>
            <w:pPr>
              <w:jc w:val="right"/>
              <w:spacing w:after="0"/>
              <w:rPr>
                <w:sz w:val="20"/>
                <w:szCs w:val="20"/>
                <w:color w:val="auto"/>
              </w:rPr>
            </w:pPr>
            <w:r>
              <w:rPr>
                <w:rFonts w:ascii="Arial" w:cs="Arial" w:eastAsia="Arial" w:hAnsi="Arial"/>
                <w:sz w:val="14"/>
                <w:szCs w:val="14"/>
                <w:color w:val="auto"/>
              </w:rPr>
              <w:t>10/1/2019</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9/30/2019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200,000</w:t>
            </w:r>
          </w:p>
        </w:tc>
        <w:tc>
          <w:tcPr>
            <w:tcW w:w="340" w:type="dxa"/>
            <w:vAlign w:val="bottom"/>
          </w:tcPr>
          <w:p>
            <w:pPr>
              <w:jc w:val="right"/>
              <w:ind w:right="174"/>
              <w:spacing w:after="0"/>
              <w:rPr>
                <w:sz w:val="20"/>
                <w:szCs w:val="20"/>
                <w:color w:val="auto"/>
              </w:rPr>
            </w:pPr>
            <w:r>
              <w:rPr>
                <w:rFonts w:ascii="Arial" w:cs="Arial" w:eastAsia="Arial" w:hAnsi="Arial"/>
                <w:sz w:val="9"/>
                <w:szCs w:val="9"/>
                <w:color w:val="auto"/>
                <w:w w:val="90"/>
              </w:rPr>
              <w:t>(3)</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9/30/2029</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3/17/2021</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22,916</w:t>
            </w: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w w:val="90"/>
              </w:rPr>
              <w:t>(4)</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77,084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3/16/2031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44" w:lineRule="exact"/>
        <w:rPr>
          <w:sz w:val="20"/>
          <w:szCs w:val="20"/>
          <w:color w:val="auto"/>
        </w:rPr>
      </w:pPr>
    </w:p>
    <w:p>
      <w:pPr>
        <w:ind w:left="580" w:hanging="515"/>
        <w:spacing w:after="0" w:line="281" w:lineRule="auto"/>
        <w:tabs>
          <w:tab w:leader="none" w:pos="570" w:val="left"/>
        </w:tabs>
        <w:numPr>
          <w:ilvl w:val="0"/>
          <w:numId w:val="33"/>
        </w:numPr>
        <w:rPr>
          <w:rFonts w:ascii="Arial" w:cs="Arial" w:eastAsia="Arial" w:hAnsi="Arial"/>
          <w:sz w:val="11"/>
          <w:szCs w:val="11"/>
          <w:color w:val="auto"/>
        </w:rPr>
      </w:pPr>
      <w:r>
        <w:rPr>
          <w:rFonts w:ascii="Arial" w:cs="Arial" w:eastAsia="Arial" w:hAnsi="Arial"/>
          <w:sz w:val="11"/>
          <w:szCs w:val="11"/>
          <w:color w:val="auto"/>
        </w:rPr>
        <w:t>Except as otherwise noted, option may be exercised at any time following the date of grant (including early exercise of unvested options), with any acquired shares that remain unvested as of the officer’s termination date subject to the Company’s right of repurchase.</w:t>
      </w:r>
    </w:p>
    <w:p>
      <w:pPr>
        <w:ind w:left="560" w:hanging="495"/>
        <w:spacing w:after="0"/>
        <w:tabs>
          <w:tab w:leader="none" w:pos="5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Except as otherwise noted, option vests in substantially equal monthly installments over 48 months of continuous service following the vesting commencement date set forth above.</w:t>
      </w:r>
    </w:p>
    <w:p>
      <w:pPr>
        <w:spacing w:after="0" w:line="43" w:lineRule="exact"/>
        <w:rPr>
          <w:rFonts w:ascii="Arial" w:cs="Arial" w:eastAsia="Arial" w:hAnsi="Arial"/>
          <w:sz w:val="11"/>
          <w:szCs w:val="11"/>
          <w:color w:val="auto"/>
        </w:rPr>
      </w:pPr>
    </w:p>
    <w:p>
      <w:pPr>
        <w:ind w:left="580" w:hanging="515"/>
        <w:spacing w:after="0" w:line="281" w:lineRule="auto"/>
        <w:tabs>
          <w:tab w:leader="none" w:pos="570" w:val="left"/>
        </w:tabs>
        <w:numPr>
          <w:ilvl w:val="0"/>
          <w:numId w:val="33"/>
        </w:numPr>
        <w:rPr>
          <w:rFonts w:ascii="Arial" w:cs="Arial" w:eastAsia="Arial" w:hAnsi="Arial"/>
          <w:sz w:val="11"/>
          <w:szCs w:val="11"/>
          <w:color w:val="auto"/>
        </w:rPr>
      </w:pPr>
      <w:r>
        <w:rPr>
          <w:rFonts w:ascii="Arial" w:cs="Arial" w:eastAsia="Arial" w:hAnsi="Arial"/>
          <w:sz w:val="11"/>
          <w:szCs w:val="11"/>
          <w:color w:val="auto"/>
        </w:rPr>
        <w:t>Option vests over four years of continuous service following the vesting commencement date set forth above, with 25% of the option vesting after completion of 12 months of continuous service and the remainder vesting in substantially equal monthly installments following the completion of each month of continuous service thereafter.</w:t>
      </w:r>
    </w:p>
    <w:p>
      <w:pPr>
        <w:ind w:left="560" w:hanging="495"/>
        <w:spacing w:after="0"/>
        <w:tabs>
          <w:tab w:leader="none" w:pos="5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Option may be exercised when vested following the date of grant.</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40"/>
          </w:cols>
          <w:pgMar w:left="240" w:top="931" w:right="319" w:bottom="1440" w:gutter="0" w:footer="0" w:header="0"/>
        </w:sectPr>
      </w:pPr>
    </w:p>
    <w:bookmarkStart w:id="39" w:name="page40"/>
    <w:bookmarkEnd w:id="39"/>
    <w:p>
      <w:pPr>
        <w:ind w:left="60"/>
        <w:spacing w:after="0"/>
        <w:rPr>
          <w:sz w:val="20"/>
          <w:szCs w:val="20"/>
          <w:color w:val="auto"/>
        </w:rPr>
      </w:pPr>
      <w:r>
        <w:rPr>
          <w:rFonts w:ascii="Arial" w:cs="Arial" w:eastAsia="Arial" w:hAnsi="Arial"/>
          <w:sz w:val="14"/>
          <w:szCs w:val="14"/>
          <w:b w:val="1"/>
          <w:bCs w:val="1"/>
          <w:color w:val="auto"/>
        </w:rPr>
        <w:t>Option Exercises in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following table shows certain information regarding option exercises by our named executive officers in 2021.</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40" w:type="dxa"/>
            <w:vAlign w:val="bottom"/>
            <w:tcBorders>
              <w:top w:val="single" w:sz="8" w:color="auto"/>
              <w:bottom w:val="single" w:sz="8" w:color="auto"/>
            </w:tcBorders>
            <w:gridSpan w:val="3"/>
          </w:tcPr>
          <w:p>
            <w:pPr>
              <w:jc w:val="right"/>
              <w:ind w:right="1851"/>
              <w:spacing w:after="0"/>
              <w:rPr>
                <w:sz w:val="20"/>
                <w:szCs w:val="20"/>
                <w:color w:val="auto"/>
              </w:rPr>
            </w:pPr>
            <w:r>
              <w:rPr>
                <w:rFonts w:ascii="Arial" w:cs="Arial" w:eastAsia="Arial" w:hAnsi="Arial"/>
                <w:sz w:val="13"/>
                <w:szCs w:val="13"/>
                <w:b w:val="1"/>
                <w:bCs w:val="1"/>
                <w:color w:val="auto"/>
              </w:rPr>
              <w:t>Option Awards</w:t>
            </w:r>
          </w:p>
        </w:tc>
        <w:tc>
          <w:tcPr>
            <w:tcW w:w="0" w:type="dxa"/>
            <w:vAlign w:val="bottom"/>
          </w:tcPr>
          <w:p>
            <w:pPr>
              <w:spacing w:after="0"/>
              <w:rPr>
                <w:sz w:val="1"/>
                <w:szCs w:val="1"/>
                <w:color w:val="auto"/>
              </w:rPr>
            </w:pPr>
          </w:p>
        </w:tc>
      </w:tr>
      <w:tr>
        <w:trPr>
          <w:trHeight w:val="132"/>
        </w:trPr>
        <w:tc>
          <w:tcPr>
            <w:tcW w:w="6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242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98"/>
              </w:rPr>
              <w:t>Number of Shares Acquired on</w:t>
            </w:r>
          </w:p>
        </w:tc>
        <w:tc>
          <w:tcPr>
            <w:tcW w:w="2320" w:type="dxa"/>
            <w:vAlign w:val="bottom"/>
          </w:tcPr>
          <w:p>
            <w:pPr>
              <w:jc w:val="right"/>
              <w:ind w:right="291"/>
              <w:spacing w:after="0" w:line="133" w:lineRule="exact"/>
              <w:rPr>
                <w:sz w:val="20"/>
                <w:szCs w:val="20"/>
                <w:color w:val="auto"/>
              </w:rPr>
            </w:pPr>
            <w:r>
              <w:rPr>
                <w:rFonts w:ascii="Arial" w:cs="Arial" w:eastAsia="Arial" w:hAnsi="Arial"/>
                <w:sz w:val="13"/>
                <w:szCs w:val="13"/>
                <w:b w:val="1"/>
                <w:bCs w:val="1"/>
                <w:color w:val="auto"/>
              </w:rPr>
              <w:t>Value Realized on Exercise</w:t>
            </w:r>
          </w:p>
        </w:tc>
        <w:tc>
          <w:tcPr>
            <w:tcW w:w="0" w:type="dxa"/>
            <w:vAlign w:val="bottom"/>
          </w:tcPr>
          <w:p>
            <w:pPr>
              <w:spacing w:after="0"/>
              <w:rPr>
                <w:sz w:val="1"/>
                <w:szCs w:val="1"/>
                <w:color w:val="auto"/>
              </w:rPr>
            </w:pPr>
          </w:p>
        </w:tc>
      </w:tr>
      <w:tr>
        <w:trPr>
          <w:trHeight w:val="177"/>
        </w:trPr>
        <w:tc>
          <w:tcPr>
            <w:tcW w:w="6540" w:type="dxa"/>
            <w:vAlign w:val="bottom"/>
            <w:gridSpan w:val="2"/>
            <w:vMerge w:val="continue"/>
          </w:tcPr>
          <w:p>
            <w:pPr>
              <w:spacing w:after="0"/>
              <w:rPr>
                <w:sz w:val="15"/>
                <w:szCs w:val="15"/>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Exercise (#)</w:t>
            </w:r>
          </w:p>
        </w:tc>
        <w:tc>
          <w:tcPr>
            <w:tcW w:w="2320" w:type="dxa"/>
            <w:vAlign w:val="bottom"/>
          </w:tcPr>
          <w:p>
            <w:pPr>
              <w:jc w:val="right"/>
              <w:ind w:right="931"/>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185"/>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David J. Woodhouse, Ph.D.</w:t>
            </w:r>
          </w:p>
        </w:tc>
        <w:tc>
          <w:tcPr>
            <w:tcW w:w="8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32,654</w:t>
            </w:r>
          </w:p>
        </w:tc>
        <w:tc>
          <w:tcPr>
            <w:tcW w:w="10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356,189</w:t>
            </w:r>
          </w:p>
        </w:tc>
        <w:tc>
          <w:tcPr>
            <w:tcW w:w="0" w:type="dxa"/>
            <w:vAlign w:val="bottom"/>
          </w:tcPr>
          <w:p>
            <w:pPr>
              <w:spacing w:after="0"/>
              <w:rPr>
                <w:sz w:val="1"/>
                <w:szCs w:val="1"/>
                <w:color w:val="auto"/>
              </w:rPr>
            </w:pPr>
          </w:p>
        </w:tc>
      </w:tr>
      <w:tr>
        <w:trPr>
          <w:trHeight w:val="188"/>
        </w:trPr>
        <w:tc>
          <w:tcPr>
            <w:tcW w:w="6540" w:type="dxa"/>
            <w:vAlign w:val="bottom"/>
            <w:gridSpan w:val="2"/>
          </w:tcPr>
          <w:p>
            <w:pPr>
              <w:ind w:left="20"/>
              <w:spacing w:after="0"/>
              <w:rPr>
                <w:sz w:val="20"/>
                <w:szCs w:val="20"/>
                <w:color w:val="auto"/>
              </w:rPr>
            </w:pPr>
            <w:r>
              <w:rPr>
                <w:rFonts w:ascii="Arial" w:cs="Arial" w:eastAsia="Arial" w:hAnsi="Arial"/>
                <w:sz w:val="14"/>
                <w:szCs w:val="14"/>
                <w:color w:val="auto"/>
              </w:rPr>
              <w:t>Siobhan Nolan Mangini</w:t>
            </w:r>
          </w:p>
        </w:tc>
        <w:tc>
          <w:tcPr>
            <w:tcW w:w="2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Jin-Long Chen, Ph.D.</w:t>
            </w:r>
          </w:p>
        </w:tc>
        <w:tc>
          <w:tcPr>
            <w:tcW w:w="2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288,888</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6,275,153</w:t>
            </w:r>
          </w:p>
        </w:tc>
        <w:tc>
          <w:tcPr>
            <w:tcW w:w="0" w:type="dxa"/>
            <w:vAlign w:val="bottom"/>
          </w:tcPr>
          <w:p>
            <w:pPr>
              <w:spacing w:after="0"/>
              <w:rPr>
                <w:sz w:val="1"/>
                <w:szCs w:val="1"/>
                <w:color w:val="auto"/>
              </w:rPr>
            </w:pPr>
          </w:p>
        </w:tc>
      </w:tr>
      <w:tr>
        <w:trPr>
          <w:trHeight w:val="188"/>
        </w:trPr>
        <w:tc>
          <w:tcPr>
            <w:tcW w:w="6540" w:type="dxa"/>
            <w:vAlign w:val="bottom"/>
            <w:gridSpan w:val="2"/>
          </w:tcPr>
          <w:p>
            <w:pPr>
              <w:ind w:left="20"/>
              <w:spacing w:after="0"/>
              <w:rPr>
                <w:sz w:val="20"/>
                <w:szCs w:val="20"/>
                <w:color w:val="auto"/>
              </w:rPr>
            </w:pPr>
            <w:r>
              <w:rPr>
                <w:rFonts w:ascii="Arial" w:cs="Arial" w:eastAsia="Arial" w:hAnsi="Arial"/>
                <w:sz w:val="14"/>
                <w:szCs w:val="14"/>
                <w:color w:val="auto"/>
              </w:rPr>
              <w:t>Hsiao D. Lieu, M.D.</w:t>
            </w:r>
          </w:p>
        </w:tc>
        <w:tc>
          <w:tcPr>
            <w:tcW w:w="23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320" w:type="dxa"/>
            <w:vAlign w:val="bottom"/>
          </w:tcPr>
          <w:p>
            <w:pPr>
              <w:jc w:val="right"/>
              <w:spacing w:after="0"/>
              <w:rPr>
                <w:sz w:val="20"/>
                <w:szCs w:val="20"/>
                <w:color w:val="auto"/>
              </w:rPr>
            </w:pPr>
            <w:r>
              <w:rPr>
                <w:rFonts w:ascii="Arial" w:cs="Arial" w:eastAsia="Arial" w:hAnsi="Arial"/>
                <w:sz w:val="14"/>
                <w:szCs w:val="14"/>
                <w:color w:val="auto"/>
              </w:rPr>
              <w:t>111,400</w:t>
            </w:r>
          </w:p>
        </w:tc>
        <w:tc>
          <w:tcPr>
            <w:tcW w:w="0" w:type="dxa"/>
            <w:vAlign w:val="bottom"/>
          </w:tcPr>
          <w:p>
            <w:pPr>
              <w:spacing w:after="0"/>
              <w:rPr>
                <w:sz w:val="1"/>
                <w:szCs w:val="1"/>
                <w:color w:val="auto"/>
              </w:rPr>
            </w:pPr>
          </w:p>
        </w:tc>
      </w:tr>
      <w:tr>
        <w:trPr>
          <w:trHeight w:val="193"/>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Valerie Pierce</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87" w:lineRule="exact"/>
        <w:rPr>
          <w:sz w:val="20"/>
          <w:szCs w:val="20"/>
          <w:color w:val="auto"/>
        </w:rPr>
      </w:pPr>
    </w:p>
    <w:p>
      <w:pPr>
        <w:jc w:val="both"/>
        <w:ind w:left="580" w:hanging="515"/>
        <w:spacing w:after="0" w:line="262" w:lineRule="auto"/>
        <w:tabs>
          <w:tab w:leader="none" w:pos="57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Amounts shown do not reflect amounts actually received by our named executive officers. The value realized on exercise is equal to the difference between the option exercise price and the market price of our common stock on the date of exercise, multiplied by the number of shares subject to the option, regardless of whether the individual actually sold any of the shares received upon exercise or the amount received in connection with any such sale, and without taking into account any taxes that may be payable in connection with the transaction.</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Employment, Severance and Change-in-Control Arrangements</w:t>
      </w:r>
    </w:p>
    <w:p>
      <w:pPr>
        <w:spacing w:after="0" w:line="179" w:lineRule="exact"/>
        <w:rPr>
          <w:sz w:val="20"/>
          <w:szCs w:val="20"/>
          <w:color w:val="auto"/>
        </w:rPr>
      </w:pPr>
    </w:p>
    <w:p>
      <w:pPr>
        <w:jc w:val="both"/>
        <w:ind w:left="60"/>
        <w:spacing w:after="0" w:line="259" w:lineRule="auto"/>
        <w:rPr>
          <w:sz w:val="20"/>
          <w:szCs w:val="20"/>
          <w:color w:val="auto"/>
        </w:rPr>
      </w:pPr>
      <w:r>
        <w:rPr>
          <w:rFonts w:ascii="Arial" w:cs="Arial" w:eastAsia="Arial" w:hAnsi="Arial"/>
          <w:sz w:val="14"/>
          <w:szCs w:val="14"/>
          <w:color w:val="auto"/>
        </w:rPr>
        <w:t>We have entered into employment agreements or offer letters with each of our named executive officers. We designed these agreements to be part of a competitive compensation package and to keep our named executive officers focused on our business goals and objectives. These agreements or offer letters provide for base salaries and incentive compensation, and each component reflects the scope of each named executive officer’s anticipated responsibilities and the individual experience he or she brings to the Company. In addition, Dr. Woodhouse’s employment agreement and Ms. Nolan Mangini’s and Ms. Pierce’s respective offer letters provide for double-trigger change-in-control benefits. Each named executive officer is also eligible to participate in our employee benefit plans on the same terms as other regular, full-time employees. The key terms of the offer letters or employment agreements are described below. See also “Equity Compensation Plans” below for a description of certain vesting acceleration and extended post-termination exercise period benefits in connection with certain termination events and corporate transactions.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David J. Woodhouse, Ph.D.</w:t>
      </w:r>
    </w:p>
    <w:p>
      <w:pPr>
        <w:spacing w:after="0" w:line="177" w:lineRule="exact"/>
        <w:rPr>
          <w:sz w:val="20"/>
          <w:szCs w:val="20"/>
          <w:color w:val="auto"/>
        </w:rPr>
      </w:pPr>
    </w:p>
    <w:p>
      <w:pPr>
        <w:jc w:val="both"/>
        <w:ind w:left="60"/>
        <w:spacing w:after="0" w:line="261" w:lineRule="auto"/>
        <w:rPr>
          <w:sz w:val="20"/>
          <w:szCs w:val="20"/>
          <w:color w:val="auto"/>
        </w:rPr>
      </w:pPr>
      <w:r>
        <w:rPr>
          <w:rFonts w:ascii="Arial" w:cs="Arial" w:eastAsia="Arial" w:hAnsi="Arial"/>
          <w:sz w:val="14"/>
          <w:szCs w:val="14"/>
          <w:color w:val="auto"/>
        </w:rPr>
        <w:t>We entered into an employment agreement with Dr. Woodhouse on July 25, 2018. Pursuant to Dr. Woodhouse’s employment agreement, he was entitled to an annual base salary of $475,000 (most recently increased to $ 610,000 for 2022). Pursuant to Dr. Woodhouse’s employment agreement with us, in the event of a termination without cause (and other than as a result of death or disability) or resignation for good reason, in either case on or within 18 months after the effective date of a change in control, and contingent on execution of an effective release of claims against us and satisfaction of certain other conditions, Dr. Woodhouse will be entitled to (i) continued payment of his base salary for 12 months; (ii) payment or reimbursement of COBRA premiums for him and his eligible dependents for up to 12 months; and (iii) full vesting of any unvested equity awards held by Dr. Woodhouse.</w:t>
      </w:r>
    </w:p>
    <w:p>
      <w:pPr>
        <w:spacing w:after="0" w:line="315"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Siobhan Nolan Mangini</w:t>
      </w:r>
    </w:p>
    <w:p>
      <w:pPr>
        <w:spacing w:after="0" w:line="177" w:lineRule="exact"/>
        <w:rPr>
          <w:sz w:val="20"/>
          <w:szCs w:val="20"/>
          <w:color w:val="auto"/>
        </w:rPr>
      </w:pPr>
    </w:p>
    <w:p>
      <w:pPr>
        <w:jc w:val="both"/>
        <w:ind w:left="60"/>
        <w:spacing w:after="0" w:line="262" w:lineRule="auto"/>
        <w:rPr>
          <w:sz w:val="20"/>
          <w:szCs w:val="20"/>
          <w:color w:val="auto"/>
        </w:rPr>
      </w:pPr>
      <w:r>
        <w:rPr>
          <w:rFonts w:ascii="Arial" w:cs="Arial" w:eastAsia="Arial" w:hAnsi="Arial"/>
          <w:sz w:val="14"/>
          <w:szCs w:val="14"/>
          <w:color w:val="auto"/>
        </w:rPr>
        <w:t>We entered into an employment offer letter with Ms. Nolan Mangini on May 20, 2020. Pursuant to Ms. Nolan Mangini’s employment offer letter, she was entitled to an annual base salary of $ 425,000 (most recently increased to $460,000 for 2022). Further, Ms. Nolan was paid a one-time sign-on bonus of $75,000, repayable on a prorated basis to us if she voluntarily resigns her employment within two years of her employment commencement date. Ms. Nolan Mangini was also entitled to an option to purchase 300,000 shares of our common stock, which was granted in August 2020. Pursuant to Ms. Nolan Mangini’s employment offer letter, in the event of a termination without cause (and other than as a result of death or disability) or resignation for good reason, in either case on or within 18</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40"/>
          </w:cols>
          <w:pgMar w:left="240" w:top="931" w:right="31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4"/>
          <w:szCs w:val="14"/>
          <w:color w:val="auto"/>
        </w:rPr>
        <w:t>months after the effective date of a change in control, and contingent on execution of an effective release of claims against us and satisfaction of certain other conditions, Ms. Nolan Mangini will be entitled to (i) continued payment of her base salary for 6 months; (ii) payment or reimbursement of COBRA premiums for her and her eligible dependents for up to 6 months; and (iii) full vesting of any unvested equity awards held by Ms. Nolan Mangini.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Jin-Long Chen, Ph.D.</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entered into an employment offer letter with Dr. Chen on January 7, 2008. Pursuant to Dr. Chen’s employment offer letter, he was entitled to an initial annual base salary of $300,000 (most recently increased to $550,000 for 2022) and a hiring bonus of $50,000.</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Hsiao D. Lieu, M.D.</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entered into an employment offer letter with Dr. Lieu on January 16, 2019. Pursuant to Dr. Lieu’s employment offer letter, he was entitled to an initial annual base salary of $420,000 (most recently increased to $475,000 for 2022). Further, Dr. Lieu was paid a one-time sign-on bonus of $225,000. Dr. Lieu was also entitled to an option to purchase 200,000 shares of our common stock, which was granted in March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Valerie Pierce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entered into an employment offer letter with Ms. Pierce on August 6, 2019. Pursuant to Ms. Pierce’s employment offer letter, she was entitled to an initial annual base salary of $390,000 (most recently increased to $ 440,000 for 2022). Further, Ms. Pierce was paid a one-time sign-on bonus of $75,000. Ms. Pierce was also entitled to an option to purchase 200,000 shares of our common stock, which was granted in October 2019. Pursuant to an amendment to Ms. Pierce’s employment offer letter in May 2020, in the event of a termination without cause (and other than as a result of death or disability) or resignation for good reason, in either case on or within 18 months after the effective date of a change in control, and contingent on execution of an effective release of claims against us and satisfaction of certain other conditions, Ms. Pierce will be entitled to (i) continued payment of her base salary for 6 months; (ii) payment or reimbursement of COBRA premiums for her and her eligible dependents for up to 6 months; and (iii) full vesting of any unvested equity awards held by Ms. Pierce.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principal features of our equity compensation plans are summarized below.</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2018 Equity Incentive Plan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January 2018, our Board of Directors adopted, and in May 2018, our stockholders approved, our 2018 Equity Incentive Plan. In March 2019, our Board of Directors and our stockholders approved the Restated 2018 Plan.</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Restated 2018 Plan provides for the grant of incentive stock options, nonstatutory stock options, stock appreciation rights, restricted stock awards, restricted stock unit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 To date, only stock options have been granted under the Restated 2018 Plan.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Except as otherwise provided in the applicable award agreement, upon a participant’s termination of continuous service, stock options that have not vested will be forfeited. Except as otherwise provided in the Restated 2018 Plan and applicable award agreement, options will remain exercisable for a three-month period following a participant’s termination of services, except that, in general, (i) options terminate immediately upon a termination for cause, (ii) options remain exercisable for 12 months following a termination due to disability, (iii) options remain exercisable for 18 months following a termination due to death and (iv) if a participant dies during the three-month period or the 12-month period described in (ii), options shall not expire until the earlier of 18 months after the participant’s death, any termination in connection with a change in control, the expiration date of the option or the day before the tenth anniversary of the grant date. The equity awards held by certain of our named executive officers are also subject to the double-trigger vesting acceleration benefits described above under “Employment, Severance and Change-in-Control Arrangements.”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931" w:right="319" w:bottom="1440" w:gutter="0" w:footer="0" w:header="0"/>
        </w:sectPr>
      </w:pPr>
    </w:p>
    <w:bookmarkStart w:id="41" w:name="page42"/>
    <w:bookmarkEnd w:id="41"/>
    <w:p>
      <w:pPr>
        <w:jc w:val="both"/>
        <w:spacing w:after="0" w:line="262" w:lineRule="auto"/>
        <w:rPr>
          <w:sz w:val="20"/>
          <w:szCs w:val="20"/>
          <w:color w:val="auto"/>
        </w:rPr>
      </w:pPr>
      <w:r>
        <w:rPr>
          <w:rFonts w:ascii="Arial" w:cs="Arial" w:eastAsia="Arial" w:hAnsi="Arial"/>
          <w:sz w:val="14"/>
          <w:szCs w:val="14"/>
          <w:color w:val="auto"/>
        </w:rPr>
        <w:t>Our Restated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Equity Incentive Plan</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 Only stock options were granted under the 2008 Plan.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their terms. Our Board of Directors, or a duly authorized committee thereof, has the authority to administer the 2008 Plan.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Except as otherwise provided in the 2008 Plan and applicable award agreement, options granted under the 2008 Plan will remain exercisable for a three-month period following a participant’s termination of services, except that, in general, (i) options terminate immediately upon a termination for cause, (ii) options remain exercisable for 12 months following a termination due to disability and (iii) options remain exercisable for 18 months following a termination due to death.</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Employee Stock Purchase Plan</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March 2019, our Board of Directors adopted, and our stockholders approved, the 2019 Employee Stock Purchase Plan, or the ESPP.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931" w:right="319" w:bottom="1440" w:gutter="0" w:footer="0" w:header="0"/>
        </w:sectPr>
      </w:pPr>
    </w:p>
    <w:bookmarkStart w:id="42" w:name="page43"/>
    <w:bookmarkEnd w:id="42"/>
    <w:p>
      <w:pPr>
        <w:jc w:val="both"/>
        <w:spacing w:after="0" w:line="265" w:lineRule="auto"/>
        <w:rPr>
          <w:sz w:val="20"/>
          <w:szCs w:val="20"/>
          <w:color w:val="auto"/>
        </w:rPr>
      </w:pPr>
      <w:r>
        <w:rPr>
          <w:rFonts w:ascii="Arial" w:cs="Arial" w:eastAsia="Arial" w:hAnsi="Arial"/>
          <w:sz w:val="14"/>
          <w:szCs w:val="14"/>
          <w:color w:val="auto"/>
        </w:rPr>
        <w:t>The ESPP is intended to qualify as an “employee stock purchase plan” within the meaning of Section 423 of the Internal Revenue Code, or the Code, for our U.S. employees. In addition, the ESPP authorizes grants of purchase rights that do not comply with Section 423 of the Code under a separate non-Section 423 component. In particular, where such purchase rights are granted to employees who are employed or located outside the United States, our Board of Directors may adopt rules that are beyond the scope of Section 423 of the Code.</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Generally, all regular employees, including executive officers, employed by us or by any of our designated affiliates, may participate in the ESPP and may contribute, normally through payroll deductions, up to 15% of their earnings for the purchase of our common stock under the ESPP.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may be terminated under certain circumstances.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In the event of certain significant corporate transactions, including the consummation of: (1) a sale of all our assets, (2) the sale or disposition of 90% of our outstanding securities,</w:t>
      </w:r>
    </w:p>
    <w:p>
      <w:pPr>
        <w:spacing w:after="0" w:line="23" w:lineRule="exact"/>
        <w:rPr>
          <w:sz w:val="20"/>
          <w:szCs w:val="20"/>
          <w:color w:val="auto"/>
        </w:rPr>
      </w:pPr>
    </w:p>
    <w:p>
      <w:pPr>
        <w:jc w:val="both"/>
        <w:ind w:firstLine="5"/>
        <w:spacing w:after="0" w:line="257"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401(k) Plan and Matching Plan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maintain a defined contribution employee retirement plan for our employees, including our named executive officers.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$19,500 for 2020 and 2021. Participants who are at least 50 years old can also make “catch-up” contributions, which in 2020 and 2021 may be up to an additional $6,500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through December 31, 2021 was generally equal to 50% of the participant’s plan contribution up to a maximum employer contribution of $750 worth of our common stock per year. Beginning in fiscal year 2022, the matching contribution in our common stock under our 401(k) Matching Plan will continue to be equal to 50% of the employee’s 401(k) plan contribution but will be matched by a maximum annual Company contribution of up to $3,500 worth of our common stock. In 2022, we also intend to merge the 401(k) Matching Plan into our 401(k) plan for ease of administration. In the future,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931" w:right="319" w:bottom="1440" w:gutter="0" w:footer="0" w:header="0"/>
        </w:sectPr>
      </w:pPr>
    </w:p>
    <w:bookmarkStart w:id="43" w:name="page44"/>
    <w:bookmarkEnd w:id="43"/>
    <w:p>
      <w:pPr>
        <w:ind w:left="60"/>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179" w:lineRule="exact"/>
        <w:rPr>
          <w:sz w:val="20"/>
          <w:szCs w:val="20"/>
          <w:color w:val="auto"/>
        </w:rPr>
      </w:pPr>
    </w:p>
    <w:p>
      <w:pPr>
        <w:jc w:val="both"/>
        <w:ind w:left="60"/>
        <w:spacing w:after="0" w:line="265" w:lineRule="auto"/>
        <w:rPr>
          <w:sz w:val="20"/>
          <w:szCs w:val="20"/>
          <w:color w:val="auto"/>
        </w:rPr>
      </w:pPr>
      <w:r>
        <w:rPr>
          <w:rFonts w:ascii="Arial" w:cs="Arial" w:eastAsia="Arial" w:hAnsi="Arial"/>
          <w:sz w:val="14"/>
          <w:szCs w:val="14"/>
          <w:color w:val="auto"/>
        </w:rPr>
        <w:t>The tables below show estimates of the compensation payable to each of our named executive officers upon their termination of employment with the Company and/or upon a change in control, calculated as if the triggering event had occurred effective December 31, 2021. The actual amounts due to any one of the named executive officers upon termination of employment can only be determined at the time of the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Involuntary Termination Without Cause or</w:t>
            </w:r>
          </w:p>
        </w:tc>
        <w:tc>
          <w:tcPr>
            <w:tcW w:w="120" w:type="dxa"/>
            <w:vAlign w:val="bottom"/>
          </w:tcPr>
          <w:p>
            <w:pPr>
              <w:spacing w:after="0"/>
              <w:rPr>
                <w:sz w:val="13"/>
                <w:szCs w:val="13"/>
                <w:color w:val="auto"/>
              </w:rPr>
            </w:pPr>
          </w:p>
        </w:tc>
        <w:tc>
          <w:tcPr>
            <w:tcW w:w="276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97"/>
              </w:rPr>
              <w:t>Restated 2018 Plan and 2008 Plan – Certain</w:t>
            </w:r>
          </w:p>
        </w:tc>
        <w:tc>
          <w:tcPr>
            <w:tcW w:w="0" w:type="dxa"/>
            <w:vAlign w:val="bottom"/>
          </w:tcPr>
          <w:p>
            <w:pPr>
              <w:spacing w:after="0"/>
              <w:rPr>
                <w:sz w:val="1"/>
                <w:szCs w:val="1"/>
                <w:color w:val="auto"/>
              </w:rPr>
            </w:pPr>
          </w:p>
        </w:tc>
      </w:tr>
      <w:tr>
        <w:trPr>
          <w:trHeight w:val="138"/>
        </w:trPr>
        <w:tc>
          <w:tcPr>
            <w:tcW w:w="2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2400" w:type="dxa"/>
            <w:vAlign w:val="bottom"/>
            <w:vMerge w:val="restart"/>
          </w:tcPr>
          <w:p>
            <w:pPr>
              <w:jc w:val="right"/>
              <w:ind w:right="910"/>
              <w:spacing w:after="0"/>
              <w:rPr>
                <w:sz w:val="20"/>
                <w:szCs w:val="20"/>
                <w:color w:val="auto"/>
              </w:rPr>
            </w:pPr>
            <w:r>
              <w:rPr>
                <w:rFonts w:ascii="Arial" w:cs="Arial" w:eastAsia="Arial" w:hAnsi="Arial"/>
                <w:sz w:val="13"/>
                <w:szCs w:val="13"/>
                <w:b w:val="1"/>
                <w:bCs w:val="1"/>
                <w:color w:val="auto"/>
              </w:rPr>
              <w:t>Benefit</w:t>
            </w:r>
          </w:p>
        </w:tc>
        <w:tc>
          <w:tcPr>
            <w:tcW w:w="80" w:type="dxa"/>
            <w:vAlign w:val="bottom"/>
          </w:tcPr>
          <w:p>
            <w:pPr>
              <w:spacing w:after="0"/>
              <w:rPr>
                <w:sz w:val="11"/>
                <w:szCs w:val="11"/>
                <w:color w:val="auto"/>
              </w:rPr>
            </w:pPr>
          </w:p>
        </w:tc>
        <w:tc>
          <w:tcPr>
            <w:tcW w:w="2920" w:type="dxa"/>
            <w:vAlign w:val="bottom"/>
            <w:gridSpan w:val="3"/>
          </w:tcPr>
          <w:p>
            <w:pPr>
              <w:jc w:val="center"/>
              <w:ind w:right="80"/>
              <w:spacing w:after="0" w:line="138" w:lineRule="exact"/>
              <w:rPr>
                <w:sz w:val="20"/>
                <w:szCs w:val="20"/>
                <w:color w:val="auto"/>
              </w:rPr>
            </w:pPr>
            <w:r>
              <w:rPr>
                <w:rFonts w:ascii="Arial" w:cs="Arial" w:eastAsia="Arial" w:hAnsi="Arial"/>
                <w:sz w:val="13"/>
                <w:szCs w:val="13"/>
                <w:b w:val="1"/>
                <w:bCs w:val="1"/>
                <w:color w:val="auto"/>
                <w:w w:val="97"/>
              </w:rPr>
              <w:t>Resignation for Good Reason in Connection</w:t>
            </w:r>
          </w:p>
        </w:tc>
        <w:tc>
          <w:tcPr>
            <w:tcW w:w="1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with a Change of Control ($</w:t>
            </w:r>
          </w:p>
        </w:tc>
        <w:tc>
          <w:tcPr>
            <w:tcW w:w="6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w w:val="88"/>
              </w:rPr>
              <w:t>)(1)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Corporate Transactions ($)(2)</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J. Woodhouse, Ph.D.</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Cash Severance</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COBRA Payments</w:t>
            </w:r>
          </w:p>
        </w:tc>
        <w:tc>
          <w:tcPr>
            <w:tcW w:w="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jc w:val="right"/>
              <w:spacing w:after="0" w:line="200" w:lineRule="exact"/>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(3)</w:t>
            </w:r>
          </w:p>
        </w:tc>
        <w:tc>
          <w:tcPr>
            <w:tcW w:w="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1,066,120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1,066,120</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c>
          <w:tcPr>
            <w:tcW w:w="80" w:type="dxa"/>
            <w:vAlign w:val="bottom"/>
            <w:shd w:val="clear" w:color="auto" w:fill="CCEEFF"/>
          </w:tcPr>
          <w:p>
            <w:pPr>
              <w:spacing w:after="0"/>
              <w:rPr>
                <w:sz w:val="14"/>
                <w:szCs w:val="14"/>
                <w:color w:val="auto"/>
              </w:rPr>
            </w:pPr>
          </w:p>
        </w:tc>
        <w:tc>
          <w:tcPr>
            <w:tcW w:w="2160" w:type="dxa"/>
            <w:vAlign w:val="bottom"/>
            <w:tcBorders>
              <w:bottom w:val="single" w:sz="8" w:color="auto"/>
            </w:tcBorders>
            <w:shd w:val="clear" w:color="auto" w:fill="CCEEFF"/>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1,682,976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1,066,120</w:t>
            </w:r>
          </w:p>
        </w:tc>
        <w:tc>
          <w:tcPr>
            <w:tcW w:w="0" w:type="dxa"/>
            <w:vAlign w:val="bottom"/>
          </w:tcPr>
          <w:p>
            <w:pPr>
              <w:spacing w:after="0"/>
              <w:rPr>
                <w:sz w:val="1"/>
                <w:szCs w:val="1"/>
                <w:color w:val="auto"/>
              </w:rPr>
            </w:pPr>
          </w:p>
        </w:tc>
      </w:tr>
      <w:tr>
        <w:trPr>
          <w:trHeight w:val="177"/>
        </w:trPr>
        <w:tc>
          <w:tcPr>
            <w:tcW w:w="2860" w:type="dxa"/>
            <w:vAlign w:val="bottom"/>
          </w:tcPr>
          <w:p>
            <w:pPr>
              <w:ind w:left="20"/>
              <w:spacing w:after="0"/>
              <w:rPr>
                <w:sz w:val="20"/>
                <w:szCs w:val="20"/>
                <w:color w:val="auto"/>
              </w:rPr>
            </w:pPr>
            <w:r>
              <w:rPr>
                <w:rFonts w:ascii="Arial" w:cs="Arial" w:eastAsia="Arial" w:hAnsi="Arial"/>
                <w:sz w:val="14"/>
                <w:szCs w:val="14"/>
                <w:color w:val="auto"/>
              </w:rPr>
              <w:t>Siobhan Nolan Mangini</w:t>
            </w:r>
          </w:p>
        </w:tc>
        <w:tc>
          <w:tcPr>
            <w:tcW w:w="10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Cash Severance</w:t>
            </w:r>
          </w:p>
        </w:tc>
        <w:tc>
          <w:tcPr>
            <w:tcW w:w="80" w:type="dxa"/>
            <w:vAlign w:val="bottom"/>
          </w:tcPr>
          <w:p>
            <w:pPr>
              <w:spacing w:after="0"/>
              <w:rPr>
                <w:sz w:val="15"/>
                <w:szCs w:val="15"/>
                <w:color w:val="auto"/>
              </w:rPr>
            </w:pPr>
          </w:p>
        </w:tc>
        <w:tc>
          <w:tcPr>
            <w:tcW w:w="2160" w:type="dxa"/>
            <w:vAlign w:val="bottom"/>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217,500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COBRA Payments</w:t>
            </w: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18,428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right"/>
              <w:spacing w:after="0" w:line="200" w:lineRule="exact"/>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4"/>
                <w:szCs w:val="14"/>
                <w:color w:val="auto"/>
              </w:rPr>
            </w:pPr>
          </w:p>
        </w:tc>
        <w:tc>
          <w:tcPr>
            <w:tcW w:w="2160" w:type="dxa"/>
            <w:vAlign w:val="bottom"/>
            <w:tcBorders>
              <w:top w:val="single" w:sz="8" w:color="auto"/>
              <w:bottom w:val="single" w:sz="8" w:color="auto"/>
            </w:tcBorders>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235,928</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Jin-Long Chen, Ph.D.</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Cash Severance</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COBRA Payments</w:t>
            </w:r>
          </w:p>
        </w:tc>
        <w:tc>
          <w:tcPr>
            <w:tcW w:w="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jc w:val="right"/>
              <w:spacing w:after="0" w:line="200" w:lineRule="exact"/>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(3)</w:t>
            </w:r>
          </w:p>
        </w:tc>
        <w:tc>
          <w:tcPr>
            <w:tcW w:w="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420,687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420,687</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c>
          <w:tcPr>
            <w:tcW w:w="80" w:type="dxa"/>
            <w:vAlign w:val="bottom"/>
            <w:shd w:val="clear" w:color="auto" w:fill="CCEEFF"/>
          </w:tcPr>
          <w:p>
            <w:pPr>
              <w:spacing w:after="0"/>
              <w:rPr>
                <w:sz w:val="14"/>
                <w:szCs w:val="14"/>
                <w:color w:val="auto"/>
              </w:rPr>
            </w:pPr>
          </w:p>
        </w:tc>
        <w:tc>
          <w:tcPr>
            <w:tcW w:w="2160" w:type="dxa"/>
            <w:vAlign w:val="bottom"/>
            <w:tcBorders>
              <w:bottom w:val="single" w:sz="8" w:color="auto"/>
            </w:tcBorders>
            <w:shd w:val="clear" w:color="auto" w:fill="CCEEFF"/>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420,687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420,687</w:t>
            </w:r>
          </w:p>
        </w:tc>
        <w:tc>
          <w:tcPr>
            <w:tcW w:w="0" w:type="dxa"/>
            <w:vAlign w:val="bottom"/>
          </w:tcPr>
          <w:p>
            <w:pPr>
              <w:spacing w:after="0"/>
              <w:rPr>
                <w:sz w:val="1"/>
                <w:szCs w:val="1"/>
                <w:color w:val="auto"/>
              </w:rPr>
            </w:pPr>
          </w:p>
        </w:tc>
      </w:tr>
      <w:tr>
        <w:trPr>
          <w:trHeight w:val="177"/>
        </w:trPr>
        <w:tc>
          <w:tcPr>
            <w:tcW w:w="2860" w:type="dxa"/>
            <w:vAlign w:val="bottom"/>
          </w:tcPr>
          <w:p>
            <w:pPr>
              <w:ind w:left="20"/>
              <w:spacing w:after="0"/>
              <w:rPr>
                <w:sz w:val="20"/>
                <w:szCs w:val="20"/>
                <w:color w:val="auto"/>
              </w:rPr>
            </w:pPr>
            <w:r>
              <w:rPr>
                <w:rFonts w:ascii="Arial" w:cs="Arial" w:eastAsia="Arial" w:hAnsi="Arial"/>
                <w:sz w:val="14"/>
                <w:szCs w:val="14"/>
                <w:color w:val="auto"/>
              </w:rPr>
              <w:t>Hsiao D. Lieu, M.D.</w:t>
            </w:r>
          </w:p>
        </w:tc>
        <w:tc>
          <w:tcPr>
            <w:tcW w:w="10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Cash Severance</w:t>
            </w:r>
          </w:p>
        </w:tc>
        <w:tc>
          <w:tcPr>
            <w:tcW w:w="80" w:type="dxa"/>
            <w:vAlign w:val="bottom"/>
          </w:tcPr>
          <w:p>
            <w:pPr>
              <w:spacing w:after="0"/>
              <w:rPr>
                <w:sz w:val="15"/>
                <w:szCs w:val="15"/>
                <w:color w:val="auto"/>
              </w:rPr>
            </w:pPr>
          </w:p>
        </w:tc>
        <w:tc>
          <w:tcPr>
            <w:tcW w:w="2160" w:type="dxa"/>
            <w:vAlign w:val="bottom"/>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COBRA Payments</w:t>
            </w: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right"/>
              <w:spacing w:after="0" w:line="200" w:lineRule="exact"/>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369,271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369,271</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4"/>
                <w:szCs w:val="14"/>
                <w:color w:val="auto"/>
              </w:rPr>
            </w:pPr>
          </w:p>
        </w:tc>
        <w:tc>
          <w:tcPr>
            <w:tcW w:w="2160" w:type="dxa"/>
            <w:vAlign w:val="bottom"/>
            <w:tcBorders>
              <w:bottom w:val="single" w:sz="8" w:color="auto"/>
            </w:tcBorders>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369,271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369,271</w:t>
            </w:r>
          </w:p>
        </w:tc>
        <w:tc>
          <w:tcPr>
            <w:tcW w:w="0" w:type="dxa"/>
            <w:vAlign w:val="bottom"/>
          </w:tcPr>
          <w:p>
            <w:pPr>
              <w:spacing w:after="0"/>
              <w:rPr>
                <w:sz w:val="1"/>
                <w:szCs w:val="1"/>
                <w:color w:val="auto"/>
              </w:rPr>
            </w:pPr>
          </w:p>
        </w:tc>
      </w:tr>
      <w:tr>
        <w:trPr>
          <w:trHeight w:val="177"/>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Valerie Pierce</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Cash Severance</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COBRA Payments</w:t>
            </w:r>
          </w:p>
        </w:tc>
        <w:tc>
          <w:tcPr>
            <w:tcW w:w="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jc w:val="right"/>
              <w:spacing w:after="0" w:line="200" w:lineRule="exact"/>
              <w:rPr>
                <w:sz w:val="20"/>
                <w:szCs w:val="20"/>
                <w:color w:val="auto"/>
              </w:rPr>
            </w:pPr>
            <w:r>
              <w:rPr>
                <w:rFonts w:ascii="Arial" w:cs="Arial" w:eastAsia="Arial" w:hAnsi="Arial"/>
                <w:sz w:val="14"/>
                <w:szCs w:val="14"/>
                <w:color w:val="auto"/>
              </w:rPr>
              <w:t>Vesting Acceleration</w:t>
            </w:r>
            <w:r>
              <w:rPr>
                <w:rFonts w:ascii="Arial" w:cs="Arial" w:eastAsia="Arial" w:hAnsi="Arial"/>
                <w:sz w:val="18"/>
                <w:szCs w:val="18"/>
                <w:color w:val="auto"/>
                <w:vertAlign w:val="superscript"/>
              </w:rPr>
              <w:t>(3)</w:t>
            </w:r>
          </w:p>
        </w:tc>
        <w:tc>
          <w:tcPr>
            <w:tcW w:w="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375,375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375,375</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c>
          <w:tcPr>
            <w:tcW w:w="80" w:type="dxa"/>
            <w:vAlign w:val="bottom"/>
            <w:shd w:val="clear" w:color="auto" w:fill="CCEEFF"/>
          </w:tcPr>
          <w:p>
            <w:pPr>
              <w:spacing w:after="0"/>
              <w:rPr>
                <w:sz w:val="14"/>
                <w:szCs w:val="14"/>
                <w:color w:val="auto"/>
              </w:rPr>
            </w:pPr>
          </w:p>
        </w:tc>
        <w:tc>
          <w:tcPr>
            <w:tcW w:w="2160" w:type="dxa"/>
            <w:vAlign w:val="bottom"/>
            <w:tcBorders>
              <w:bottom w:val="single" w:sz="8" w:color="auto"/>
            </w:tcBorders>
            <w:shd w:val="clear" w:color="auto" w:fill="CCEEFF"/>
          </w:tcPr>
          <w:p>
            <w:pPr>
              <w:jc w:val="right"/>
              <w:ind w:right="199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599,803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375,375</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02" w:lineRule="exact"/>
        <w:rPr>
          <w:sz w:val="20"/>
          <w:szCs w:val="20"/>
          <w:color w:val="auto"/>
        </w:rPr>
      </w:pPr>
    </w:p>
    <w:p>
      <w:pPr>
        <w:ind w:left="580" w:hanging="515"/>
        <w:spacing w:after="0" w:line="283" w:lineRule="auto"/>
        <w:tabs>
          <w:tab w:leader="none" w:pos="570"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These benefits would be payable under the terms of the employment agreements or offer letters, as applicable, if the termination without cause or termination for good reason occurring within 18 months following a change in control and assuming such termination took place on December 31, 2021. See “Employment, Severance and Change-in-Control Agreements” above for further information.</w:t>
      </w:r>
    </w:p>
    <w:p>
      <w:pPr>
        <w:spacing w:after="0" w:line="41" w:lineRule="exact"/>
        <w:rPr>
          <w:rFonts w:ascii="Arial" w:cs="Arial" w:eastAsia="Arial" w:hAnsi="Arial"/>
          <w:sz w:val="11"/>
          <w:szCs w:val="11"/>
          <w:color w:val="auto"/>
        </w:rPr>
      </w:pPr>
    </w:p>
    <w:p>
      <w:pPr>
        <w:ind w:left="580" w:hanging="515"/>
        <w:spacing w:after="0" w:line="283" w:lineRule="auto"/>
        <w:tabs>
          <w:tab w:leader="none" w:pos="570"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These benefits would be payable under the Restated 2018 Plan and 2008 Plan upon a corporate transaction event, assuming the vesting acceleration took place on December 31, 2021. See “Equity Compensation Plans” above for further information.</w:t>
      </w:r>
    </w:p>
    <w:p>
      <w:pPr>
        <w:spacing w:after="0" w:line="41" w:lineRule="exact"/>
        <w:rPr>
          <w:rFonts w:ascii="Arial" w:cs="Arial" w:eastAsia="Arial" w:hAnsi="Arial"/>
          <w:sz w:val="11"/>
          <w:szCs w:val="11"/>
          <w:color w:val="auto"/>
        </w:rPr>
      </w:pPr>
    </w:p>
    <w:p>
      <w:pPr>
        <w:ind w:left="560" w:hanging="495"/>
        <w:spacing w:after="0"/>
        <w:tabs>
          <w:tab w:leader="none" w:pos="560"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value of stock option acceleration is based on the closing price of $17.71 on December 31, 2021, minus the exercise price of the unvested stock option shares subject to acceleration.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Other Elements of Compensation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Health, Welfare and Retirement Benefits</w:t>
      </w:r>
    </w:p>
    <w:p>
      <w:pPr>
        <w:spacing w:after="0" w:line="177" w:lineRule="exact"/>
        <w:rPr>
          <w:sz w:val="20"/>
          <w:szCs w:val="20"/>
          <w:color w:val="auto"/>
        </w:rPr>
      </w:pPr>
    </w:p>
    <w:p>
      <w:pPr>
        <w:jc w:val="both"/>
        <w:ind w:left="60"/>
        <w:spacing w:after="0" w:line="271" w:lineRule="auto"/>
        <w:rPr>
          <w:sz w:val="20"/>
          <w:szCs w:val="20"/>
          <w:color w:val="auto"/>
        </w:rPr>
      </w:pPr>
      <w:r>
        <w:rPr>
          <w:rFonts w:ascii="Arial" w:cs="Arial" w:eastAsia="Arial" w:hAnsi="Arial"/>
          <w:sz w:val="14"/>
          <w:szCs w:val="14"/>
          <w:color w:val="auto"/>
        </w:rPr>
        <w:t>Our named executive officers are eligible to participate in all of our employee benefit plans on the same basis as other employees, as described in “Compensation Discussion and Analysis—Other Features of Our Executive Compensation Program—Other Benefits and Perquisites.” We do not provide a pension plan for our employees, and none of our named executive officers participated in a nonqualified deferred compensation plan in 2021.</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340"/>
          </w:cols>
          <w:pgMar w:left="240" w:top="931"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i w:val="1"/>
          <w:iCs w:val="1"/>
          <w:color w:val="auto"/>
        </w:rPr>
        <w:t>Perquisites and Other Personal Benefits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We do not provide perquisites or other personal benefits to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Tax Gross-Ups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2021, we did not make gross-up payments to cover our named executive officers’ personal income taxes that pertained to any of the compensation or perquisites paid or provided by the Company.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933" w:right="3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4"/>
          <w:szCs w:val="14"/>
          <w:b w:val="1"/>
          <w:bCs w:val="1"/>
          <w:color w:val="auto"/>
        </w:rPr>
        <w:t>EQUITY COMPENSATION PLANS AT 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certain information with respect to all of our equity compensation plans in effect as of December 31, 2021.</w:t>
      </w:r>
    </w:p>
    <w:p>
      <w:pPr>
        <w:sectPr>
          <w:pgSz w:w="11900" w:h="16838" w:orient="portrait"/>
          <w:cols w:equalWidth="0" w:num="1">
            <w:col w:w="11280"/>
          </w:cols>
          <w:pgMar w:left="300" w:top="9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Plan Category</w:t>
      </w:r>
    </w:p>
    <w:p>
      <w:pPr>
        <w:spacing w:after="0" w:line="27" w:lineRule="exact"/>
        <w:rPr>
          <w:sz w:val="20"/>
          <w:szCs w:val="20"/>
          <w:color w:val="auto"/>
        </w:rPr>
      </w:pPr>
    </w:p>
    <w:p>
      <w:pPr>
        <w:ind w:left="20" w:right="1100"/>
        <w:spacing w:after="0" w:line="268" w:lineRule="auto"/>
        <w:rPr>
          <w:sz w:val="20"/>
          <w:szCs w:val="20"/>
          <w:color w:val="auto"/>
        </w:rPr>
      </w:pPr>
      <w:r>
        <w:rPr>
          <w:rFonts w:ascii="Arial" w:cs="Arial" w:eastAsia="Arial" w:hAnsi="Arial"/>
          <w:sz w:val="14"/>
          <w:szCs w:val="14"/>
          <w:color w:val="auto"/>
        </w:rPr>
        <w:t xml:space="preserve">Equity compensation plans approved by stockholders </w:t>
      </w:r>
      <w:r>
        <w:rPr>
          <w:rFonts w:ascii="Arial" w:cs="Arial" w:eastAsia="Arial" w:hAnsi="Arial"/>
          <w:sz w:val="14"/>
          <w:szCs w:val="14"/>
          <w:i w:val="1"/>
          <w:iCs w:val="1"/>
          <w:color w:val="auto"/>
        </w:rPr>
        <w:t>2008 Equity Incentive Plan Restated 2018 Plan</w:t>
      </w:r>
      <w:r>
        <w:rPr>
          <w:rFonts w:ascii="Arial" w:cs="Arial" w:eastAsia="Arial" w:hAnsi="Arial"/>
          <w:sz w:val="18"/>
          <w:szCs w:val="18"/>
          <w:i w:val="1"/>
          <w:iCs w:val="1"/>
          <w:color w:val="auto"/>
          <w:vertAlign w:val="superscript"/>
        </w:rPr>
        <w:t>(2)</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2019 Employee Stock Purchase Plan</w:t>
      </w:r>
      <w:r>
        <w:rPr>
          <w:rFonts w:ascii="Arial" w:cs="Arial" w:eastAsia="Arial" w:hAnsi="Arial"/>
          <w:sz w:val="18"/>
          <w:szCs w:val="18"/>
          <w:i w:val="1"/>
          <w:iCs w:val="1"/>
          <w:color w:val="auto"/>
          <w:vertAlign w:val="superscript"/>
        </w:rPr>
        <w:t>(3)</w:t>
      </w:r>
    </w:p>
    <w:p>
      <w:pPr>
        <w:spacing w:after="0" w:line="3" w:lineRule="exact"/>
        <w:rPr>
          <w:sz w:val="20"/>
          <w:szCs w:val="20"/>
          <w:color w:val="auto"/>
        </w:rPr>
      </w:pPr>
    </w:p>
    <w:p>
      <w:pPr>
        <w:ind w:left="20" w:right="860"/>
        <w:spacing w:after="0" w:line="285" w:lineRule="auto"/>
        <w:rPr>
          <w:sz w:val="20"/>
          <w:szCs w:val="20"/>
          <w:color w:val="auto"/>
        </w:rPr>
      </w:pPr>
      <w:r>
        <w:rPr>
          <w:rFonts w:ascii="Arial" w:cs="Arial" w:eastAsia="Arial" w:hAnsi="Arial"/>
          <w:sz w:val="14"/>
          <w:szCs w:val="14"/>
          <w:color w:val="auto"/>
        </w:rPr>
        <w:t>Equity compensation plans not approved by stockholders Total</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Weighted-</w:t>
            </w:r>
          </w:p>
        </w:tc>
        <w:tc>
          <w:tcPr>
            <w:tcW w:w="1860" w:type="dxa"/>
            <w:vAlign w:val="bottom"/>
          </w:tcPr>
          <w:p>
            <w:pPr>
              <w:spacing w:after="0"/>
              <w:rPr>
                <w:sz w:val="13"/>
                <w:szCs w:val="13"/>
                <w:color w:val="auto"/>
              </w:rPr>
            </w:pPr>
          </w:p>
        </w:tc>
      </w:tr>
      <w:tr>
        <w:trPr>
          <w:trHeight w:val="149"/>
        </w:trPr>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Average</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7"/>
              </w:rPr>
              <w:t>Number of Securities</w:t>
            </w:r>
          </w:p>
        </w:tc>
      </w:tr>
      <w:tr>
        <w:trPr>
          <w:trHeight w:val="149"/>
        </w:trPr>
        <w:tc>
          <w:tcPr>
            <w:tcW w:w="2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300" w:type="dxa"/>
            <w:vAlign w:val="bottom"/>
          </w:tcPr>
          <w:p>
            <w:pPr>
              <w:spacing w:after="0"/>
              <w:rPr>
                <w:sz w:val="12"/>
                <w:szCs w:val="1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Exercise</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7"/>
              </w:rPr>
              <w:t>Remaining Available for</w:t>
            </w:r>
          </w:p>
        </w:tc>
      </w:tr>
      <w:tr>
        <w:trPr>
          <w:trHeight w:val="149"/>
        </w:trPr>
        <w:tc>
          <w:tcPr>
            <w:tcW w:w="2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Securities to be</w:t>
            </w:r>
          </w:p>
        </w:tc>
        <w:tc>
          <w:tcPr>
            <w:tcW w:w="300" w:type="dxa"/>
            <w:vAlign w:val="bottom"/>
          </w:tcPr>
          <w:p>
            <w:pPr>
              <w:spacing w:after="0"/>
              <w:rPr>
                <w:sz w:val="12"/>
                <w:szCs w:val="1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Price of</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8"/>
              </w:rPr>
              <w:t>Issuance Under Equity</w:t>
            </w:r>
          </w:p>
        </w:tc>
      </w:tr>
      <w:tr>
        <w:trPr>
          <w:trHeight w:val="149"/>
        </w:trPr>
        <w:tc>
          <w:tcPr>
            <w:tcW w:w="2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Issued Upon</w:t>
            </w:r>
          </w:p>
        </w:tc>
        <w:tc>
          <w:tcPr>
            <w:tcW w:w="300" w:type="dxa"/>
            <w:vAlign w:val="bottom"/>
          </w:tcPr>
          <w:p>
            <w:pPr>
              <w:spacing w:after="0"/>
              <w:rPr>
                <w:sz w:val="12"/>
                <w:szCs w:val="1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Outstanding</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 Plans</w:t>
            </w:r>
          </w:p>
        </w:tc>
      </w:tr>
      <w:tr>
        <w:trPr>
          <w:trHeight w:val="149"/>
        </w:trPr>
        <w:tc>
          <w:tcPr>
            <w:tcW w:w="2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Exercise of</w:t>
            </w:r>
          </w:p>
        </w:tc>
        <w:tc>
          <w:tcPr>
            <w:tcW w:w="300" w:type="dxa"/>
            <w:vAlign w:val="bottom"/>
          </w:tcPr>
          <w:p>
            <w:pPr>
              <w:spacing w:after="0"/>
              <w:rPr>
                <w:sz w:val="12"/>
                <w:szCs w:val="1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Stock</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8"/>
              </w:rPr>
              <w:t>(Excluding Securities</w:t>
            </w:r>
          </w:p>
        </w:tc>
      </w:tr>
      <w:tr>
        <w:trPr>
          <w:trHeight w:val="180"/>
        </w:trPr>
        <w:tc>
          <w:tcPr>
            <w:tcW w:w="2380" w:type="dxa"/>
            <w:vAlign w:val="bottom"/>
            <w:gridSpan w:val="2"/>
          </w:tcPr>
          <w:p>
            <w:pPr>
              <w:jc w:val="center"/>
              <w:ind w:right="80"/>
              <w:spacing w:after="0" w:line="181" w:lineRule="exact"/>
              <w:rPr>
                <w:sz w:val="20"/>
                <w:szCs w:val="20"/>
                <w:color w:val="auto"/>
              </w:rPr>
            </w:pPr>
            <w:r>
              <w:rPr>
                <w:rFonts w:ascii="Arial" w:cs="Arial" w:eastAsia="Arial" w:hAnsi="Arial"/>
                <w:sz w:val="13"/>
                <w:szCs w:val="13"/>
                <w:b w:val="1"/>
                <w:bCs w:val="1"/>
                <w:color w:val="auto"/>
                <w:w w:val="96"/>
              </w:rPr>
              <w:t>Outstanding Stock Options (a)</w:t>
            </w:r>
            <w:r>
              <w:rPr>
                <w:rFonts w:ascii="Arial" w:cs="Arial" w:eastAsia="Arial" w:hAnsi="Arial"/>
                <w:sz w:val="16"/>
                <w:szCs w:val="16"/>
                <w:b w:val="1"/>
                <w:bCs w:val="1"/>
                <w:color w:val="auto"/>
                <w:w w:val="96"/>
                <w:vertAlign w:val="superscript"/>
              </w:rPr>
              <w:t>(1)</w:t>
            </w:r>
          </w:p>
        </w:tc>
        <w:tc>
          <w:tcPr>
            <w:tcW w:w="30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Options (b)</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7"/>
              </w:rPr>
              <w:t>Reflected in Column (a))</w:t>
            </w:r>
          </w:p>
        </w:tc>
      </w:tr>
      <w:tr>
        <w:trPr>
          <w:trHeight w:val="347"/>
        </w:trPr>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2,519,744</w:t>
            </w:r>
          </w:p>
        </w:tc>
        <w:tc>
          <w:tcPr>
            <w:tcW w:w="80" w:type="dxa"/>
            <w:vAlign w:val="bottom"/>
          </w:tcPr>
          <w:p>
            <w:pPr>
              <w:spacing w:after="0"/>
              <w:rPr>
                <w:sz w:val="24"/>
                <w:szCs w:val="24"/>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rPr>
                <w:sz w:val="24"/>
                <w:szCs w:val="24"/>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300" w:type="dxa"/>
            <w:vAlign w:val="bottom"/>
          </w:tcPr>
          <w:p>
            <w:pPr>
              <w:jc w:val="right"/>
              <w:spacing w:after="0"/>
              <w:rPr>
                <w:sz w:val="20"/>
                <w:szCs w:val="20"/>
                <w:color w:val="auto"/>
              </w:rPr>
            </w:pPr>
            <w:r>
              <w:rPr>
                <w:rFonts w:ascii="Arial" w:cs="Arial" w:eastAsia="Arial" w:hAnsi="Arial"/>
                <w:sz w:val="14"/>
                <w:szCs w:val="14"/>
                <w:color w:val="auto"/>
              </w:rPr>
              <w:t>7,964,809</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18.97</w:t>
            </w:r>
          </w:p>
        </w:tc>
        <w:tc>
          <w:tcPr>
            <w:tcW w:w="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6,698,538</w:t>
            </w:r>
          </w:p>
        </w:tc>
      </w:tr>
      <w:tr>
        <w:trPr>
          <w:trHeight w:val="212"/>
        </w:trPr>
        <w:tc>
          <w:tcPr>
            <w:tcW w:w="2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506,978</w:t>
            </w:r>
          </w:p>
        </w:tc>
      </w:tr>
      <w:tr>
        <w:trPr>
          <w:trHeight w:val="211"/>
        </w:trPr>
        <w:tc>
          <w:tcPr>
            <w:tcW w:w="2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10,484,553</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15.79</w:t>
            </w:r>
          </w:p>
        </w:tc>
        <w:tc>
          <w:tcPr>
            <w:tcW w:w="80" w:type="dxa"/>
            <w:vAlign w:val="bottom"/>
          </w:tcPr>
          <w:p>
            <w:pPr>
              <w:spacing w:after="0"/>
              <w:rPr>
                <w:sz w:val="14"/>
                <w:szCs w:val="14"/>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7,205,516</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-531495</wp:posOffset>
            </wp:positionV>
            <wp:extent cx="7148195"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-262255</wp:posOffset>
            </wp:positionV>
            <wp:extent cx="7148195"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-767715</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2">
            <w:col w:w="4460" w:space="720"/>
            <w:col w:w="6100"/>
          </w:cols>
          <w:pgMar w:left="300" w:top="931" w:right="319" w:bottom="1440" w:gutter="0" w:footer="0" w:header="0"/>
          <w:type w:val="continuous"/>
        </w:sectPr>
      </w:pPr>
    </w:p>
    <w:p>
      <w:pPr>
        <w:jc w:val="both"/>
        <w:ind w:left="520" w:hanging="515"/>
        <w:spacing w:after="0" w:line="262" w:lineRule="auto"/>
        <w:tabs>
          <w:tab w:leader="none" w:pos="510"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table does not include information regarding the 401(k) Matching Plan. Under the 401(k) Matching Plan, all participating employees may contribute up to the annual Internal Revenue Service contribution limit. The 401(k) Matching Plan permits us to make matching contributions on behalf of plan participants, which matching contributions can be made in common stock. As of December 31, 2021, there were 17,813 shares of common stock reserved under this plan.</w:t>
      </w:r>
    </w:p>
    <w:p>
      <w:pPr>
        <w:spacing w:after="0" w:line="52" w:lineRule="exact"/>
        <w:rPr>
          <w:rFonts w:ascii="Arial" w:cs="Arial" w:eastAsia="Arial" w:hAnsi="Arial"/>
          <w:sz w:val="11"/>
          <w:szCs w:val="11"/>
          <w:color w:val="auto"/>
        </w:rPr>
      </w:pPr>
    </w:p>
    <w:p>
      <w:pPr>
        <w:ind w:left="520" w:hanging="515"/>
        <w:spacing w:after="0" w:line="283" w:lineRule="auto"/>
        <w:tabs>
          <w:tab w:leader="none" w:pos="510"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number of shares remaining available for future issuance under the Restated 2018 Plan automatically increases on January 1st each year, through and including January 1, 2029, in an amount equal to 4% of the total number of shares of our capital stock outstanding on the last day of the preceding fiscal year, or a lesser number of shares as determined by the Board of Directors.</w:t>
      </w:r>
    </w:p>
    <w:p>
      <w:pPr>
        <w:spacing w:after="0" w:line="41" w:lineRule="exact"/>
        <w:rPr>
          <w:rFonts w:ascii="Arial" w:cs="Arial" w:eastAsia="Arial" w:hAnsi="Arial"/>
          <w:sz w:val="11"/>
          <w:szCs w:val="11"/>
          <w:color w:val="auto"/>
        </w:rPr>
      </w:pPr>
    </w:p>
    <w:p>
      <w:pPr>
        <w:jc w:val="both"/>
        <w:ind w:left="520" w:hanging="515"/>
        <w:spacing w:after="0" w:line="262" w:lineRule="auto"/>
        <w:tabs>
          <w:tab w:leader="none" w:pos="510"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number of shares remaining available for future issuance under the ESPP automatically increases on January 1st of each year through and including January 1, 2029, in an amount equal to the lesser of (i) 1% of the total number of shares of common stock outstanding on such December 31, (ii) 1,000,000 shares of common stock or (iii) a number of shares as determined by the Board of Directors prior to the beginning of each year, which shall be the lesser of (i) or (ii) above unless the Board of Directors determines not to increase the number of shares available for issuance under the ESPP.</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931" w:right="31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DIRECTOR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for the year ended December 31, 2021 certain information with respect to the compensation of our non-employee directors: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center"/>
              <w:ind w:right="92"/>
              <w:spacing w:after="0"/>
              <w:rPr>
                <w:sz w:val="20"/>
                <w:szCs w:val="20"/>
                <w:color w:val="auto"/>
              </w:rPr>
            </w:pPr>
            <w:r>
              <w:rPr>
                <w:rFonts w:ascii="Arial" w:cs="Arial" w:eastAsia="Arial" w:hAnsi="Arial"/>
                <w:sz w:val="13"/>
                <w:szCs w:val="13"/>
                <w:b w:val="1"/>
                <w:bCs w:val="1"/>
                <w:color w:val="auto"/>
              </w:rPr>
              <w:t>Fees</w:t>
            </w:r>
          </w:p>
        </w:tc>
        <w:tc>
          <w:tcPr>
            <w:tcW w:w="1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jc w:val="center"/>
              <w:ind w:right="92"/>
              <w:spacing w:after="0" w:line="128" w:lineRule="exact"/>
              <w:rPr>
                <w:sz w:val="20"/>
                <w:szCs w:val="20"/>
                <w:color w:val="auto"/>
              </w:rPr>
            </w:pPr>
            <w:r>
              <w:rPr>
                <w:rFonts w:ascii="Arial" w:cs="Arial" w:eastAsia="Arial" w:hAnsi="Arial"/>
                <w:sz w:val="13"/>
                <w:szCs w:val="13"/>
                <w:b w:val="1"/>
                <w:bCs w:val="1"/>
                <w:color w:val="auto"/>
                <w:w w:val="95"/>
              </w:rPr>
              <w:t>Earned or</w:t>
            </w:r>
          </w:p>
        </w:tc>
        <w:tc>
          <w:tcPr>
            <w:tcW w:w="1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jc w:val="center"/>
              <w:ind w:right="92"/>
              <w:spacing w:after="0" w:line="128" w:lineRule="exact"/>
              <w:rPr>
                <w:sz w:val="20"/>
                <w:szCs w:val="20"/>
                <w:color w:val="auto"/>
              </w:rPr>
            </w:pPr>
            <w:r>
              <w:rPr>
                <w:rFonts w:ascii="Arial" w:cs="Arial" w:eastAsia="Arial" w:hAnsi="Arial"/>
                <w:sz w:val="13"/>
                <w:szCs w:val="13"/>
                <w:b w:val="1"/>
                <w:bCs w:val="1"/>
                <w:color w:val="auto"/>
                <w:w w:val="98"/>
              </w:rPr>
              <w:t>Paid in</w:t>
            </w:r>
          </w:p>
        </w:tc>
        <w:tc>
          <w:tcPr>
            <w:tcW w:w="1660" w:type="dxa"/>
            <w:vAlign w:val="bottom"/>
            <w:vMerge w:val="restart"/>
          </w:tcPr>
          <w:p>
            <w:pPr>
              <w:jc w:val="right"/>
              <w:ind w:right="731"/>
              <w:spacing w:after="0"/>
              <w:rPr>
                <w:sz w:val="20"/>
                <w:szCs w:val="20"/>
                <w:color w:val="auto"/>
              </w:rPr>
            </w:pPr>
            <w:r>
              <w:rPr>
                <w:rFonts w:ascii="Arial" w:cs="Arial" w:eastAsia="Arial" w:hAnsi="Arial"/>
                <w:sz w:val="13"/>
                <w:szCs w:val="13"/>
                <w:b w:val="1"/>
                <w:bCs w:val="1"/>
                <w:color w:val="auto"/>
              </w:rPr>
              <w:t>Option</w:t>
            </w:r>
          </w:p>
        </w:tc>
        <w:tc>
          <w:tcPr>
            <w:tcW w:w="1220" w:type="dxa"/>
            <w:vAlign w:val="bottom"/>
            <w:vMerge w:val="restart"/>
          </w:tcPr>
          <w:p>
            <w:pPr>
              <w:jc w:val="right"/>
              <w:ind w:right="51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7"/>
        </w:trPr>
        <w:tc>
          <w:tcPr>
            <w:tcW w:w="6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580" w:type="dxa"/>
            <w:vAlign w:val="bottom"/>
          </w:tcPr>
          <w:p>
            <w:pPr>
              <w:jc w:val="center"/>
              <w:ind w:right="92"/>
              <w:spacing w:after="0" w:line="128" w:lineRule="exact"/>
              <w:rPr>
                <w:sz w:val="20"/>
                <w:szCs w:val="20"/>
                <w:color w:val="auto"/>
              </w:rPr>
            </w:pPr>
            <w:r>
              <w:rPr>
                <w:rFonts w:ascii="Arial" w:cs="Arial" w:eastAsia="Arial" w:hAnsi="Arial"/>
                <w:sz w:val="13"/>
                <w:szCs w:val="13"/>
                <w:b w:val="1"/>
                <w:bCs w:val="1"/>
                <w:color w:val="auto"/>
                <w:w w:val="94"/>
              </w:rPr>
              <w:t>Cash</w:t>
            </w:r>
          </w:p>
        </w:tc>
        <w:tc>
          <w:tcPr>
            <w:tcW w:w="16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20" w:type="dxa"/>
            <w:vAlign w:val="bottom"/>
            <w:gridSpan w:val="2"/>
            <w:vMerge w:val="continue"/>
          </w:tcPr>
          <w:p>
            <w:pPr>
              <w:spacing w:after="0"/>
              <w:rPr>
                <w:sz w:val="14"/>
                <w:szCs w:val="14"/>
                <w:color w:val="auto"/>
              </w:rPr>
            </w:pPr>
          </w:p>
        </w:tc>
        <w:tc>
          <w:tcPr>
            <w:tcW w:w="1580" w:type="dxa"/>
            <w:vAlign w:val="bottom"/>
          </w:tcPr>
          <w:p>
            <w:pPr>
              <w:jc w:val="center"/>
              <w:ind w:right="72"/>
              <w:spacing w:after="0"/>
              <w:rPr>
                <w:sz w:val="20"/>
                <w:szCs w:val="20"/>
                <w:color w:val="auto"/>
              </w:rPr>
            </w:pPr>
            <w:r>
              <w:rPr>
                <w:rFonts w:ascii="Arial" w:cs="Arial" w:eastAsia="Arial" w:hAnsi="Arial"/>
                <w:sz w:val="13"/>
                <w:szCs w:val="13"/>
                <w:b w:val="1"/>
                <w:bCs w:val="1"/>
                <w:color w:val="auto"/>
              </w:rPr>
              <w:t>($)</w:t>
            </w:r>
          </w:p>
        </w:tc>
        <w:tc>
          <w:tcPr>
            <w:tcW w:w="1660" w:type="dxa"/>
            <w:vAlign w:val="bottom"/>
          </w:tcPr>
          <w:p>
            <w:pPr>
              <w:jc w:val="right"/>
              <w:ind w:right="511"/>
              <w:spacing w:after="0" w:line="170" w:lineRule="exact"/>
              <w:rPr>
                <w:sz w:val="20"/>
                <w:szCs w:val="20"/>
                <w:color w:val="auto"/>
              </w:rPr>
            </w:pPr>
            <w:r>
              <w:rPr>
                <w:rFonts w:ascii="Arial" w:cs="Arial" w:eastAsia="Arial" w:hAnsi="Arial"/>
                <w:sz w:val="13"/>
                <w:szCs w:val="13"/>
                <w:b w:val="1"/>
                <w:bCs w:val="1"/>
                <w:color w:val="auto"/>
              </w:rPr>
              <w:t>Awards ($)</w:t>
            </w:r>
            <w:r>
              <w:rPr>
                <w:rFonts w:ascii="Arial" w:cs="Arial" w:eastAsia="Arial" w:hAnsi="Arial"/>
                <w:sz w:val="16"/>
                <w:szCs w:val="16"/>
                <w:b w:val="1"/>
                <w:bCs w:val="1"/>
                <w:color w:val="auto"/>
                <w:vertAlign w:val="superscript"/>
              </w:rPr>
              <w:t>(1)(2)</w:t>
            </w:r>
          </w:p>
        </w:tc>
        <w:tc>
          <w:tcPr>
            <w:tcW w:w="1220" w:type="dxa"/>
            <w:vAlign w:val="bottom"/>
          </w:tcPr>
          <w:p>
            <w:pPr>
              <w:jc w:val="right"/>
              <w:ind w:right="571"/>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1"/>
        </w:trPr>
        <w:tc>
          <w:tcPr>
            <w:tcW w:w="6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David V. Goeddel, Ph.D.</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73,363</w:t>
            </w:r>
          </w:p>
        </w:tc>
        <w:tc>
          <w:tcPr>
            <w:tcW w:w="166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200,000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273,363</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Shelly D. Guyer</w:t>
            </w:r>
          </w:p>
        </w:tc>
        <w:tc>
          <w:tcPr>
            <w:tcW w:w="1580" w:type="dxa"/>
            <w:vAlign w:val="bottom"/>
          </w:tcPr>
          <w:p>
            <w:pPr>
              <w:jc w:val="right"/>
              <w:ind w:right="152"/>
              <w:spacing w:after="0"/>
              <w:rPr>
                <w:sz w:val="20"/>
                <w:szCs w:val="20"/>
                <w:color w:val="auto"/>
              </w:rPr>
            </w:pPr>
            <w:r>
              <w:rPr>
                <w:rFonts w:ascii="Arial" w:cs="Arial" w:eastAsia="Arial" w:hAnsi="Arial"/>
                <w:sz w:val="14"/>
                <w:szCs w:val="14"/>
                <w:color w:val="auto"/>
              </w:rPr>
              <w:t>70,000</w:t>
            </w:r>
          </w:p>
        </w:tc>
        <w:tc>
          <w:tcPr>
            <w:tcW w:w="1660" w:type="dxa"/>
            <w:vAlign w:val="bottom"/>
          </w:tcPr>
          <w:p>
            <w:pPr>
              <w:jc w:val="right"/>
              <w:ind w:right="291"/>
              <w:spacing w:after="0"/>
              <w:rPr>
                <w:sz w:val="20"/>
                <w:szCs w:val="20"/>
                <w:color w:val="auto"/>
              </w:rPr>
            </w:pPr>
            <w:r>
              <w:rPr>
                <w:rFonts w:ascii="Arial" w:cs="Arial" w:eastAsia="Arial" w:hAnsi="Arial"/>
                <w:sz w:val="14"/>
                <w:szCs w:val="14"/>
                <w:color w:val="auto"/>
              </w:rPr>
              <w:t>200,000</w:t>
            </w:r>
          </w:p>
        </w:tc>
        <w:tc>
          <w:tcPr>
            <w:tcW w:w="1220" w:type="dxa"/>
            <w:vAlign w:val="bottom"/>
          </w:tcPr>
          <w:p>
            <w:pPr>
              <w:jc w:val="right"/>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18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43,363</w:t>
            </w:r>
          </w:p>
        </w:tc>
        <w:tc>
          <w:tcPr>
            <w:tcW w:w="16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243,363</w:t>
            </w:r>
          </w:p>
        </w:tc>
        <w:tc>
          <w:tcPr>
            <w:tcW w:w="0" w:type="dxa"/>
            <w:vAlign w:val="bottom"/>
          </w:tcPr>
          <w:p>
            <w:pPr>
              <w:spacing w:after="0"/>
              <w:rPr>
                <w:sz w:val="1"/>
                <w:szCs w:val="1"/>
                <w:color w:val="auto"/>
              </w:rPr>
            </w:pPr>
          </w:p>
        </w:tc>
      </w:tr>
      <w:tr>
        <w:trPr>
          <w:trHeight w:val="180"/>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Suzanne Sawochka Hooper</w:t>
            </w:r>
          </w:p>
        </w:tc>
        <w:tc>
          <w:tcPr>
            <w:tcW w:w="1580" w:type="dxa"/>
            <w:vAlign w:val="bottom"/>
          </w:tcPr>
          <w:p>
            <w:pPr>
              <w:jc w:val="right"/>
              <w:ind w:right="152"/>
              <w:spacing w:after="0"/>
              <w:rPr>
                <w:sz w:val="20"/>
                <w:szCs w:val="20"/>
                <w:color w:val="auto"/>
              </w:rPr>
            </w:pPr>
            <w:r>
              <w:rPr>
                <w:rFonts w:ascii="Arial" w:cs="Arial" w:eastAsia="Arial" w:hAnsi="Arial"/>
                <w:sz w:val="14"/>
                <w:szCs w:val="14"/>
                <w:color w:val="auto"/>
              </w:rPr>
              <w:t>62,802</w:t>
            </w:r>
          </w:p>
        </w:tc>
        <w:tc>
          <w:tcPr>
            <w:tcW w:w="1660" w:type="dxa"/>
            <w:vAlign w:val="bottom"/>
          </w:tcPr>
          <w:p>
            <w:pPr>
              <w:jc w:val="right"/>
              <w:ind w:right="291"/>
              <w:spacing w:after="0"/>
              <w:rPr>
                <w:sz w:val="20"/>
                <w:szCs w:val="20"/>
                <w:color w:val="auto"/>
              </w:rPr>
            </w:pPr>
            <w:r>
              <w:rPr>
                <w:rFonts w:ascii="Arial" w:cs="Arial" w:eastAsia="Arial" w:hAnsi="Arial"/>
                <w:sz w:val="14"/>
                <w:szCs w:val="14"/>
                <w:color w:val="auto"/>
              </w:rPr>
              <w:t>200,000</w:t>
            </w:r>
          </w:p>
        </w:tc>
        <w:tc>
          <w:tcPr>
            <w:tcW w:w="1220" w:type="dxa"/>
            <w:vAlign w:val="bottom"/>
          </w:tcPr>
          <w:p>
            <w:pPr>
              <w:jc w:val="right"/>
              <w:spacing w:after="0"/>
              <w:rPr>
                <w:sz w:val="20"/>
                <w:szCs w:val="20"/>
                <w:color w:val="auto"/>
              </w:rPr>
            </w:pPr>
            <w:r>
              <w:rPr>
                <w:rFonts w:ascii="Arial" w:cs="Arial" w:eastAsia="Arial" w:hAnsi="Arial"/>
                <w:sz w:val="14"/>
                <w:szCs w:val="14"/>
                <w:color w:val="auto"/>
              </w:rPr>
              <w:t>262,802</w:t>
            </w:r>
          </w:p>
        </w:tc>
        <w:tc>
          <w:tcPr>
            <w:tcW w:w="0" w:type="dxa"/>
            <w:vAlign w:val="bottom"/>
          </w:tcPr>
          <w:p>
            <w:pPr>
              <w:spacing w:after="0"/>
              <w:rPr>
                <w:sz w:val="1"/>
                <w:szCs w:val="1"/>
                <w:color w:val="auto"/>
              </w:rPr>
            </w:pPr>
          </w:p>
        </w:tc>
      </w:tr>
      <w:tr>
        <w:trPr>
          <w:trHeight w:val="180"/>
        </w:trPr>
        <w:tc>
          <w:tcPr>
            <w:tcW w:w="68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Mark Leschly</w:t>
            </w:r>
            <w:r>
              <w:rPr>
                <w:rFonts w:ascii="Arial" w:cs="Arial" w:eastAsia="Arial" w:hAnsi="Arial"/>
                <w:sz w:val="18"/>
                <w:szCs w:val="18"/>
                <w:color w:val="auto"/>
                <w:vertAlign w:val="superscript"/>
              </w:rPr>
              <w:t>(3)</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50,000</w:t>
            </w:r>
          </w:p>
        </w:tc>
        <w:tc>
          <w:tcPr>
            <w:tcW w:w="16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80"/>
        </w:trPr>
        <w:tc>
          <w:tcPr>
            <w:tcW w:w="682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Roger M. Perlmutter, M.D., Ph. D.</w:t>
            </w:r>
            <w:r>
              <w:rPr>
                <w:rFonts w:ascii="Arial" w:cs="Arial" w:eastAsia="Arial" w:hAnsi="Arial"/>
                <w:sz w:val="18"/>
                <w:szCs w:val="18"/>
                <w:color w:val="auto"/>
                <w:vertAlign w:val="superscript"/>
              </w:rPr>
              <w:t>(4)</w:t>
            </w:r>
          </w:p>
        </w:tc>
        <w:tc>
          <w:tcPr>
            <w:tcW w:w="1580" w:type="dxa"/>
            <w:vAlign w:val="bottom"/>
          </w:tcPr>
          <w:p>
            <w:pPr>
              <w:jc w:val="right"/>
              <w:ind w:right="152"/>
              <w:spacing w:after="0"/>
              <w:rPr>
                <w:sz w:val="20"/>
                <w:szCs w:val="20"/>
                <w:color w:val="auto"/>
              </w:rPr>
            </w:pPr>
            <w:r>
              <w:rPr>
                <w:rFonts w:ascii="Arial" w:cs="Arial" w:eastAsia="Arial" w:hAnsi="Arial"/>
                <w:sz w:val="14"/>
                <w:szCs w:val="14"/>
                <w:color w:val="auto"/>
              </w:rPr>
              <w:t>28,022</w:t>
            </w:r>
          </w:p>
        </w:tc>
        <w:tc>
          <w:tcPr>
            <w:tcW w:w="1660" w:type="dxa"/>
            <w:vAlign w:val="bottom"/>
          </w:tcPr>
          <w:p>
            <w:pPr>
              <w:jc w:val="right"/>
              <w:ind w:right="291"/>
              <w:spacing w:after="0"/>
              <w:rPr>
                <w:sz w:val="20"/>
                <w:szCs w:val="20"/>
                <w:color w:val="auto"/>
              </w:rPr>
            </w:pPr>
            <w:r>
              <w:rPr>
                <w:rFonts w:ascii="Arial" w:cs="Arial" w:eastAsia="Arial" w:hAnsi="Arial"/>
                <w:sz w:val="14"/>
                <w:szCs w:val="14"/>
                <w:color w:val="auto"/>
              </w:rPr>
              <w:t>499,999</w:t>
            </w:r>
          </w:p>
        </w:tc>
        <w:tc>
          <w:tcPr>
            <w:tcW w:w="1220" w:type="dxa"/>
            <w:vAlign w:val="bottom"/>
          </w:tcPr>
          <w:p>
            <w:pPr>
              <w:jc w:val="right"/>
              <w:spacing w:after="0"/>
              <w:rPr>
                <w:sz w:val="20"/>
                <w:szCs w:val="20"/>
                <w:color w:val="auto"/>
              </w:rPr>
            </w:pPr>
            <w:r>
              <w:rPr>
                <w:rFonts w:ascii="Arial" w:cs="Arial" w:eastAsia="Arial" w:hAnsi="Arial"/>
                <w:sz w:val="14"/>
                <w:szCs w:val="14"/>
                <w:color w:val="auto"/>
              </w:rPr>
              <w:t>528,021</w:t>
            </w:r>
          </w:p>
        </w:tc>
        <w:tc>
          <w:tcPr>
            <w:tcW w:w="0" w:type="dxa"/>
            <w:vAlign w:val="bottom"/>
          </w:tcPr>
          <w:p>
            <w:pPr>
              <w:spacing w:after="0"/>
              <w:rPr>
                <w:sz w:val="1"/>
                <w:szCs w:val="1"/>
                <w:color w:val="auto"/>
              </w:rPr>
            </w:pPr>
          </w:p>
        </w:tc>
      </w:tr>
      <w:tr>
        <w:trPr>
          <w:trHeight w:val="180"/>
        </w:trPr>
        <w:tc>
          <w:tcPr>
            <w:tcW w:w="68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David Schnell, M.D.</w:t>
            </w:r>
            <w:r>
              <w:rPr>
                <w:rFonts w:ascii="Arial" w:cs="Arial" w:eastAsia="Arial" w:hAnsi="Arial"/>
                <w:sz w:val="18"/>
                <w:szCs w:val="18"/>
                <w:color w:val="auto"/>
                <w:vertAlign w:val="superscript"/>
              </w:rPr>
              <w:t>(5)</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24,176</w:t>
            </w:r>
          </w:p>
        </w:tc>
        <w:tc>
          <w:tcPr>
            <w:tcW w:w="16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24,176</w:t>
            </w:r>
          </w:p>
        </w:tc>
        <w:tc>
          <w:tcPr>
            <w:tcW w:w="0" w:type="dxa"/>
            <w:vAlign w:val="bottom"/>
          </w:tcPr>
          <w:p>
            <w:pPr>
              <w:spacing w:after="0"/>
              <w:rPr>
                <w:sz w:val="1"/>
                <w:szCs w:val="1"/>
                <w:color w:val="auto"/>
              </w:rPr>
            </w:pPr>
          </w:p>
        </w:tc>
      </w:tr>
      <w:tr>
        <w:trPr>
          <w:trHeight w:val="244"/>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McHenry T. Tichenor, Jr.</w:t>
            </w:r>
            <w:r>
              <w:rPr>
                <w:rFonts w:ascii="Arial" w:cs="Arial" w:eastAsia="Arial" w:hAnsi="Arial"/>
                <w:sz w:val="18"/>
                <w:szCs w:val="18"/>
                <w:color w:val="auto"/>
                <w:vertAlign w:val="superscript"/>
              </w:rPr>
              <w:t>(6)</w:t>
            </w:r>
          </w:p>
        </w:tc>
        <w:tc>
          <w:tcPr>
            <w:tcW w:w="1580" w:type="dxa"/>
            <w:vAlign w:val="bottom"/>
          </w:tcPr>
          <w:p>
            <w:pPr>
              <w:jc w:val="right"/>
              <w:ind w:right="152"/>
              <w:spacing w:after="0"/>
              <w:rPr>
                <w:sz w:val="20"/>
                <w:szCs w:val="20"/>
                <w:color w:val="auto"/>
              </w:rPr>
            </w:pPr>
            <w:r>
              <w:rPr>
                <w:rFonts w:ascii="Arial" w:cs="Arial" w:eastAsia="Arial" w:hAnsi="Arial"/>
                <w:sz w:val="14"/>
                <w:szCs w:val="14"/>
                <w:color w:val="auto"/>
              </w:rPr>
              <w:t>24,615</w:t>
            </w:r>
          </w:p>
        </w:tc>
        <w:tc>
          <w:tcPr>
            <w:tcW w:w="166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24,615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_________________________________</w:t>
      </w:r>
    </w:p>
    <w:p>
      <w:pPr>
        <w:spacing w:after="0" w:line="183" w:lineRule="exact"/>
        <w:rPr>
          <w:sz w:val="20"/>
          <w:szCs w:val="20"/>
          <w:color w:val="auto"/>
        </w:rPr>
      </w:pPr>
    </w:p>
    <w:p>
      <w:pPr>
        <w:jc w:val="both"/>
        <w:ind w:left="520" w:hanging="515"/>
        <w:spacing w:after="0" w:line="262" w:lineRule="auto"/>
        <w:tabs>
          <w:tab w:leader="none" w:pos="510" w:val="left"/>
        </w:tabs>
        <w:numPr>
          <w:ilvl w:val="0"/>
          <w:numId w:val="38"/>
        </w:numPr>
        <w:rPr>
          <w:rFonts w:ascii="Arial" w:cs="Arial" w:eastAsia="Arial" w:hAnsi="Arial"/>
          <w:sz w:val="11"/>
          <w:szCs w:val="11"/>
          <w:color w:val="auto"/>
        </w:rPr>
      </w:pPr>
      <w:r>
        <w:rPr>
          <w:rFonts w:ascii="Arial" w:cs="Arial" w:eastAsia="Arial" w:hAnsi="Arial"/>
          <w:sz w:val="11"/>
          <w:szCs w:val="11"/>
          <w:color w:val="auto"/>
        </w:rPr>
        <w:t>Amounts represent the aggregate grant date fair value of stock options granted to our non-employee directors during 2021, computed in accordance with ASC Topic 718. Assumptions used in the calculation of these amounts are included in Note 9 to our consolidated financial statements included in our Annual Report on Form 10-K for the year ended December 31, 2021. These amounts do not necessarily correspond to the actual value recognized or that may be recognized by the non-employee directors.</w:t>
      </w:r>
    </w:p>
    <w:p>
      <w:pPr>
        <w:spacing w:after="0" w:line="52" w:lineRule="exact"/>
        <w:rPr>
          <w:rFonts w:ascii="Arial" w:cs="Arial" w:eastAsia="Arial" w:hAnsi="Arial"/>
          <w:sz w:val="11"/>
          <w:szCs w:val="11"/>
          <w:color w:val="auto"/>
        </w:rPr>
      </w:pPr>
    </w:p>
    <w:p>
      <w:pPr>
        <w:ind w:left="520" w:hanging="515"/>
        <w:spacing w:after="0" w:line="283" w:lineRule="auto"/>
        <w:tabs>
          <w:tab w:leader="none" w:pos="51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aggregate number of shares outstanding under all options held by our non-employee directors as of December 31, 2021 are set forth in the table below. As of December 31, 2021, none of our non-employee directors held unvested stock awards other than options.</w:t>
      </w:r>
    </w:p>
    <w:p>
      <w:pPr>
        <w:spacing w:after="0" w:line="41" w:lineRule="exact"/>
        <w:rPr>
          <w:rFonts w:ascii="Arial" w:cs="Arial" w:eastAsia="Arial" w:hAnsi="Arial"/>
          <w:sz w:val="11"/>
          <w:szCs w:val="11"/>
          <w:color w:val="auto"/>
        </w:rPr>
      </w:pPr>
    </w:p>
    <w:p>
      <w:pPr>
        <w:ind w:left="500" w:hanging="495"/>
        <w:spacing w:after="0"/>
        <w:tabs>
          <w:tab w:leader="none" w:pos="500" w:val="left"/>
        </w:tabs>
        <w:numPr>
          <w:ilvl w:val="0"/>
          <w:numId w:val="38"/>
        </w:numPr>
        <w:rPr>
          <w:rFonts w:ascii="Arial" w:cs="Arial" w:eastAsia="Arial" w:hAnsi="Arial"/>
          <w:sz w:val="11"/>
          <w:szCs w:val="11"/>
          <w:color w:val="auto"/>
        </w:rPr>
      </w:pPr>
      <w:r>
        <w:rPr>
          <w:rFonts w:ascii="Arial" w:cs="Arial" w:eastAsia="Arial" w:hAnsi="Arial"/>
          <w:sz w:val="11"/>
          <w:szCs w:val="11"/>
          <w:color w:val="auto"/>
        </w:rPr>
        <w:t>Mr. Leschly has notified us that he is resigning from our Board of Directors effective upon the conclusion of the Annual Meeting.</w:t>
      </w:r>
    </w:p>
    <w:p>
      <w:pPr>
        <w:spacing w:after="0" w:line="85" w:lineRule="exact"/>
        <w:rPr>
          <w:rFonts w:ascii="Arial" w:cs="Arial" w:eastAsia="Arial" w:hAnsi="Arial"/>
          <w:sz w:val="11"/>
          <w:szCs w:val="11"/>
          <w:color w:val="auto"/>
        </w:rPr>
      </w:pPr>
    </w:p>
    <w:p>
      <w:pPr>
        <w:ind w:left="500" w:hanging="495"/>
        <w:spacing w:after="0"/>
        <w:tabs>
          <w:tab w:leader="none" w:pos="500" w:val="left"/>
        </w:tabs>
        <w:numPr>
          <w:ilvl w:val="0"/>
          <w:numId w:val="38"/>
        </w:numPr>
        <w:rPr>
          <w:rFonts w:ascii="Arial" w:cs="Arial" w:eastAsia="Arial" w:hAnsi="Arial"/>
          <w:sz w:val="11"/>
          <w:szCs w:val="11"/>
          <w:color w:val="auto"/>
        </w:rPr>
      </w:pPr>
      <w:r>
        <w:rPr>
          <w:rFonts w:ascii="Arial" w:cs="Arial" w:eastAsia="Arial" w:hAnsi="Arial"/>
          <w:sz w:val="11"/>
          <w:szCs w:val="11"/>
          <w:color w:val="auto"/>
        </w:rPr>
        <w:t>Dr. Perlmutter was appointed to our Board of Directors in June 2021.</w:t>
      </w:r>
    </w:p>
    <w:p>
      <w:pPr>
        <w:spacing w:after="0" w:line="85" w:lineRule="exact"/>
        <w:rPr>
          <w:rFonts w:ascii="Arial" w:cs="Arial" w:eastAsia="Arial" w:hAnsi="Arial"/>
          <w:sz w:val="11"/>
          <w:szCs w:val="11"/>
          <w:color w:val="auto"/>
        </w:rPr>
      </w:pPr>
    </w:p>
    <w:p>
      <w:pPr>
        <w:ind w:left="500" w:hanging="495"/>
        <w:spacing w:after="0"/>
        <w:tabs>
          <w:tab w:leader="none" w:pos="500" w:val="left"/>
        </w:tabs>
        <w:numPr>
          <w:ilvl w:val="0"/>
          <w:numId w:val="38"/>
        </w:numPr>
        <w:rPr>
          <w:rFonts w:ascii="Arial" w:cs="Arial" w:eastAsia="Arial" w:hAnsi="Arial"/>
          <w:sz w:val="11"/>
          <w:szCs w:val="11"/>
          <w:color w:val="auto"/>
        </w:rPr>
      </w:pPr>
      <w:r>
        <w:rPr>
          <w:rFonts w:ascii="Arial" w:cs="Arial" w:eastAsia="Arial" w:hAnsi="Arial"/>
          <w:sz w:val="11"/>
          <w:szCs w:val="11"/>
          <w:color w:val="auto"/>
        </w:rPr>
        <w:t>Dr. Schnell ceased to be a director upon the expiration of his term in June 2021.</w:t>
      </w:r>
    </w:p>
    <w:p>
      <w:pPr>
        <w:spacing w:after="0" w:line="85" w:lineRule="exact"/>
        <w:rPr>
          <w:rFonts w:ascii="Arial" w:cs="Arial" w:eastAsia="Arial" w:hAnsi="Arial"/>
          <w:sz w:val="11"/>
          <w:szCs w:val="11"/>
          <w:color w:val="auto"/>
        </w:rPr>
      </w:pPr>
    </w:p>
    <w:p>
      <w:pPr>
        <w:ind w:left="500" w:hanging="495"/>
        <w:spacing w:after="0"/>
        <w:tabs>
          <w:tab w:leader="none" w:pos="500" w:val="left"/>
        </w:tabs>
        <w:numPr>
          <w:ilvl w:val="0"/>
          <w:numId w:val="38"/>
        </w:numPr>
        <w:rPr>
          <w:rFonts w:ascii="Arial" w:cs="Arial" w:eastAsia="Arial" w:hAnsi="Arial"/>
          <w:sz w:val="11"/>
          <w:szCs w:val="11"/>
          <w:color w:val="auto"/>
        </w:rPr>
      </w:pPr>
      <w:r>
        <w:rPr>
          <w:rFonts w:ascii="Arial" w:cs="Arial" w:eastAsia="Arial" w:hAnsi="Arial"/>
          <w:sz w:val="11"/>
          <w:szCs w:val="11"/>
          <w:color w:val="auto"/>
        </w:rPr>
        <w:t>Mr. Tichenor ceased to be a director upon the expiration of his term in June 2021.</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While cash fees are earned by the individual directors, in some instances the directors request that such compensation be paid to bank accounts of their respective funds.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 Shares</w:t>
            </w:r>
          </w:p>
        </w:tc>
      </w:tr>
      <w:tr>
        <w:trPr>
          <w:trHeight w:val="149"/>
        </w:trPr>
        <w:tc>
          <w:tcPr>
            <w:tcW w:w="9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8"/>
              </w:rPr>
              <w:t>Underlying Option</w:t>
            </w:r>
          </w:p>
        </w:tc>
      </w:tr>
      <w:tr>
        <w:trPr>
          <w:trHeight w:val="180"/>
        </w:trPr>
        <w:tc>
          <w:tcPr>
            <w:tcW w:w="920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r>
      <w:tr>
        <w:trPr>
          <w:trHeight w:val="171"/>
        </w:trPr>
        <w:tc>
          <w:tcPr>
            <w:tcW w:w="9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David V. Goeddel, Ph.D.</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19,619</w:t>
            </w:r>
          </w:p>
        </w:tc>
      </w:tr>
      <w:tr>
        <w:trPr>
          <w:trHeight w:val="180"/>
        </w:trPr>
        <w:tc>
          <w:tcPr>
            <w:tcW w:w="9200" w:type="dxa"/>
            <w:vAlign w:val="bottom"/>
            <w:gridSpan w:val="2"/>
          </w:tcPr>
          <w:p>
            <w:pPr>
              <w:ind w:left="20"/>
              <w:spacing w:after="0"/>
              <w:rPr>
                <w:sz w:val="20"/>
                <w:szCs w:val="20"/>
                <w:color w:val="auto"/>
              </w:rPr>
            </w:pPr>
            <w:r>
              <w:rPr>
                <w:rFonts w:ascii="Arial" w:cs="Arial" w:eastAsia="Arial" w:hAnsi="Arial"/>
                <w:sz w:val="14"/>
                <w:szCs w:val="14"/>
                <w:color w:val="auto"/>
              </w:rPr>
              <w:t>Shelly D. Guyer</w:t>
            </w:r>
          </w:p>
        </w:tc>
        <w:tc>
          <w:tcPr>
            <w:tcW w:w="2080" w:type="dxa"/>
            <w:vAlign w:val="bottom"/>
          </w:tcPr>
          <w:p>
            <w:pPr>
              <w:jc w:val="right"/>
              <w:spacing w:after="0"/>
              <w:rPr>
                <w:sz w:val="20"/>
                <w:szCs w:val="20"/>
                <w:color w:val="auto"/>
              </w:rPr>
            </w:pPr>
            <w:r>
              <w:rPr>
                <w:rFonts w:ascii="Arial" w:cs="Arial" w:eastAsia="Arial" w:hAnsi="Arial"/>
                <w:sz w:val="14"/>
                <w:szCs w:val="14"/>
                <w:color w:val="auto"/>
              </w:rPr>
              <w:t>19,619</w:t>
            </w:r>
          </w:p>
        </w:tc>
      </w:tr>
      <w:tr>
        <w:trPr>
          <w:trHeight w:val="180"/>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19,619</w:t>
            </w:r>
          </w:p>
        </w:tc>
      </w:tr>
      <w:tr>
        <w:trPr>
          <w:trHeight w:val="180"/>
        </w:trPr>
        <w:tc>
          <w:tcPr>
            <w:tcW w:w="9200" w:type="dxa"/>
            <w:vAlign w:val="bottom"/>
            <w:gridSpan w:val="2"/>
          </w:tcPr>
          <w:p>
            <w:pPr>
              <w:ind w:left="20"/>
              <w:spacing w:after="0"/>
              <w:rPr>
                <w:sz w:val="20"/>
                <w:szCs w:val="20"/>
                <w:color w:val="auto"/>
              </w:rPr>
            </w:pPr>
            <w:r>
              <w:rPr>
                <w:rFonts w:ascii="Arial" w:cs="Arial" w:eastAsia="Arial" w:hAnsi="Arial"/>
                <w:sz w:val="14"/>
                <w:szCs w:val="14"/>
                <w:color w:val="auto"/>
              </w:rPr>
              <w:t>Suzanne Sawochka Hooper</w:t>
            </w:r>
          </w:p>
        </w:tc>
        <w:tc>
          <w:tcPr>
            <w:tcW w:w="2080" w:type="dxa"/>
            <w:vAlign w:val="bottom"/>
          </w:tcPr>
          <w:p>
            <w:pPr>
              <w:jc w:val="right"/>
              <w:spacing w:after="0"/>
              <w:rPr>
                <w:sz w:val="20"/>
                <w:szCs w:val="20"/>
                <w:color w:val="auto"/>
              </w:rPr>
            </w:pPr>
            <w:r>
              <w:rPr>
                <w:rFonts w:ascii="Arial" w:cs="Arial" w:eastAsia="Arial" w:hAnsi="Arial"/>
                <w:sz w:val="14"/>
                <w:szCs w:val="14"/>
                <w:color w:val="auto"/>
              </w:rPr>
              <w:t>19,619</w:t>
            </w:r>
          </w:p>
        </w:tc>
      </w:tr>
      <w:tr>
        <w:trPr>
          <w:trHeight w:val="180"/>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 Leschly</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19,619</w:t>
            </w:r>
          </w:p>
        </w:tc>
      </w:tr>
      <w:tr>
        <w:trPr>
          <w:trHeight w:val="186"/>
        </w:trPr>
        <w:tc>
          <w:tcPr>
            <w:tcW w:w="9200" w:type="dxa"/>
            <w:vAlign w:val="bottom"/>
            <w:gridSpan w:val="2"/>
          </w:tcPr>
          <w:p>
            <w:pPr>
              <w:ind w:left="20"/>
              <w:spacing w:after="0"/>
              <w:rPr>
                <w:sz w:val="20"/>
                <w:szCs w:val="20"/>
                <w:color w:val="auto"/>
              </w:rPr>
            </w:pPr>
            <w:r>
              <w:rPr>
                <w:rFonts w:ascii="Arial" w:cs="Arial" w:eastAsia="Arial" w:hAnsi="Arial"/>
                <w:sz w:val="14"/>
                <w:szCs w:val="14"/>
                <w:color w:val="auto"/>
              </w:rPr>
              <w:t>Roger M. Perlmutter, M.D., Ph.D.</w:t>
            </w:r>
          </w:p>
        </w:tc>
        <w:tc>
          <w:tcPr>
            <w:tcW w:w="2080" w:type="dxa"/>
            <w:vAlign w:val="bottom"/>
          </w:tcPr>
          <w:p>
            <w:pPr>
              <w:jc w:val="right"/>
              <w:spacing w:after="0"/>
              <w:rPr>
                <w:sz w:val="20"/>
                <w:szCs w:val="20"/>
                <w:color w:val="auto"/>
              </w:rPr>
            </w:pPr>
            <w:r>
              <w:rPr>
                <w:rFonts w:ascii="Arial" w:cs="Arial" w:eastAsia="Arial" w:hAnsi="Arial"/>
                <w:sz w:val="14"/>
                <w:szCs w:val="14"/>
                <w:color w:val="auto"/>
              </w:rPr>
              <w:t>46,238</w:t>
            </w:r>
          </w:p>
        </w:tc>
      </w:tr>
    </w:tbl>
    <w:p>
      <w:pPr>
        <w:spacing w:after="0" w:line="2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tables above do not include Dr. Woodhouse, Mr. Rieflin or Dr. Chen because each of Dr. Woodhouse, Mr. Rieflin and Dr. Chen receive no additional compensation for services provided as a director. Drs. Woodhouse and Chen are named executive officers in this Proxy Statement and Mr. Rieflin is an executive officer who is not a named executive officer.</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Non-Employee Director Compensation Policy</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adopted a non-employee director compensation policy, pursuant to which our non-employee directors will be eligible to receive cash compensation for service on our Board of Directors and committees of our Board of Directors.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931"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Each non-employee director receives an annual cash retainer of $40,000 for serving on our Board of Directors.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Lead Independent Director is entitled to an additional cash retainer of $25,000 in addition to the annual retainer received by other non-employee directors for serving as our Lead Independent Director.</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Chairs and members of the three committees of our Board of Directors are entitled to the following additional annual cash retainers: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Board Committee</w:t>
            </w:r>
          </w:p>
        </w:tc>
        <w:tc>
          <w:tcPr>
            <w:tcW w:w="1280" w:type="dxa"/>
            <w:vAlign w:val="bottom"/>
          </w:tcPr>
          <w:p>
            <w:pPr>
              <w:jc w:val="center"/>
              <w:ind w:left="476"/>
              <w:spacing w:after="0"/>
              <w:rPr>
                <w:sz w:val="20"/>
                <w:szCs w:val="20"/>
                <w:color w:val="auto"/>
              </w:rPr>
            </w:pPr>
            <w:r>
              <w:rPr>
                <w:rFonts w:ascii="Arial" w:cs="Arial" w:eastAsia="Arial" w:hAnsi="Arial"/>
                <w:sz w:val="13"/>
                <w:szCs w:val="13"/>
                <w:b w:val="1"/>
                <w:bCs w:val="1"/>
                <w:color w:val="auto"/>
                <w:w w:val="97"/>
              </w:rPr>
              <w:t>Chair Fee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jc w:val="right"/>
              <w:ind w:right="512"/>
              <w:spacing w:after="0"/>
              <w:rPr>
                <w:sz w:val="20"/>
                <w:szCs w:val="20"/>
                <w:color w:val="auto"/>
              </w:rPr>
            </w:pPr>
            <w:r>
              <w:rPr>
                <w:rFonts w:ascii="Arial" w:cs="Arial" w:eastAsia="Arial" w:hAnsi="Arial"/>
                <w:sz w:val="13"/>
                <w:szCs w:val="13"/>
                <w:b w:val="1"/>
                <w:bCs w:val="1"/>
                <w:color w:val="auto"/>
              </w:rPr>
              <w:t>Member Fee</w:t>
            </w:r>
          </w:p>
        </w:tc>
        <w:tc>
          <w:tcPr>
            <w:tcW w:w="0" w:type="dxa"/>
            <w:vAlign w:val="bottom"/>
          </w:tcPr>
          <w:p>
            <w:pPr>
              <w:spacing w:after="0"/>
              <w:rPr>
                <w:sz w:val="1"/>
                <w:szCs w:val="1"/>
                <w:color w:val="auto"/>
              </w:rPr>
            </w:pPr>
          </w:p>
        </w:tc>
      </w:tr>
      <w:tr>
        <w:trPr>
          <w:trHeight w:val="170"/>
        </w:trPr>
        <w:tc>
          <w:tcPr>
            <w:tcW w:w="7480" w:type="dxa"/>
            <w:vAlign w:val="bottom"/>
            <w:gridSpan w:val="2"/>
            <w:vMerge w:val="continue"/>
          </w:tcPr>
          <w:p>
            <w:pPr>
              <w:spacing w:after="0"/>
              <w:rPr>
                <w:sz w:val="14"/>
                <w:szCs w:val="14"/>
                <w:color w:val="auto"/>
              </w:rPr>
            </w:pPr>
          </w:p>
        </w:tc>
        <w:tc>
          <w:tcPr>
            <w:tcW w:w="1280" w:type="dxa"/>
            <w:vAlign w:val="bottom"/>
          </w:tcPr>
          <w:p>
            <w:pPr>
              <w:jc w:val="right"/>
              <w:ind w:right="196"/>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jc w:val="right"/>
              <w:ind w:right="77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1"/>
        </w:trPr>
        <w:tc>
          <w:tcPr>
            <w:tcW w:w="7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Audit Committee</w:t>
            </w:r>
          </w:p>
        </w:tc>
        <w:tc>
          <w:tcPr>
            <w:tcW w:w="80" w:type="dxa"/>
            <w:vAlign w:val="bottom"/>
            <w:tcBorders>
              <w:top w:val="single" w:sz="8" w:color="CFF0FC"/>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Borders>
              <w:top w:val="single" w:sz="8" w:color="CFF0FC"/>
            </w:tcBorders>
            <w:shd w:val="clear" w:color="auto" w:fill="CFF0FC"/>
          </w:tcPr>
          <w:p>
            <w:pPr>
              <w:spacing w:after="0"/>
              <w:rPr>
                <w:sz w:val="14"/>
                <w:szCs w:val="14"/>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0"/>
        </w:trPr>
        <w:tc>
          <w:tcPr>
            <w:tcW w:w="7480" w:type="dxa"/>
            <w:vAlign w:val="bottom"/>
            <w:gridSpan w:val="2"/>
          </w:tcPr>
          <w:p>
            <w:pPr>
              <w:ind w:left="20"/>
              <w:spacing w:after="0"/>
              <w:rPr>
                <w:sz w:val="20"/>
                <w:szCs w:val="20"/>
                <w:color w:val="auto"/>
              </w:rPr>
            </w:pPr>
            <w:r>
              <w:rPr>
                <w:rFonts w:ascii="Arial" w:cs="Arial" w:eastAsia="Arial" w:hAnsi="Arial"/>
                <w:sz w:val="14"/>
                <w:szCs w:val="14"/>
                <w:color w:val="auto"/>
              </w:rPr>
              <w:t>Compensation Committee</w:t>
            </w:r>
          </w:p>
        </w:tc>
        <w:tc>
          <w:tcPr>
            <w:tcW w:w="1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80"/>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Nominating and Corporate Governance Committee</w:t>
            </w:r>
          </w:p>
        </w:tc>
        <w:tc>
          <w:tcPr>
            <w:tcW w:w="12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FF0FC"/>
          </w:tcPr>
          <w:p>
            <w:pPr>
              <w:spacing w:after="0"/>
              <w:rPr>
                <w:sz w:val="15"/>
                <w:szCs w:val="15"/>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All annual cash compensation amounts are payable in equal quarterly installments in advance within the first 30 days of each fiscal quarter in which the service will occur, prorated based on the days remaining in the calendar quarter.</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Newly appointed non-employee directors will receive a one-time initial award of options with a grant date fair value of approximately $ 500,000, which will vest one-third after the first year, with the remaining shares vesting quarterly in years two and three following the grant date, such that the shares will be fully vested on the third anniversary of the date of grant, subject to the director’s continued service on the Board of Directors. Thereafter, each non-employee director will receive an annual award of options on the date of each annual meeting of stockholders with a grant date fair value of approximately $200,000, which will vest quarterly over one year from the grant date, such that the shares will be fully vested on the earlier of the first anniversary of the date of grant and the day prior to the next annual meeting of stockholders, subject to the director’s continued service on the Board of Directors. In addition, in the event of a change in control (as defined in the Restated 2018 Plan) of the Company, the shares underlying such grants will vest and become exercisable immediately prior to the effectiveness of such change in control.</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exercise price per share of each stock option granted under the non-employee director compensation policy will be equal to 100% of the fair market value of the underlying common stock on the date of grant. Each stock option will have a term of ten years from the date of grant, subject to earlier termination in connection with a termination of the non-employee director’s continuous service with us or a corporate transaction, each as provided under the Restated 2018 Plan.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931" w:right="31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PROPOSAL NO.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ADVISORY VOTE ON EXECUTIVE COMPENSATION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 This is referred to as a “say-on-pay” vote.</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Discussion and Analysis,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and consistent with current market practices. Compensation of our named executive officers is designed to enable us to attract and retain talented and experienced executives to lead us successfully in a competitive environment.</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Accordingly, the Board is asking the stockholders to indicate their support for the compensation of our named executive officers as described in this Proxy Statement by casting a non-binding advisory vote “FOR” the following resolution:</w:t>
      </w:r>
    </w:p>
    <w:p>
      <w:pPr>
        <w:spacing w:after="0" w:line="120" w:lineRule="exact"/>
        <w:rPr>
          <w:sz w:val="20"/>
          <w:szCs w:val="20"/>
          <w:color w:val="auto"/>
        </w:rPr>
      </w:pPr>
    </w:p>
    <w:p>
      <w:pPr>
        <w:ind w:left="580" w:right="440"/>
        <w:spacing w:after="0" w:line="290" w:lineRule="auto"/>
        <w:rPr>
          <w:sz w:val="20"/>
          <w:szCs w:val="20"/>
          <w:color w:val="auto"/>
        </w:rPr>
      </w:pPr>
      <w:r>
        <w:rPr>
          <w:rFonts w:ascii="Arial" w:cs="Arial" w:eastAsia="Arial" w:hAnsi="Arial"/>
          <w:sz w:val="14"/>
          <w:szCs w:val="14"/>
          <w:color w:val="auto"/>
        </w:rPr>
        <w:t>“RESOLVED, that the compensation paid to the Company’s named executive officers, as disclosed pursuant to Item 402 of Regulation S-K, including the Compensation Discussion and Analysis, compensation tables and narrative discussion included in this Proxy Statement, is hereby APPROVED.”</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Advisory approval of this proposal requires the vote of the holders of a majority of the shares present or represented by proxy and entitled to vote on the matter at the Annual Meeting.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Recommends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Vote “For” Proposal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931"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PROPOSAL NO.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ADVISORY VOTE ON THE FREQUENCY OF SOLICITATION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ADVISORY STOCKHOLDER APPROVAL OF EXECUTIVE COMPENSATION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Dodd-Frank Act and Section 14A of the Exchange Act also enable our stockholders, at least once every six years, to indicate their preference regarding how frequently the Company should solicit a “say-on-pay” vote. In accordance with the Dodd-Frank Act, we are asking stockholders to indicate whether they would prefer an advisory “say-on-pay” vote every year, every other year or every three years. Alternatively, stockholders may abstain from casting a vote.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After considering the benefits and consequences of each alternative, the Board recommends that the advisory vote on the compensation of our named executive officers be submitted to the stockholders annually. The Board believes that an annual advisory vote on the compensation of our named executive officers is the most appropriate option for the Company because it will allow our stockholders to provide us with their input on our compensation philosophy, policies and practices as disclosed in this Proxy Statement on an annual basis. While the Board believes that its recommendation is appropriate at this time, the stockholders are not voting to approve or disapprove that recommendation, but are instead asked to indicate their preferences, on an advisory basis, as to whether the non-binding advisory vote on the approval of the Company’s executive officer compensation practices should be held every year, every other year or every three years. The option among those choices that receives the votes of the holders of a majority of shares present or represented by proxy and entitled to vote at the annual meeting will be deemed to be the frequency preferred by the stockholders.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Accordingly, the Board is asking stockholders to indicate their preferred voting frequency by voting for one, two or three years. The alternative among one year, two years or three years that receives the votes of the holders of a majority of shares present or represented by proxy and entitled to vote on the matter at the Annual Meeting will be deemed to be the frequency preferred by the stockholders.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Board and the Compensation Committee value the opinions of the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the Board of Directors or the Company, the Board of Directors may decide that it is in the best interests of the stockholders that the Company hold an advisory vote on executive compensation more or less frequently than the option preferred by the stockholders. The vote will not be construed to create or imply any change or addition to the fiduciary duties of the Company or the Board.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Recommends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Vote In Favor Of “One Year” On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931"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PROPOSAL NO. 4</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RATIFICATION OF SELECTION OF INDEPENDENT REGISTERED PUBLIC ACCOUNTING FIRM</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Audit Committee of the Board of Directors has selected Ernst &amp; Young LLP as our independent registered public accounting firm for the fiscal year ending December 31, 2022 and has directed that management submit the selection of its independent registered public accounting firm for ratification by the stockholders at the Annual Meeting. Ernst &amp; Young LLP was engaged in 2008 and has audited our consolidated financial statements since 2008. Representatives of Ernst &amp; Young LLP are expected to be present at the Annual Meeting. They will have an opportunity to make a statement if they so desire and will be available to respond to appropriate questions.</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Neither our bylaws nor other governing documents or law require stockholder ratification of the selection of Ernst &amp; Young LLP as our independent registered public accounting firm. However, the Audit Committee of the Board of Directors is submitting the selection of Ernst &amp; Young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affirmative vote of the holders of a majority of the shares present or represented by proxy and entitled to vote on the matter at the Annual Meeting will be required to approve this Proposal No. 4.</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Recommends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Vote “For” Proposal No. 4.</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Principal Accountant Fees and Services</w:t>
      </w:r>
    </w:p>
    <w:p>
      <w:pPr>
        <w:spacing w:after="0" w:line="177"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The following table represents aggregate fees billed to NGM by Ernst &amp; Young LLP, our independent registered public accounting firm, for the years ended December 31, 2020 and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3"/>
                <w:szCs w:val="13"/>
                <w:b w:val="1"/>
                <w:bCs w:val="1"/>
                <w:color w:val="auto"/>
              </w:rPr>
              <w:t>Year Ended December 31,</w:t>
            </w:r>
          </w:p>
        </w:tc>
      </w:tr>
      <w:tr>
        <w:trPr>
          <w:trHeight w:val="160"/>
        </w:trPr>
        <w:tc>
          <w:tcPr>
            <w:tcW w:w="8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2021</w:t>
            </w:r>
          </w:p>
        </w:tc>
      </w:tr>
      <w:tr>
        <w:trPr>
          <w:trHeight w:val="171"/>
        </w:trPr>
        <w:tc>
          <w:tcPr>
            <w:tcW w:w="8140" w:type="dxa"/>
            <w:vAlign w:val="bottom"/>
            <w:shd w:val="clear" w:color="auto" w:fill="CCEEFF"/>
          </w:tcPr>
          <w:p>
            <w:pPr>
              <w:ind w:left="20"/>
              <w:spacing w:after="0" w:line="171" w:lineRule="exact"/>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1,113,550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2,261,822</w:t>
            </w:r>
          </w:p>
        </w:tc>
      </w:tr>
      <w:tr>
        <w:trPr>
          <w:trHeight w:val="180"/>
        </w:trPr>
        <w:tc>
          <w:tcPr>
            <w:tcW w:w="8140" w:type="dxa"/>
            <w:vAlign w:val="bottom"/>
          </w:tcPr>
          <w:p>
            <w:pPr>
              <w:ind w:left="20"/>
              <w:spacing w:after="0" w:line="181" w:lineRule="exact"/>
              <w:rPr>
                <w:sz w:val="20"/>
                <w:szCs w:val="20"/>
                <w:color w:val="auto"/>
              </w:rPr>
            </w:pPr>
            <w:r>
              <w:rPr>
                <w:rFonts w:ascii="Arial" w:cs="Arial" w:eastAsia="Arial" w:hAnsi="Arial"/>
                <w:sz w:val="14"/>
                <w:szCs w:val="14"/>
                <w:color w:val="auto"/>
              </w:rPr>
              <w:t>Audit-Related Fees</w:t>
            </w:r>
            <w:r>
              <w:rPr>
                <w:rFonts w:ascii="Arial" w:cs="Arial" w:eastAsia="Arial" w:hAnsi="Arial"/>
                <w:sz w:val="18"/>
                <w:szCs w:val="18"/>
                <w:color w:val="auto"/>
                <w:vertAlign w:val="superscript"/>
              </w:rPr>
              <w:t>(2)</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230,000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52,388</w:t>
            </w:r>
          </w:p>
        </w:tc>
      </w:tr>
      <w:tr>
        <w:trPr>
          <w:trHeight w:val="180"/>
        </w:trPr>
        <w:tc>
          <w:tcPr>
            <w:tcW w:w="81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(3)</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2,965</w:t>
            </w:r>
          </w:p>
        </w:tc>
      </w:tr>
      <w:tr>
        <w:trPr>
          <w:trHeight w:val="171"/>
        </w:trPr>
        <w:tc>
          <w:tcPr>
            <w:tcW w:w="8140" w:type="dxa"/>
            <w:vAlign w:val="bottom"/>
          </w:tcPr>
          <w:p>
            <w:pPr>
              <w:ind w:left="20"/>
              <w:spacing w:after="0"/>
              <w:rPr>
                <w:sz w:val="20"/>
                <w:szCs w:val="20"/>
                <w:color w:val="auto"/>
              </w:rPr>
            </w:pPr>
            <w:r>
              <w:rPr>
                <w:rFonts w:ascii="Arial" w:cs="Arial" w:eastAsia="Arial" w:hAnsi="Arial"/>
                <w:sz w:val="14"/>
                <w:szCs w:val="14"/>
                <w:color w:val="auto"/>
              </w:rPr>
              <w:t>Total Fees</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1,346,060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2,317,175</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87" w:lineRule="exact"/>
        <w:rPr>
          <w:sz w:val="20"/>
          <w:szCs w:val="20"/>
          <w:color w:val="auto"/>
        </w:rPr>
      </w:pPr>
    </w:p>
    <w:p>
      <w:pPr>
        <w:ind w:left="520" w:hanging="515"/>
        <w:spacing w:after="0" w:line="281" w:lineRule="auto"/>
        <w:tabs>
          <w:tab w:leader="none" w:pos="51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Audit Fees consisted of fees billed for professional services performed by Ernst &amp; Young LLP for the audit of our annual consolidated financial statements and the effectiveness of our internal control over financial reporting as of December 31, 2021, the review of interim financial statements, and related services.</w:t>
      </w:r>
    </w:p>
    <w:p>
      <w:pPr>
        <w:ind w:left="520" w:hanging="515"/>
        <w:spacing w:after="0" w:line="281" w:lineRule="auto"/>
        <w:tabs>
          <w:tab w:leader="none" w:pos="51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Audit-Related Fees consisted of fees for assurance and related services that are reasonably related to the performance of the audit or review of our consolidated financial statements and are not reported under “Audit Fees.”</w:t>
      </w:r>
    </w:p>
    <w:p>
      <w:pPr>
        <w:ind w:left="500" w:hanging="495"/>
        <w:spacing w:after="0"/>
        <w:tabs>
          <w:tab w:leader="none" w:pos="5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All other fees for services that are not included under the “Audit” or “Audit-Related” categories were associated with fees related to an on-line subscription to an Ernst &amp; Young LLP database.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All services performed for us by Ernst &amp; Young LLP, our independent registered public accounting firm, and related fees incurred, were pre-approved by our Audit Committee.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Pre-Approval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Audit Committee has procedures in place for the pre-approval of audit and non-audit services rendered by the Company’s independent registered public accounting firm, Ernst</w:t>
      </w:r>
    </w:p>
    <w:p>
      <w:pPr>
        <w:spacing w:after="0" w:line="23" w:lineRule="exact"/>
        <w:rPr>
          <w:sz w:val="20"/>
          <w:szCs w:val="20"/>
          <w:color w:val="auto"/>
        </w:rPr>
      </w:pPr>
    </w:p>
    <w:p>
      <w:pPr>
        <w:jc w:val="both"/>
        <w:ind w:firstLine="5"/>
        <w:spacing w:after="0" w:line="261" w:lineRule="auto"/>
        <w:tabs>
          <w:tab w:leader="none" w:pos="1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Young LLP. The Audit Committee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931"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Audit Committee’s members, but the decision must be reported to the full Audit Committee at its next scheduled meeting.</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Audit Committee has determined that the rendering of services other than audit services by Ernst &amp; Young LLP is compatible with maintaining the principal accountant’s independence.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931"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TRANSACTIONS WITH RELATED PERSONS AND INDEMNIFICATION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following is a summary of transactions since January 1, 2021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that are described in the sections titled “Compensation Discussion and Analysis,” “Executive Compensation” and “Director Compensation,” and other than compensation arrangements with respect to our executive officers who are not named executive officers. In this regard, the compensation arrangements for 2021 and 2022 for our executive officers who are not named executive officers were in each case approved by our Compensation Committee (or in the case of our Executive Chairman, the Board).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Related-Person Transactions &amp; SEC Compliance Policy</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connection with our initial public offering, we adopted a written Related Person Transactions &amp; SEC Compliance Policy that sets forth our policies and procedures regarding the identification, review, consideration and approval or ratification of “related-person transactions.” For purposes of our policy only, a “related-person transaction” is a transaction, arrangement or relationship (or any series of similar transactions, arrangements or relationships) in which we and any “related person” are, were or will be participants involving an amount that exceeds $120,000. Transactions involving compensation for services provided to us as an employee, director, consultant or similar capacity by a related person are not covered by this policy. A related person is any executive officer, director or holder of 5% or more of our capital stock, including any of their immediate family members, and any entity owned or controlled by such persons.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of Directors) for consideration and approval or ratification. The presentation must include a description of, among other things, the material facts, the interests, direct and indirect, of the related persons, the benefits to us of the transaction and whether any alternative transactions were available. To identify related-person transactions in advance, we rely on information supplied by our executive officers, directors and certain significant stockholders. In considering related-person transactions, the Audit Committee takes into account the relevant available facts and circumstances including, but not limited to (a) the risks, costs and benefits to us,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 in light of known circumstances, whether the transaction is in, or is not inconsistent with, the best interests of us and our stockholders, as the Audit Committee determines in the good faith exercise of its discretion.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Transactions With or Involving Related Persons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Merck Collaboration</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2015, we entered into a research collaboration, product development and license agreement with Merck Sharp &amp; Dohme Corp., or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financially supported by Merck, but scientifically directed by us with input from Merck. The original research phase of the collaboration was for five years and was extended for an additional two years by Merck through March 2022. As part of that extension, Merck agreed to continue to fund up to $75.0 million of our R&amp;D efforts each year consistent with the initial five-year research term and, in lieu of a $20.0 million extension fee payable to us, Merck agreed to make additional payments totaling up to $20.0 million in support of our R&amp;D activities during 2021 through the first quarter of 2022.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931" w:right="31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14"/>
          <w:szCs w:val="14"/>
          <w:color w:val="auto"/>
        </w:rPr>
        <w:t>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Collaboration Agreement. Under the Amended Collaboration Agreement, the collaboration is focused primarily on the identification, R&amp;D of collaboration compounds directed to targets of interest to Merck in the fields of ophthalmology and cardiovascular or metabolic disease, including heart failure. The research phase will now continue generally through March 31, 2024, with possible extensions for each of the various programs to allow us or Merck to complete ongoing development. In addition, we have certain obligations to conduct R&amp;D related to collaboration compounds that will not be reimbursed by Merck.</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the year ended December 31, 2021, we recognized collaboration and license revenue of $77.9 million under our collaboration with Merck. See “Business - Our Collaboration with Merck - Description of Amended Collaboration Agreement” in Part I, Item 1, “Management’s Discussion and Analysis of Financial Condition and Results of Operations - Overview” in Part II, Item 7 and “Research Collaboration and License Agreements,” in Note 5 to the consolidated financial statements in Part II, Item 8 in our Annual Report on Form 10-K for the fiscal year ended December 31, 2021 for additional information on our collaboration with Merck.</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Dr. Perlmutter, who is a Class II director, served as Executive Vice President of Merck &amp; Co., Inc. and President of MRL from April 2013 until his retirement from such positions effective December 31, 2020. From January 2021 through May 2021, Dr. Perlmutter acted as chairman of MRL and as a member of the Executive Committee of Merck &amp; Co., Inc., in each case in a non-executive, advisory position. Each of Merck Sharp &amp; Dohme Corp. and MRL is a subsidiary of Merck &amp; Co., Inc.</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Merck Clinical Trial Collaboration and Supply Agreement</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On December 2, 2021, we entered into a clinical trial collaboration and supply agreement with MSD International GmbH and MSD International Business GmbH, which are referred together as MSD and are affiliates of Merck, pursuant to which, among other things, MSD agreed to supply KEYTRUDA® (pembrolizumab), at no cost to us, for our Phase 1/2 clinical trial evaluating NGM707 as a monotherapy and in combination with KEYTRUDA for the treatment of patients with advanced solid tumors, subject to, among other things, certain clinical trial data joint ownership rights of the parties under the agreement.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entered into separate indemnification agreements with our directors and executive officers in addition to the indemnification provided for in our bylaws. These indemnification agreements provide, among other things, that we will indemnify our directors and executive officers for certain expenses, including damages, judgments, fines, penalties, settlements and costs and attorneys’ fees and disbursements, incurred by a director or executive officer in any claim, action or proceeding arising in his or her capacity as a director or executive officer of the Company or in connection with service at our request for another corporation or entity. The indemnification agreements also provide for procedures that will apply in the event that a director or executive officer makes a claim for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931"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information regarding the ownership of our common stock as of March 10, 2022 (except as noted) by:</w:t>
      </w:r>
    </w:p>
    <w:p>
      <w:pPr>
        <w:spacing w:after="0" w:line="179" w:lineRule="exact"/>
        <w:rPr>
          <w:sz w:val="20"/>
          <w:szCs w:val="20"/>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each director and nominee for director;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each of the named executive officers;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current executive officers and directors as a group;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those known by us to be beneficial owners of more than five percent of our outstanding common stock.</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table is based upon information supplied by officers and directors, as well as Schedules 13G or 13D filed with the SEC by beneficial owners of more than five percent of our common stock.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78,057,840 shares outstanding on March 10, 2022, adjusted as required by rules promulgated by the SEC.</w:t>
      </w:r>
    </w:p>
    <w:p>
      <w:pPr>
        <w:sectPr>
          <w:pgSz w:w="11900" w:h="16838" w:orient="portrait"/>
          <w:cols w:equalWidth="0" w:num="1">
            <w:col w:w="11280"/>
          </w:cols>
          <w:pgMar w:left="300" w:top="931" w:right="31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 Stockholders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Entities affiliated with The Column Group</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Merck Sharp &amp; Dohme Corp.</w:t>
      </w:r>
      <w:r>
        <w:rPr>
          <w:rFonts w:ascii="Arial" w:cs="Arial" w:eastAsia="Arial" w:hAnsi="Arial"/>
          <w:sz w:val="18"/>
          <w:szCs w:val="18"/>
          <w:color w:val="auto"/>
          <w:vertAlign w:val="superscript"/>
        </w:rPr>
        <w:t>(2)</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Jin-Long Chen, Ph.D.</w:t>
      </w:r>
      <w:r>
        <w:rPr>
          <w:rFonts w:ascii="Arial" w:cs="Arial" w:eastAsia="Arial" w:hAnsi="Arial"/>
          <w:sz w:val="18"/>
          <w:szCs w:val="18"/>
          <w:color w:val="auto"/>
          <w:vertAlign w:val="superscript"/>
        </w:rPr>
        <w:t>(3)</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David V. Goeddel, Ph.D.</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Shelly D. Guyer</w:t>
      </w:r>
      <w:r>
        <w:rPr>
          <w:rFonts w:ascii="Arial" w:cs="Arial" w:eastAsia="Arial" w:hAnsi="Arial"/>
          <w:sz w:val="18"/>
          <w:szCs w:val="18"/>
          <w:color w:val="auto"/>
          <w:vertAlign w:val="superscript"/>
        </w:rPr>
        <w:t>(5)</w:t>
      </w:r>
    </w:p>
    <w:p>
      <w:pPr>
        <w:ind w:left="20"/>
        <w:spacing w:after="0" w:line="221" w:lineRule="auto"/>
        <w:rPr>
          <w:sz w:val="20"/>
          <w:szCs w:val="20"/>
          <w:color w:val="auto"/>
        </w:rPr>
      </w:pPr>
      <w:r>
        <w:rPr>
          <w:rFonts w:ascii="Arial" w:cs="Arial" w:eastAsia="Arial" w:hAnsi="Arial"/>
          <w:sz w:val="14"/>
          <w:szCs w:val="14"/>
          <w:color w:val="auto"/>
        </w:rPr>
        <w:t>Carole Ho, M.D.</w:t>
      </w:r>
      <w:r>
        <w:rPr>
          <w:rFonts w:ascii="Arial" w:cs="Arial" w:eastAsia="Arial" w:hAnsi="Arial"/>
          <w:sz w:val="18"/>
          <w:szCs w:val="18"/>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Suzanne Sawochka Hooper</w:t>
      </w:r>
      <w:r>
        <w:rPr>
          <w:rFonts w:ascii="Arial" w:cs="Arial" w:eastAsia="Arial" w:hAnsi="Arial"/>
          <w:sz w:val="18"/>
          <w:szCs w:val="18"/>
          <w:color w:val="auto"/>
          <w:vertAlign w:val="superscript"/>
        </w:rPr>
        <w:t>(7)</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 Leschly</w:t>
      </w:r>
      <w:r>
        <w:rPr>
          <w:rFonts w:ascii="Arial" w:cs="Arial" w:eastAsia="Arial" w:hAnsi="Arial"/>
          <w:sz w:val="18"/>
          <w:szCs w:val="18"/>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Hsaio D. Lieu, M.D.</w:t>
      </w:r>
      <w:r>
        <w:rPr>
          <w:rFonts w:ascii="Arial" w:cs="Arial" w:eastAsia="Arial" w:hAnsi="Arial"/>
          <w:sz w:val="18"/>
          <w:szCs w:val="18"/>
          <w:color w:val="auto"/>
          <w:vertAlign w:val="superscript"/>
        </w:rPr>
        <w:t>(9)</w:t>
      </w:r>
    </w:p>
    <w:p>
      <w:pPr>
        <w:ind w:left="20"/>
        <w:spacing w:after="0" w:line="230" w:lineRule="auto"/>
        <w:rPr>
          <w:sz w:val="20"/>
          <w:szCs w:val="20"/>
          <w:color w:val="auto"/>
        </w:rPr>
      </w:pPr>
      <w:r>
        <w:rPr>
          <w:rFonts w:ascii="Arial" w:cs="Arial" w:eastAsia="Arial" w:hAnsi="Arial"/>
          <w:sz w:val="14"/>
          <w:szCs w:val="14"/>
          <w:color w:val="auto"/>
        </w:rPr>
        <w:t>Siobhan Nolan Mangini</w:t>
      </w:r>
      <w:r>
        <w:rPr>
          <w:rFonts w:ascii="Arial" w:cs="Arial" w:eastAsia="Arial" w:hAnsi="Arial"/>
          <w:sz w:val="18"/>
          <w:szCs w:val="18"/>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Roger M. Perlmutter, M.D., Ph.D.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Valerie Pierce</w:t>
      </w:r>
      <w:r>
        <w:rPr>
          <w:rFonts w:ascii="Arial" w:cs="Arial" w:eastAsia="Arial" w:hAnsi="Arial"/>
          <w:sz w:val="18"/>
          <w:szCs w:val="18"/>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6153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William J. Rieflin</w:t>
      </w:r>
      <w:r>
        <w:rPr>
          <w:rFonts w:ascii="Arial" w:cs="Arial" w:eastAsia="Arial" w:hAnsi="Arial"/>
          <w:sz w:val="18"/>
          <w:szCs w:val="18"/>
          <w:color w:val="auto"/>
          <w:vertAlign w:val="superscript"/>
        </w:rPr>
        <w:t>(12)</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David J. Woodhouse, Ph.D.</w:t>
      </w:r>
      <w:r>
        <w:rPr>
          <w:rFonts w:ascii="Arial" w:cs="Arial" w:eastAsia="Arial" w:hAnsi="Arial"/>
          <w:sz w:val="18"/>
          <w:szCs w:val="18"/>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All executive officers and directors as a group (12 persons)</w:t>
      </w:r>
      <w:r>
        <w:rPr>
          <w:rFonts w:ascii="Arial" w:cs="Arial" w:eastAsia="Arial" w:hAnsi="Arial"/>
          <w:sz w:val="17"/>
          <w:szCs w:val="17"/>
          <w:color w:val="auto"/>
          <w:vertAlign w:val="superscript"/>
        </w:rPr>
        <w:t>(14)</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Beneficial Ownership</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520" w:type="dxa"/>
            <w:vAlign w:val="bottom"/>
            <w:tcBorders>
              <w:top w:val="single" w:sz="8" w:color="auto"/>
            </w:tcBorders>
            <w:gridSpan w:val="2"/>
          </w:tcPr>
          <w:p>
            <w:pPr>
              <w:jc w:val="center"/>
              <w:ind w:right="100"/>
              <w:spacing w:after="0" w:line="118" w:lineRule="exact"/>
              <w:rPr>
                <w:sz w:val="20"/>
                <w:szCs w:val="20"/>
                <w:color w:val="auto"/>
              </w:rPr>
            </w:pPr>
            <w:r>
              <w:rPr>
                <w:rFonts w:ascii="Arial" w:cs="Arial" w:eastAsia="Arial" w:hAnsi="Arial"/>
                <w:sz w:val="13"/>
                <w:szCs w:val="13"/>
                <w:b w:val="1"/>
                <w:bCs w:val="1"/>
                <w:color w:val="auto"/>
                <w:w w:val="95"/>
              </w:rPr>
              <w:t>Number of</w:t>
            </w:r>
          </w:p>
        </w:tc>
        <w:tc>
          <w:tcPr>
            <w:tcW w:w="14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7"/>
              </w:rPr>
              <w:t>Percent of</w:t>
            </w:r>
          </w:p>
        </w:tc>
      </w:tr>
      <w:tr>
        <w:trPr>
          <w:trHeight w:val="170"/>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r>
    </w:tbl>
    <w:p>
      <w:pPr>
        <w:spacing w:after="0" w:line="176" w:lineRule="exact"/>
        <w:rPr>
          <w:sz w:val="20"/>
          <w:szCs w:val="20"/>
          <w:color w:val="auto"/>
        </w:rPr>
      </w:pPr>
    </w:p>
    <w:p>
      <w:pPr>
        <w:ind w:left="700"/>
        <w:spacing w:after="0"/>
        <w:tabs>
          <w:tab w:leader="none" w:pos="2000" w:val="left"/>
        </w:tabs>
        <w:rPr>
          <w:sz w:val="20"/>
          <w:szCs w:val="20"/>
          <w:color w:val="auto"/>
        </w:rPr>
      </w:pPr>
      <w:r>
        <w:rPr>
          <w:rFonts w:ascii="Arial" w:cs="Arial" w:eastAsia="Arial" w:hAnsi="Arial"/>
          <w:sz w:val="14"/>
          <w:szCs w:val="14"/>
          <w:color w:val="auto"/>
        </w:rPr>
        <w:t>18,843,633</w:t>
      </w:r>
      <w:r>
        <w:rPr>
          <w:sz w:val="20"/>
          <w:szCs w:val="20"/>
          <w:color w:val="auto"/>
        </w:rPr>
        <w:tab/>
      </w:r>
      <w:r>
        <w:rPr>
          <w:rFonts w:ascii="Arial" w:cs="Arial" w:eastAsia="Arial" w:hAnsi="Arial"/>
          <w:sz w:val="14"/>
          <w:szCs w:val="14"/>
          <w:color w:val="auto"/>
        </w:rPr>
        <w:t>24.1%</w:t>
      </w:r>
    </w:p>
    <w:p>
      <w:pPr>
        <w:spacing w:after="0" w:line="25" w:lineRule="exact"/>
        <w:rPr>
          <w:sz w:val="20"/>
          <w:szCs w:val="20"/>
          <w:color w:val="auto"/>
        </w:rPr>
      </w:pPr>
    </w:p>
    <w:p>
      <w:pPr>
        <w:ind w:left="700"/>
        <w:spacing w:after="0"/>
        <w:tabs>
          <w:tab w:leader="none" w:pos="2000" w:val="left"/>
        </w:tabs>
        <w:rPr>
          <w:sz w:val="20"/>
          <w:szCs w:val="20"/>
          <w:color w:val="auto"/>
        </w:rPr>
      </w:pPr>
      <w:r>
        <w:rPr>
          <w:rFonts w:ascii="Arial" w:cs="Arial" w:eastAsia="Arial" w:hAnsi="Arial"/>
          <w:sz w:val="14"/>
          <w:szCs w:val="14"/>
          <w:color w:val="auto"/>
        </w:rPr>
        <w:t>12,955,016</w:t>
      </w:r>
      <w:r>
        <w:rPr>
          <w:sz w:val="20"/>
          <w:szCs w:val="20"/>
          <w:color w:val="auto"/>
        </w:rPr>
        <w:tab/>
      </w:r>
      <w:r>
        <w:rPr>
          <w:rFonts w:ascii="Arial" w:cs="Arial" w:eastAsia="Arial" w:hAnsi="Arial"/>
          <w:sz w:val="14"/>
          <w:szCs w:val="14"/>
          <w:color w:val="auto"/>
        </w:rPr>
        <w:t>16.6%</w:t>
      </w:r>
    </w:p>
    <w:p>
      <w:pPr>
        <w:spacing w:after="0" w:line="226" w:lineRule="exact"/>
        <w:rPr>
          <w:sz w:val="20"/>
          <w:szCs w:val="20"/>
          <w:color w:val="auto"/>
        </w:rPr>
      </w:pPr>
    </w:p>
    <w:p>
      <w:pPr>
        <w:ind w:left="780"/>
        <w:spacing w:after="0"/>
        <w:tabs>
          <w:tab w:leader="none" w:pos="2040" w:val="left"/>
        </w:tabs>
        <w:rPr>
          <w:sz w:val="20"/>
          <w:szCs w:val="20"/>
          <w:color w:val="auto"/>
        </w:rPr>
      </w:pPr>
      <w:r>
        <w:rPr>
          <w:rFonts w:ascii="Arial" w:cs="Arial" w:eastAsia="Arial" w:hAnsi="Arial"/>
          <w:sz w:val="14"/>
          <w:szCs w:val="14"/>
          <w:color w:val="auto"/>
        </w:rPr>
        <w:t>2,652,308</w:t>
      </w:r>
      <w:r>
        <w:rPr>
          <w:sz w:val="20"/>
          <w:szCs w:val="20"/>
          <w:color w:val="auto"/>
        </w:rPr>
        <w:tab/>
      </w:r>
      <w:r>
        <w:rPr>
          <w:rFonts w:ascii="Arial" w:cs="Arial" w:eastAsia="Arial" w:hAnsi="Arial"/>
          <w:sz w:val="14"/>
          <w:szCs w:val="14"/>
          <w:color w:val="auto"/>
        </w:rPr>
        <w:t>3.3%</w:t>
      </w:r>
    </w:p>
    <w:p>
      <w:pPr>
        <w:spacing w:after="0" w:line="51" w:lineRule="exact"/>
        <w:rPr>
          <w:sz w:val="20"/>
          <w:szCs w:val="20"/>
          <w:color w:val="auto"/>
        </w:rPr>
      </w:pPr>
    </w:p>
    <w:p>
      <w:pPr>
        <w:ind w:left="700"/>
        <w:spacing w:after="0"/>
        <w:tabs>
          <w:tab w:leader="none" w:pos="2000" w:val="left"/>
        </w:tabs>
        <w:rPr>
          <w:sz w:val="20"/>
          <w:szCs w:val="20"/>
          <w:color w:val="auto"/>
        </w:rPr>
      </w:pPr>
      <w:r>
        <w:rPr>
          <w:rFonts w:ascii="Arial" w:cs="Arial" w:eastAsia="Arial" w:hAnsi="Arial"/>
          <w:sz w:val="14"/>
          <w:szCs w:val="14"/>
          <w:color w:val="auto"/>
        </w:rPr>
        <w:t>19,089,153</w:t>
      </w:r>
      <w:r>
        <w:rPr>
          <w:sz w:val="20"/>
          <w:szCs w:val="20"/>
          <w:color w:val="auto"/>
        </w:rPr>
        <w:tab/>
      </w:r>
      <w:r>
        <w:rPr>
          <w:rFonts w:ascii="Arial" w:cs="Arial" w:eastAsia="Arial" w:hAnsi="Arial"/>
          <w:sz w:val="14"/>
          <w:szCs w:val="14"/>
          <w:color w:val="auto"/>
        </w:rPr>
        <w:t>24.4%</w:t>
      </w:r>
    </w:p>
    <w:p>
      <w:pPr>
        <w:spacing w:after="0" w:line="51" w:lineRule="exact"/>
        <w:rPr>
          <w:sz w:val="20"/>
          <w:szCs w:val="20"/>
          <w:color w:val="auto"/>
        </w:rPr>
      </w:pPr>
    </w:p>
    <w:p>
      <w:pPr>
        <w:ind w:left="980"/>
        <w:spacing w:after="0"/>
        <w:tabs>
          <w:tab w:leader="none" w:pos="2180" w:val="left"/>
        </w:tabs>
        <w:rPr>
          <w:sz w:val="20"/>
          <w:szCs w:val="20"/>
          <w:color w:val="auto"/>
        </w:rPr>
      </w:pPr>
      <w:r>
        <w:rPr>
          <w:rFonts w:ascii="Arial" w:cs="Arial" w:eastAsia="Arial" w:hAnsi="Arial"/>
          <w:sz w:val="14"/>
          <w:szCs w:val="14"/>
          <w:color w:val="auto"/>
        </w:rPr>
        <w:t>80,717</w:t>
      </w:r>
      <w:r>
        <w:rPr>
          <w:sz w:val="20"/>
          <w:szCs w:val="20"/>
          <w:color w:val="auto"/>
        </w:rPr>
        <w:tab/>
      </w:r>
      <w:r>
        <w:rPr>
          <w:rFonts w:ascii="Arial" w:cs="Arial" w:eastAsia="Arial" w:hAnsi="Arial"/>
          <w:sz w:val="14"/>
          <w:szCs w:val="14"/>
          <w:color w:val="auto"/>
        </w:rPr>
        <w:t>*</w:t>
      </w:r>
    </w:p>
    <w:p>
      <w:pPr>
        <w:spacing w:after="0" w:line="51" w:lineRule="exact"/>
        <w:rPr>
          <w:sz w:val="20"/>
          <w:szCs w:val="20"/>
          <w:color w:val="auto"/>
        </w:rPr>
      </w:pPr>
    </w:p>
    <w:p>
      <w:pPr>
        <w:ind w:left="980"/>
        <w:spacing w:after="0"/>
        <w:tabs>
          <w:tab w:leader="none" w:pos="2180" w:val="left"/>
        </w:tabs>
        <w:rPr>
          <w:sz w:val="20"/>
          <w:szCs w:val="20"/>
          <w:color w:val="auto"/>
        </w:rPr>
      </w:pPr>
      <w:r>
        <w:rPr>
          <w:rFonts w:ascii="Arial" w:cs="Arial" w:eastAsia="Arial" w:hAnsi="Arial"/>
          <w:sz w:val="14"/>
          <w:szCs w:val="14"/>
          <w:color w:val="auto"/>
        </w:rPr>
        <w:t>54,229</w:t>
      </w:r>
      <w:r>
        <w:rPr>
          <w:sz w:val="20"/>
          <w:szCs w:val="20"/>
          <w:color w:val="auto"/>
        </w:rPr>
        <w:tab/>
      </w:r>
      <w:r>
        <w:rPr>
          <w:rFonts w:ascii="Arial" w:cs="Arial" w:eastAsia="Arial" w:hAnsi="Arial"/>
          <w:sz w:val="14"/>
          <w:szCs w:val="14"/>
          <w:color w:val="auto"/>
        </w:rPr>
        <w:t>*</w:t>
      </w:r>
    </w:p>
    <w:p>
      <w:pPr>
        <w:spacing w:after="0" w:line="25" w:lineRule="exact"/>
        <w:rPr>
          <w:sz w:val="20"/>
          <w:szCs w:val="20"/>
          <w:color w:val="auto"/>
        </w:rPr>
      </w:pPr>
    </w:p>
    <w:p>
      <w:pPr>
        <w:ind w:left="900"/>
        <w:spacing w:after="0"/>
        <w:tabs>
          <w:tab w:leader="none" w:pos="2180" w:val="left"/>
        </w:tabs>
        <w:rPr>
          <w:sz w:val="20"/>
          <w:szCs w:val="20"/>
          <w:color w:val="auto"/>
        </w:rPr>
      </w:pPr>
      <w:r>
        <w:rPr>
          <w:rFonts w:ascii="Arial" w:cs="Arial" w:eastAsia="Arial" w:hAnsi="Arial"/>
          <w:sz w:val="14"/>
          <w:szCs w:val="14"/>
          <w:color w:val="auto"/>
        </w:rPr>
        <w:t>125,520</w:t>
      </w:r>
      <w:r>
        <w:rPr>
          <w:sz w:val="20"/>
          <w:szCs w:val="20"/>
          <w:color w:val="auto"/>
        </w:rPr>
        <w:tab/>
      </w:r>
      <w:r>
        <w:rPr>
          <w:rFonts w:ascii="Arial" w:cs="Arial" w:eastAsia="Arial" w:hAnsi="Arial"/>
          <w:sz w:val="14"/>
          <w:szCs w:val="14"/>
          <w:color w:val="auto"/>
        </w:rPr>
        <w:t>*</w:t>
      </w:r>
    </w:p>
    <w:p>
      <w:pPr>
        <w:spacing w:after="0" w:line="46" w:lineRule="exact"/>
        <w:rPr>
          <w:sz w:val="20"/>
          <w:szCs w:val="20"/>
          <w:color w:val="auto"/>
        </w:rPr>
      </w:pPr>
    </w:p>
    <w:p>
      <w:pPr>
        <w:ind w:left="780"/>
        <w:spacing w:after="0"/>
        <w:tabs>
          <w:tab w:leader="none" w:pos="2040" w:val="left"/>
        </w:tabs>
        <w:rPr>
          <w:sz w:val="20"/>
          <w:szCs w:val="20"/>
          <w:color w:val="auto"/>
        </w:rPr>
      </w:pPr>
      <w:r>
        <w:rPr>
          <w:rFonts w:ascii="Arial" w:cs="Arial" w:eastAsia="Arial" w:hAnsi="Arial"/>
          <w:sz w:val="14"/>
          <w:szCs w:val="14"/>
          <w:color w:val="auto"/>
        </w:rPr>
        <w:t>3,822,186</w:t>
      </w:r>
      <w:r>
        <w:rPr>
          <w:sz w:val="20"/>
          <w:szCs w:val="20"/>
          <w:color w:val="auto"/>
        </w:rPr>
        <w:tab/>
      </w:r>
      <w:r>
        <w:rPr>
          <w:rFonts w:ascii="Arial" w:cs="Arial" w:eastAsia="Arial" w:hAnsi="Arial"/>
          <w:sz w:val="14"/>
          <w:szCs w:val="14"/>
          <w:color w:val="auto"/>
        </w:rPr>
        <w:t>4.9%</w:t>
      </w:r>
    </w:p>
    <w:p>
      <w:pPr>
        <w:spacing w:after="0" w:line="51" w:lineRule="exact"/>
        <w:rPr>
          <w:sz w:val="20"/>
          <w:szCs w:val="20"/>
          <w:color w:val="auto"/>
        </w:rPr>
      </w:pPr>
    </w:p>
    <w:p>
      <w:pPr>
        <w:ind w:left="900"/>
        <w:spacing w:after="0"/>
        <w:tabs>
          <w:tab w:leader="none" w:pos="2180" w:val="left"/>
        </w:tabs>
        <w:rPr>
          <w:sz w:val="20"/>
          <w:szCs w:val="20"/>
          <w:color w:val="auto"/>
        </w:rPr>
      </w:pPr>
      <w:r>
        <w:rPr>
          <w:rFonts w:ascii="Arial" w:cs="Arial" w:eastAsia="Arial" w:hAnsi="Arial"/>
          <w:sz w:val="14"/>
          <w:szCs w:val="14"/>
          <w:color w:val="auto"/>
        </w:rPr>
        <w:t>249,685</w:t>
      </w:r>
      <w:r>
        <w:rPr>
          <w:sz w:val="20"/>
          <w:szCs w:val="20"/>
          <w:color w:val="auto"/>
        </w:rPr>
        <w:tab/>
      </w:r>
      <w:r>
        <w:rPr>
          <w:rFonts w:ascii="Arial" w:cs="Arial" w:eastAsia="Arial" w:hAnsi="Arial"/>
          <w:sz w:val="14"/>
          <w:szCs w:val="14"/>
          <w:color w:val="auto"/>
        </w:rPr>
        <w:t>*</w:t>
      </w:r>
    </w:p>
    <w:p>
      <w:pPr>
        <w:spacing w:after="0" w:line="51" w:lineRule="exact"/>
        <w:rPr>
          <w:sz w:val="20"/>
          <w:szCs w:val="20"/>
          <w:color w:val="auto"/>
        </w:rPr>
      </w:pPr>
    </w:p>
    <w:p>
      <w:pPr>
        <w:ind w:left="900"/>
        <w:spacing w:after="0"/>
        <w:tabs>
          <w:tab w:leader="none" w:pos="2180" w:val="left"/>
        </w:tabs>
        <w:rPr>
          <w:sz w:val="20"/>
          <w:szCs w:val="20"/>
          <w:color w:val="auto"/>
        </w:rPr>
      </w:pPr>
      <w:r>
        <w:rPr>
          <w:rFonts w:ascii="Arial" w:cs="Arial" w:eastAsia="Arial" w:hAnsi="Arial"/>
          <w:sz w:val="14"/>
          <w:szCs w:val="14"/>
          <w:color w:val="auto"/>
        </w:rPr>
        <w:t>316,666</w:t>
      </w:r>
      <w:r>
        <w:rPr>
          <w:sz w:val="20"/>
          <w:szCs w:val="20"/>
          <w:color w:val="auto"/>
        </w:rPr>
        <w:tab/>
      </w:r>
      <w:r>
        <w:rPr>
          <w:rFonts w:ascii="Arial" w:cs="Arial" w:eastAsia="Arial" w:hAnsi="Arial"/>
          <w:sz w:val="14"/>
          <w:szCs w:val="14"/>
          <w:color w:val="auto"/>
        </w:rPr>
        <w:t>*</w:t>
      </w:r>
    </w:p>
    <w:p>
      <w:pPr>
        <w:spacing w:after="0" w:line="2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238,748*</w:t>
      </w:r>
    </w:p>
    <w:p>
      <w:pPr>
        <w:spacing w:after="0" w:line="51" w:lineRule="exact"/>
        <w:rPr>
          <w:sz w:val="20"/>
          <w:szCs w:val="20"/>
          <w:color w:val="auto"/>
        </w:rPr>
      </w:pPr>
    </w:p>
    <w:p>
      <w:pPr>
        <w:ind w:left="780"/>
        <w:spacing w:after="0"/>
        <w:tabs>
          <w:tab w:leader="none" w:pos="2040" w:val="left"/>
        </w:tabs>
        <w:rPr>
          <w:sz w:val="20"/>
          <w:szCs w:val="20"/>
          <w:color w:val="auto"/>
        </w:rPr>
      </w:pPr>
      <w:r>
        <w:rPr>
          <w:rFonts w:ascii="Arial" w:cs="Arial" w:eastAsia="Arial" w:hAnsi="Arial"/>
          <w:sz w:val="14"/>
          <w:szCs w:val="14"/>
          <w:color w:val="auto"/>
        </w:rPr>
        <w:t>3,151,006</w:t>
      </w:r>
      <w:r>
        <w:rPr>
          <w:sz w:val="20"/>
          <w:szCs w:val="20"/>
          <w:color w:val="auto"/>
        </w:rPr>
        <w:tab/>
      </w:r>
      <w:r>
        <w:rPr>
          <w:rFonts w:ascii="Arial" w:cs="Arial" w:eastAsia="Arial" w:hAnsi="Arial"/>
          <w:sz w:val="14"/>
          <w:szCs w:val="14"/>
          <w:color w:val="auto"/>
        </w:rPr>
        <w:t>4.0%</w:t>
      </w:r>
    </w:p>
    <w:p>
      <w:pPr>
        <w:spacing w:after="0" w:line="51" w:lineRule="exact"/>
        <w:rPr>
          <w:sz w:val="20"/>
          <w:szCs w:val="20"/>
          <w:color w:val="auto"/>
        </w:rPr>
      </w:pPr>
    </w:p>
    <w:p>
      <w:pPr>
        <w:ind w:left="780"/>
        <w:spacing w:after="0"/>
        <w:tabs>
          <w:tab w:leader="none" w:pos="2040" w:val="left"/>
        </w:tabs>
        <w:rPr>
          <w:sz w:val="20"/>
          <w:szCs w:val="20"/>
          <w:color w:val="auto"/>
        </w:rPr>
      </w:pPr>
      <w:r>
        <w:rPr>
          <w:rFonts w:ascii="Arial" w:cs="Arial" w:eastAsia="Arial" w:hAnsi="Arial"/>
          <w:sz w:val="14"/>
          <w:szCs w:val="14"/>
          <w:color w:val="auto"/>
        </w:rPr>
        <w:t>1,747,500</w:t>
      </w:r>
      <w:r>
        <w:rPr>
          <w:sz w:val="20"/>
          <w:szCs w:val="20"/>
          <w:color w:val="auto"/>
        </w:rPr>
        <w:tab/>
      </w:r>
      <w:r>
        <w:rPr>
          <w:rFonts w:ascii="Arial" w:cs="Arial" w:eastAsia="Arial" w:hAnsi="Arial"/>
          <w:sz w:val="14"/>
          <w:szCs w:val="14"/>
          <w:color w:val="auto"/>
        </w:rPr>
        <w:t>2.2%</w:t>
      </w:r>
    </w:p>
    <w:p>
      <w:pPr>
        <w:spacing w:after="0" w:line="51" w:lineRule="exact"/>
        <w:rPr>
          <w:sz w:val="20"/>
          <w:szCs w:val="20"/>
          <w:color w:val="auto"/>
        </w:rPr>
      </w:pPr>
    </w:p>
    <w:p>
      <w:pPr>
        <w:ind w:left="700"/>
        <w:spacing w:after="0"/>
        <w:tabs>
          <w:tab w:leader="none" w:pos="2000" w:val="left"/>
        </w:tabs>
        <w:rPr>
          <w:sz w:val="20"/>
          <w:szCs w:val="20"/>
          <w:color w:val="auto"/>
        </w:rPr>
      </w:pPr>
      <w:r>
        <w:rPr>
          <w:rFonts w:ascii="Arial" w:cs="Arial" w:eastAsia="Arial" w:hAnsi="Arial"/>
          <w:sz w:val="14"/>
          <w:szCs w:val="14"/>
          <w:color w:val="auto"/>
        </w:rPr>
        <w:t>31,527,718</w:t>
      </w:r>
      <w:r>
        <w:rPr>
          <w:sz w:val="20"/>
          <w:szCs w:val="20"/>
          <w:color w:val="auto"/>
        </w:rPr>
        <w:tab/>
      </w:r>
      <w:r>
        <w:rPr>
          <w:rFonts w:ascii="Arial" w:cs="Arial" w:eastAsia="Arial" w:hAnsi="Arial"/>
          <w:sz w:val="14"/>
          <w:szCs w:val="14"/>
          <w:color w:val="auto"/>
        </w:rPr>
        <w:t>38.1%</w:t>
      </w:r>
    </w:p>
    <w:p>
      <w:pPr>
        <w:spacing w:after="0" w:line="473" w:lineRule="exact"/>
        <w:rPr>
          <w:sz w:val="20"/>
          <w:szCs w:val="20"/>
          <w:color w:val="auto"/>
        </w:rPr>
      </w:pPr>
    </w:p>
    <w:p>
      <w:pPr>
        <w:sectPr>
          <w:pgSz w:w="11900" w:h="16838" w:orient="portrait"/>
          <w:cols w:equalWidth="0" w:num="2">
            <w:col w:w="7620" w:space="720"/>
            <w:col w:w="2940"/>
          </w:cols>
          <w:pgMar w:left="300" w:top="931" w:right="319" w:bottom="1440" w:gutter="0" w:footer="0" w:header="0"/>
          <w:type w:val="continuous"/>
        </w:sectPr>
      </w:pPr>
    </w:p>
    <w:p>
      <w:pPr>
        <w:ind w:left="260" w:hanging="255"/>
        <w:spacing w:after="0"/>
        <w:tabs>
          <w:tab w:leader="none" w:pos="260" w:val="left"/>
        </w:tabs>
        <w:numPr>
          <w:ilvl w:val="0"/>
          <w:numId w:val="43"/>
        </w:numPr>
        <w:rPr>
          <w:rFonts w:ascii="Arial" w:cs="Arial" w:eastAsia="Arial" w:hAnsi="Arial"/>
          <w:sz w:val="11"/>
          <w:szCs w:val="11"/>
          <w:color w:val="auto"/>
        </w:rPr>
      </w:pPr>
      <w:r>
        <w:rPr>
          <w:rFonts w:ascii="Arial" w:cs="Arial" w:eastAsia="Arial" w:hAnsi="Arial"/>
          <w:sz w:val="11"/>
          <w:szCs w:val="11"/>
          <w:color w:val="auto"/>
        </w:rPr>
        <w:t>Represents beneficial ownership of less than 1%.</w:t>
      </w:r>
    </w:p>
    <w:p>
      <w:pPr>
        <w:spacing w:after="0" w:line="86" w:lineRule="exact"/>
        <w:rPr>
          <w:sz w:val="20"/>
          <w:szCs w:val="20"/>
          <w:color w:val="auto"/>
        </w:rPr>
      </w:pPr>
    </w:p>
    <w:p>
      <w:pPr>
        <w:jc w:val="both"/>
        <w:ind w:left="520" w:hanging="515"/>
        <w:spacing w:after="0" w:line="247" w:lineRule="auto"/>
        <w:tabs>
          <w:tab w:leader="none" w:pos="51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indicated ownership is based solely on a Schedule 13D/A filed with the SEC by the reporting person on February 3, 2022. The Schedule 13D/A provides information as of January 24, 2022. Consists of (i) 11,103,333 shares held of record by The Column Group, LP, (ii) 100,000 shares held of record by The Column Group GP, LP, (iii) 2,265,758 shares held of record by The Column Group II, LP, (iv) 100,000 shares held of record by The Column Group Management, LP, (v) 1,298,908 shares held of record by Ponoi Capital, LP, (vi) 1,298,908 shares held of record by Ponoi Capital II, LP, (vii) 858,035 shares held of record by The Column Group III, LP, (viii) 968,990 shares held of record by The Column Group III-A, LP, (ix) 821,660 shares held of record by The Column Group IV, LP and (x) 28,041 shares held of record by The Column Group IV-A, LP. Mr. Peter Svennilson and Dr. Goeddel are managing partners of The Column Group GP, LP and The Column Group II GP, LP, which are the general partners of The Column Group, LP and The Column Group II, LP, respectively, and the Column Group Management, LP and share voting and investment power with respect to such shares. Mr. Svennilson, Dr. Goeddel and Dr. Tim Kutzkey are managing partners of Ponoi Management, LLC and Ponoi II Management, LLC, which are the general partners of Ponoi Capital, LP and Ponoi Capital II, LP, respectively, and share voting and investment power with respect to such shares. Mr. Svennilson, Dr. Goeddel and Dr. Kutzkey are managing partners of The Column Group III GP, LP, which is the general partner of The Column Group III, LP and The Column Group III-A, LP, and share</w:t>
      </w:r>
    </w:p>
    <w:p>
      <w:pPr>
        <w:spacing w:after="0" w:line="30" w:lineRule="exact"/>
        <w:rPr>
          <w:rFonts w:ascii="Arial" w:cs="Arial" w:eastAsia="Arial" w:hAnsi="Arial"/>
          <w:sz w:val="11"/>
          <w:szCs w:val="11"/>
          <w:color w:val="auto"/>
        </w:rPr>
      </w:pPr>
    </w:p>
    <w:p>
      <w:pPr>
        <w:ind w:left="520"/>
        <w:spacing w:after="0" w:line="323" w:lineRule="auto"/>
        <w:rPr>
          <w:rFonts w:ascii="Arial" w:cs="Arial" w:eastAsia="Arial" w:hAnsi="Arial"/>
          <w:sz w:val="11"/>
          <w:szCs w:val="11"/>
          <w:color w:val="auto"/>
        </w:rPr>
      </w:pPr>
      <w:r>
        <w:rPr>
          <w:rFonts w:ascii="Arial" w:cs="Arial" w:eastAsia="Arial" w:hAnsi="Arial"/>
          <w:sz w:val="11"/>
          <w:szCs w:val="11"/>
          <w:color w:val="auto"/>
        </w:rPr>
        <w:t>voting and investment power with respect to such shares. Mr. Svennilson, Dr. Goeddel and Dr. Kutzkey are managing partners of The Column Group IV GP, LP, which is the general partner of The Column Group IV, LP and The Column Group IV-A, LP, and share voting and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931" w:right="319" w:bottom="1440" w:gutter="0" w:footer="0" w:header="0"/>
          <w:type w:val="continuous"/>
        </w:sectPr>
      </w:pPr>
    </w:p>
    <w:bookmarkStart w:id="55" w:name="page56"/>
    <w:bookmarkEnd w:id="55"/>
    <w:p>
      <w:pPr>
        <w:ind w:left="520"/>
        <w:spacing w:after="0"/>
        <w:rPr>
          <w:sz w:val="20"/>
          <w:szCs w:val="20"/>
          <w:color w:val="auto"/>
        </w:rPr>
      </w:pPr>
      <w:r>
        <w:rPr>
          <w:rFonts w:ascii="Arial" w:cs="Arial" w:eastAsia="Arial" w:hAnsi="Arial"/>
          <w:sz w:val="11"/>
          <w:szCs w:val="11"/>
          <w:color w:val="auto"/>
        </w:rPr>
        <w:t>investment power with respect to such shares. The principal address of The Column Group, LP is 1 Letterman Drive, Building D, Suite DM-900, San Francisco, California 94129.</w:t>
      </w:r>
    </w:p>
    <w:p>
      <w:pPr>
        <w:spacing w:after="0" w:line="86" w:lineRule="exact"/>
        <w:rPr>
          <w:sz w:val="20"/>
          <w:szCs w:val="20"/>
          <w:color w:val="auto"/>
        </w:rPr>
      </w:pPr>
    </w:p>
    <w:p>
      <w:pPr>
        <w:ind w:left="520" w:hanging="515"/>
        <w:spacing w:after="0" w:line="283" w:lineRule="auto"/>
        <w:tabs>
          <w:tab w:leader="none" w:pos="510"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The indicated ownership is based solely on a Schedule 13G filed with the SEC by the reporting person on April 9, 2019. The Schedule 13G provides information as of April 8, 2019. The principal address of Merck Sharp &amp; Dohme Corp. is One Merck Drive, Whitehouse Station, New Jersey 08889.</w:t>
      </w:r>
    </w:p>
    <w:p>
      <w:pPr>
        <w:spacing w:after="0" w:line="41" w:lineRule="exact"/>
        <w:rPr>
          <w:rFonts w:ascii="Arial" w:cs="Arial" w:eastAsia="Arial" w:hAnsi="Arial"/>
          <w:sz w:val="11"/>
          <w:szCs w:val="11"/>
          <w:color w:val="auto"/>
        </w:rPr>
      </w:pPr>
    </w:p>
    <w:p>
      <w:pPr>
        <w:ind w:left="520" w:hanging="515"/>
        <w:spacing w:after="0" w:line="283" w:lineRule="auto"/>
        <w:tabs>
          <w:tab w:leader="none" w:pos="51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(i) 908,893 shares, (ii) 225,000 shares held in trusts for which Dr. Chen shares voting and investment control and (iii) 1,518,415 shares issuable pursuant to options exercisable within 60 days of March 10, 2022, of which 1,401,747 shares have vested as of March 10, 2022.</w:t>
      </w:r>
    </w:p>
    <w:p>
      <w:pPr>
        <w:spacing w:after="0" w:line="41" w:lineRule="exact"/>
        <w:rPr>
          <w:rFonts w:ascii="Arial" w:cs="Arial" w:eastAsia="Arial" w:hAnsi="Arial"/>
          <w:sz w:val="11"/>
          <w:szCs w:val="11"/>
          <w:color w:val="auto"/>
        </w:rPr>
      </w:pPr>
    </w:p>
    <w:p>
      <w:pPr>
        <w:ind w:left="520" w:hanging="515"/>
        <w:spacing w:after="0" w:line="283" w:lineRule="auto"/>
        <w:tabs>
          <w:tab w:leader="none" w:pos="51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(i) 80,000 shares held in the David V. Goeddel and Alena Z. Goeddel 2004 Trust, (ii) 110,000 shares held in the Alena Z. Goeddel Irrevocable Trust, (iii) 55,520 shares issuable pursuant to options exercisable within 60 days of March 10, 2022, of which 55,520 shares have vested as of March 10, 2022 and (iv) the shares described in footnote (1) above.</w:t>
      </w:r>
    </w:p>
    <w:p>
      <w:pPr>
        <w:spacing w:after="0" w:line="41" w:lineRule="exact"/>
        <w:rPr>
          <w:rFonts w:ascii="Arial" w:cs="Arial" w:eastAsia="Arial" w:hAnsi="Arial"/>
          <w:sz w:val="11"/>
          <w:szCs w:val="11"/>
          <w:color w:val="auto"/>
        </w:rPr>
      </w:pPr>
    </w:p>
    <w:p>
      <w:pPr>
        <w:ind w:left="500" w:hanging="495"/>
        <w:spacing w:after="0"/>
        <w:tabs>
          <w:tab w:leader="none" w:pos="5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80,717 shares issuable pursuant to options exercisable within 60 days of March 10, 2022, of which 68,417 shares have vested as of March 10, 2022.</w:t>
      </w:r>
    </w:p>
    <w:p>
      <w:pPr>
        <w:spacing w:after="0" w:line="85" w:lineRule="exact"/>
        <w:rPr>
          <w:rFonts w:ascii="Arial" w:cs="Arial" w:eastAsia="Arial" w:hAnsi="Arial"/>
          <w:sz w:val="11"/>
          <w:szCs w:val="11"/>
          <w:color w:val="auto"/>
        </w:rPr>
      </w:pPr>
    </w:p>
    <w:p>
      <w:pPr>
        <w:ind w:left="500" w:hanging="495"/>
        <w:spacing w:after="0"/>
        <w:tabs>
          <w:tab w:leader="none" w:pos="5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54,229 shares issuable pursuant to options exercisable within 60 days of March 10, 2022, of which 37,763 shares have vested as of March 10, 2022.</w:t>
      </w:r>
    </w:p>
    <w:p>
      <w:pPr>
        <w:spacing w:after="0" w:line="85" w:lineRule="exact"/>
        <w:rPr>
          <w:rFonts w:ascii="Arial" w:cs="Arial" w:eastAsia="Arial" w:hAnsi="Arial"/>
          <w:sz w:val="11"/>
          <w:szCs w:val="11"/>
          <w:color w:val="auto"/>
        </w:rPr>
      </w:pPr>
    </w:p>
    <w:p>
      <w:pPr>
        <w:ind w:left="500" w:hanging="495"/>
        <w:spacing w:after="0"/>
        <w:tabs>
          <w:tab w:leader="none" w:pos="5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(i) 7,000 shares and (ii) 118,520 shares issuable pursuant to options exercisable within 60 days of March 10, 2022, of which 118,520 shares have vested as of March 10, 2022.</w:t>
      </w:r>
    </w:p>
    <w:p>
      <w:pPr>
        <w:spacing w:after="0" w:line="85" w:lineRule="exact"/>
        <w:rPr>
          <w:rFonts w:ascii="Arial" w:cs="Arial" w:eastAsia="Arial" w:hAnsi="Arial"/>
          <w:sz w:val="11"/>
          <w:szCs w:val="11"/>
          <w:color w:val="auto"/>
        </w:rPr>
      </w:pPr>
    </w:p>
    <w:p>
      <w:pPr>
        <w:jc w:val="both"/>
        <w:ind w:left="520" w:hanging="515"/>
        <w:spacing w:after="0" w:line="262" w:lineRule="auto"/>
        <w:tabs>
          <w:tab w:leader="none" w:pos="51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(i) 3,462,648 shares held of record by Rho Ventures V, L.P., (ii) 304,018 shares held of record by Rho Ventures V Affiliates L.L.C. and (iii) 55,520 shares issuable pursuant to options exercisable within 60 days of March 10, 2022, of which 55,520 shares have vested as of March 10, 2022. Mr. Leschly is a managing member of Rho Capital Partners LLC, which is the managing member of the general partner of Rho Ventures V, L.P. and of the managing member of Rho Ventures V Affiliates L.L.C.</w:t>
      </w:r>
    </w:p>
    <w:p>
      <w:pPr>
        <w:spacing w:after="0" w:line="52" w:lineRule="exact"/>
        <w:rPr>
          <w:rFonts w:ascii="Arial" w:cs="Arial" w:eastAsia="Arial" w:hAnsi="Arial"/>
          <w:sz w:val="11"/>
          <w:szCs w:val="11"/>
          <w:color w:val="auto"/>
        </w:rPr>
      </w:pPr>
    </w:p>
    <w:p>
      <w:pPr>
        <w:ind w:left="500" w:hanging="495"/>
        <w:spacing w:after="0"/>
        <w:tabs>
          <w:tab w:leader="none" w:pos="5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248,333 shares issuable pursuant to options exercisable within 60 days of March 10, 2022, of which 184,790 shares have vested as of March 10, 2022.</w:t>
      </w:r>
    </w:p>
    <w:p>
      <w:pPr>
        <w:spacing w:after="0" w:line="85" w:lineRule="exact"/>
        <w:rPr>
          <w:rFonts w:ascii="Arial" w:cs="Arial" w:eastAsia="Arial" w:hAnsi="Arial"/>
          <w:sz w:val="11"/>
          <w:szCs w:val="11"/>
          <w:color w:val="auto"/>
        </w:rPr>
      </w:pPr>
    </w:p>
    <w:p>
      <w:pPr>
        <w:ind w:left="520" w:hanging="515"/>
        <w:spacing w:after="0"/>
        <w:tabs>
          <w:tab w:leader="none" w:pos="52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316,666 shares issuable pursuant to options exercisable within 60 days of March 10, 2022, of which 141,666 shares have vested as of March 10, 2022.</w:t>
      </w:r>
    </w:p>
    <w:p>
      <w:pPr>
        <w:spacing w:after="0" w:line="85" w:lineRule="exact"/>
        <w:rPr>
          <w:rFonts w:ascii="Arial" w:cs="Arial" w:eastAsia="Arial" w:hAnsi="Arial"/>
          <w:sz w:val="11"/>
          <w:szCs w:val="11"/>
          <w:color w:val="auto"/>
        </w:rPr>
      </w:pPr>
    </w:p>
    <w:p>
      <w:pPr>
        <w:ind w:left="500" w:hanging="495"/>
        <w:spacing w:after="0"/>
        <w:tabs>
          <w:tab w:leader="none" w:pos="5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233,333 shares issuable pursuant to options exercisable within 60 days of March 10, 2022, of which 156,249 shares have vested as of March 10, 2022.</w:t>
      </w:r>
    </w:p>
    <w:p>
      <w:pPr>
        <w:spacing w:after="0" w:line="85" w:lineRule="exact"/>
        <w:rPr>
          <w:rFonts w:ascii="Arial" w:cs="Arial" w:eastAsia="Arial" w:hAnsi="Arial"/>
          <w:sz w:val="11"/>
          <w:szCs w:val="11"/>
          <w:color w:val="auto"/>
        </w:rPr>
      </w:pPr>
    </w:p>
    <w:p>
      <w:pPr>
        <w:ind w:left="520" w:hanging="515"/>
        <w:spacing w:after="0" w:line="283" w:lineRule="auto"/>
        <w:tabs>
          <w:tab w:leader="none" w:pos="519"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(i) 2,769,168 shares held in trust for which Mr. Rieflin serves as trustee and shares voting and investment control, (ii) 5,172 shares purchased under the Company’s ESPP and (iii) 376,666 shares issuable pursuant to options exercisable within 60 days of March 10, 2022, of which 332,082 shares have vested as of March 10, 2022.</w:t>
      </w:r>
    </w:p>
    <w:p>
      <w:pPr>
        <w:spacing w:after="0" w:line="41" w:lineRule="exact"/>
        <w:rPr>
          <w:rFonts w:ascii="Arial" w:cs="Arial" w:eastAsia="Arial" w:hAnsi="Arial"/>
          <w:sz w:val="11"/>
          <w:szCs w:val="11"/>
          <w:color w:val="auto"/>
        </w:rPr>
      </w:pPr>
    </w:p>
    <w:p>
      <w:pPr>
        <w:ind w:left="520" w:hanging="515"/>
        <w:spacing w:after="0" w:line="283" w:lineRule="auto"/>
        <w:tabs>
          <w:tab w:leader="none" w:pos="519"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(i) 97,654 shares held in trust for which Dr. Woodhouse serves as trustee and shares voting and investment control and (ii) 1,649,846 shares issuable pursuant to options exercisable within 60 days of March 10, 2022, of which 1,374,844 shares have vested as of March 10, 2022.</w:t>
      </w:r>
    </w:p>
    <w:p>
      <w:pPr>
        <w:spacing w:after="0" w:line="41" w:lineRule="exact"/>
        <w:rPr>
          <w:rFonts w:ascii="Arial" w:cs="Arial" w:eastAsia="Arial" w:hAnsi="Arial"/>
          <w:sz w:val="11"/>
          <w:szCs w:val="11"/>
          <w:color w:val="auto"/>
        </w:rPr>
      </w:pPr>
    </w:p>
    <w:p>
      <w:pPr>
        <w:ind w:left="520" w:hanging="515"/>
        <w:spacing w:after="0" w:line="283" w:lineRule="auto"/>
        <w:tabs>
          <w:tab w:leader="none" w:pos="519"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Consists of (i) 26,819,953 shares held of record or beneficially owned by our executive officers and directors as a group and (ii) 4,707,765 shares issuable pursuant to options exercisable by our executive officers and directors as a group within 60 days of March 10, 2022, of which 3,927,118 shares have vested as of March 10, 2022.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940"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HOUSEHOLDING OF PROXY MATERIALS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have adopted a procedure commonly referred to as “householding.” Under this procedure, we may deliver a single copy of the Notice of Internet Availability and, if you requested printed versions by mail, this Proxy Statement and the Annual Report on Form 10-K for the year ended December 31, 2021 to multiple stockholders who share the same mailing address. This delivery method will not be used if we receive contrary instructions from one or more of the stockholders sharing a mailing address. This procedure reduces the environmental impact of our annual meetings, reduces our printing and mailing costs and potentially means extra convenience for stockholders. Upon written or oral request, we will deliver promptly a separate copy of the Notice of Internet Availability and, if you requested printed versions by mail, this Proxy Statement and the Annual Report on Form 10-K for the year ended December 31, 2021 to any stockholder that elects not to participate in householding.</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To receive, free of charge, a separate copy of the Notice of Internet Availability and, if you requested printed versions by mail, this Proxy Statement or the Annual Report on Form 10-K for the year ended December 31, 2021, or separate copies of any future notice, proxy statement or annual report, you may write or call us at the following mailing address or phone number: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Secretary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NGM Biopharmaceuticals,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333 Oyster Point Boulevard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South San Francisco</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California 94080</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Phone: (650) 392-1768</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If you are receiving more than one copy of the proxy materials at a single mailing address and would like to participate in householding, please contact the bank, broker or other nominee that holds your shares to request information about eliminating duplicate mailings.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931"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STOCKHOLDER PROPOSALS FOR THE 2023 ANNUAL MEETING</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 be considered for inclusion in our proxy materials for our 2023 annual meeting of stockholders, your proposal must be submitted in writing by December 8, 2022 to our Secretary at 333 Oyster Point Boulevard, South San Francisco, California 94080, and you must comply with all applicable requirements of Rule 14a-8 promulgated under the Securities Exchange Act of 1934, as amended, or the Exchange Act. However, if the 2023 annual meeting of stockholders is advanced by more than 30 days prior to or delayed by more than 30 days after May 18, 2023, then the deadline will be a reasonable time prior to the time we begin to print and send our proxy materials.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Pursuant to our bylaws, if you wish to submit a proposal (including a director nomination) at the 2023 annual meeting of stockholders that is not to be included in next year’s proxy materials, you must do so not later than the close of business on February 17, 2023 and no earlier than the close of business on January 18, 2023; provided, however, that if next year’s annual meeting is advanced by more than 30 days prior to or delayed by more than 30 days after May 18, 2023 your proposal must be submitted not earlier than the close of business on the 120th day prior to such annual meeting and not later than the close of business on the 90th day prior to such annual meeting or the 10th day following the day on which public announcement of such meeting is first made. You are advised to review our bylaws, which contain additional requirements about advance notice of stockholder proposals and director nominations. In addition, as to any proposal that a stockholder intends to present at the 2023 annual meeting other than by inclusion in our proxy statement for the 2023 annual meeting of stockholders, the proxy solicited by our Board of Directors for the 2023 annual meeting will confer discretionary voting authority with respect to (i) any proposal for which we have not been provided with timely notice pursuant to the bylaws and (ii) any proposal for which we have been provided with timely notice pursuant to the bylaws, unless the stockholder solicits proxies with respect to the proposal to the extent required by Rule 14a-4(c)(2) promulgated under the Exchange Act.</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to satisfying the foregoing requirements under our bylaws, to comply with the universal proxy rules (once effective), stockholders who intend to solicit proxies in support of director nominees other than the Company’s nominees must provide notice that sets forth the information required by Rule 14a-19 under the Exchange Act no later than March 19, 2023. Please note that the notice requirement under Rule 14a-19 is in addition to the applicable notice requirements under the advance notice provisions of our bylaws as described above.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 MATTERS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 Order of the Board of Directors,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Valerie Pierce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Valerie Pierce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Secretary, Senior Vice President, General Counsel and Chief Compliance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April 6, 2022</w:t>
      </w:r>
    </w:p>
    <w:p>
      <w:pPr>
        <w:spacing w:after="0" w:line="249"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A copy of our Annual Report on Form 10-K for the year ended December 31, 2021 is available without charge upon written request to: Secretary, NGM Biopharmaceuticals, Inc., 333 Oyster Point Boulevard, South San Francisco, California 94080.</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931" w:right="319" w:bottom="1440"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3"/>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amp;"/>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emdash "/>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2022-04-06T15:15:03Z</dcterms:created>
  <dcterms:modified xsi:type="dcterms:W3CDTF">2022-04-06T15:15:03Z</dcterms:modified>
</cp:coreProperties>
</file>