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19"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In connection with the consummation of the Merger (defined below), on April 5, 2024, NGM Biopharmaceuticals,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NGM Bio</w:t>
      </w:r>
      <w:r>
        <w:rPr>
          <w:rFonts w:ascii="Times New Roman" w:cs="Times New Roman" w:eastAsia="Times New Roman" w:hAnsi="Times New Roman"/>
          <w:sz w:val="18"/>
          <w:szCs w:val="18"/>
          <w:color w:val="auto"/>
        </w:rPr>
        <w:t>”) terminated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as of June 5, 2020 (the “</w:t>
      </w:r>
      <w:r>
        <w:rPr>
          <w:rFonts w:ascii="Times New Roman" w:cs="Times New Roman" w:eastAsia="Times New Roman" w:hAnsi="Times New Roman"/>
          <w:sz w:val="18"/>
          <w:szCs w:val="18"/>
          <w:i w:val="1"/>
          <w:iCs w:val="1"/>
          <w:color w:val="auto"/>
        </w:rPr>
        <w:t>Sale Agreement</w:t>
      </w:r>
      <w:r>
        <w:rPr>
          <w:rFonts w:ascii="Times New Roman" w:cs="Times New Roman" w:eastAsia="Times New Roman" w:hAnsi="Times New Roman"/>
          <w:sz w:val="18"/>
          <w:szCs w:val="18"/>
          <w:color w:val="auto"/>
        </w:rPr>
        <w:t>”), as amended by that certain Amendment No. 1 to the Sale Agreement, dated June 7, 2023, by and between the Company and Jefferies LLC. See the Company’s Registration Statement on Form S-3 filed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5, 2020 and the Company’s Form 8-K filed with the SEC on June 8, 2023 for a description of the terms of the Sale Agreement, as amended.</w:t>
      </w:r>
    </w:p>
    <w:p>
      <w:pPr>
        <w:spacing w:after="0" w:line="34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1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previously disclosed by NGM Bio in the Company’s Current Report on Form 8-K filed with the SEC on February 26, 2024 (the “</w:t>
      </w:r>
      <w:r>
        <w:rPr>
          <w:rFonts w:ascii="Times New Roman" w:cs="Times New Roman" w:eastAsia="Times New Roman" w:hAnsi="Times New Roman"/>
          <w:sz w:val="18"/>
          <w:szCs w:val="18"/>
          <w:i w:val="1"/>
          <w:iCs w:val="1"/>
          <w:color w:val="auto"/>
        </w:rPr>
        <w:t>Announcement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 8-K</w:t>
      </w:r>
      <w:r>
        <w:rPr>
          <w:rFonts w:ascii="Times New Roman" w:cs="Times New Roman" w:eastAsia="Times New Roman" w:hAnsi="Times New Roman"/>
          <w:sz w:val="18"/>
          <w:szCs w:val="18"/>
          <w:color w:val="auto"/>
        </w:rPr>
        <w:t>”), the Company entered into an Agreement and Plan of Merger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with Atlas Neon Parent, Inc., a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and Atlas Neon Merger Sub, Inc., a Delaware corporation and a wholly-owned subsidiary of Parent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on February 25, 2024.</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on March 8, 2024, Merger Sub commenced a tender offer to purchase all of the Company’s outstanding shares of common stock, par value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other than the Rollover Shares (as defined below), in exchange for $1.55 per share of Common Stock in cash (the “</w:t>
      </w:r>
      <w:r>
        <w:rPr>
          <w:rFonts w:ascii="Times New Roman" w:cs="Times New Roman" w:eastAsia="Times New Roman" w:hAnsi="Times New Roman"/>
          <w:sz w:val="18"/>
          <w:szCs w:val="18"/>
          <w:i w:val="1"/>
          <w:iCs w:val="1"/>
          <w:color w:val="auto"/>
        </w:rPr>
        <w:t>Offer Price</w:t>
      </w:r>
      <w:r>
        <w:rPr>
          <w:rFonts w:ascii="Times New Roman" w:cs="Times New Roman" w:eastAsia="Times New Roman" w:hAnsi="Times New Roman"/>
          <w:sz w:val="18"/>
          <w:szCs w:val="18"/>
          <w:color w:val="auto"/>
        </w:rPr>
        <w:t>”), subject to and in accordance with the terms and conditions as set forth in the Offer to Purchase, dated March 8, 2024 (as amended and supplemented on March 22, 2024, the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and in the related Letter of Transmittal (which, together with the Offer to Purchase, constituted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Merger Sub entered into a rollover agreement, dated as of the date of the Merger Agreement (the “</w:t>
      </w:r>
      <w:r>
        <w:rPr>
          <w:rFonts w:ascii="Times New Roman" w:cs="Times New Roman" w:eastAsia="Times New Roman" w:hAnsi="Times New Roman"/>
          <w:sz w:val="18"/>
          <w:szCs w:val="18"/>
          <w:i w:val="1"/>
          <w:iCs w:val="1"/>
          <w:color w:val="auto"/>
        </w:rPr>
        <w:t>TCG Rollover Agreement</w:t>
      </w:r>
      <w:r>
        <w:rPr>
          <w:rFonts w:ascii="Times New Roman" w:cs="Times New Roman" w:eastAsia="Times New Roman" w:hAnsi="Times New Roman"/>
          <w:sz w:val="18"/>
          <w:szCs w:val="18"/>
          <w:color w:val="auto"/>
        </w:rPr>
        <w: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w:t>
      </w:r>
      <w:r>
        <w:rPr>
          <w:rFonts w:ascii="Times New Roman" w:cs="Times New Roman" w:eastAsia="Times New Roman" w:hAnsi="Times New Roman"/>
          <w:sz w:val="18"/>
          <w:szCs w:val="18"/>
          <w:i w:val="1"/>
          <w:iCs w:val="1"/>
          <w:color w:val="auto"/>
        </w:rPr>
        <w:t>TCG Rollover Stockholders</w:t>
      </w:r>
      <w:r>
        <w:rPr>
          <w:rFonts w:ascii="Times New Roman" w:cs="Times New Roman" w:eastAsia="Times New Roman" w:hAnsi="Times New Roman"/>
          <w:sz w:val="18"/>
          <w:szCs w:val="18"/>
          <w:color w:val="auto"/>
        </w:rPr>
        <w:t>”), who, together with certain other affiliates, in the aggregate held approximately 26% of NGM Bio’s outstanding shares of Common Stock.</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Parent and Merger Sub are party to a rollover agreement, dated as of the date of the Merger Agreement (as supplemented by the joinder thereto, the “</w:t>
      </w:r>
      <w:r>
        <w:rPr>
          <w:rFonts w:ascii="Times New Roman" w:cs="Times New Roman" w:eastAsia="Times New Roman" w:hAnsi="Times New Roman"/>
          <w:sz w:val="18"/>
          <w:szCs w:val="18"/>
          <w:i w:val="1"/>
          <w:iCs w:val="1"/>
          <w:color w:val="auto"/>
        </w:rPr>
        <w:t>Stockholder Rollover Agreement</w:t>
      </w:r>
      <w:r>
        <w:rPr>
          <w:rFonts w:ascii="Times New Roman" w:cs="Times New Roman" w:eastAsia="Times New Roman" w:hAnsi="Times New Roman"/>
          <w:sz w:val="18"/>
          <w:szCs w:val="18"/>
          <w:color w:val="auto"/>
        </w:rPr>
        <w:t>” and, together with the TCG Rollover Agreement, the “</w:t>
      </w:r>
      <w:r>
        <w:rPr>
          <w:rFonts w:ascii="Times New Roman" w:cs="Times New Roman" w:eastAsia="Times New Roman" w:hAnsi="Times New Roman"/>
          <w:sz w:val="18"/>
          <w:szCs w:val="18"/>
          <w:i w:val="1"/>
          <w:iCs w:val="1"/>
          <w:color w:val="auto"/>
        </w:rPr>
        <w:t>Rollover Agreements</w:t>
      </w:r>
      <w:r>
        <w:rPr>
          <w:rFonts w:ascii="Times New Roman" w:cs="Times New Roman" w:eastAsia="Times New Roman" w:hAnsi="Times New Roman"/>
          <w:sz w:val="18"/>
          <w:szCs w:val="18"/>
          <w:color w:val="auto"/>
        </w:rPr>
        <w:t>”), with certain of NGM Bio’s other stockholders (collectively, the “</w:t>
      </w:r>
      <w:r>
        <w:rPr>
          <w:rFonts w:ascii="Times New Roman" w:cs="Times New Roman" w:eastAsia="Times New Roman" w:hAnsi="Times New Roman"/>
          <w:sz w:val="18"/>
          <w:szCs w:val="18"/>
          <w:i w:val="1"/>
          <w:iCs w:val="1"/>
          <w:color w:val="auto"/>
        </w:rPr>
        <w:t>Rollover Stockholders</w:t>
      </w:r>
      <w:r>
        <w:rPr>
          <w:rFonts w:ascii="Times New Roman" w:cs="Times New Roman" w:eastAsia="Times New Roman" w:hAnsi="Times New Roman"/>
          <w:sz w:val="18"/>
          <w:szCs w:val="18"/>
          <w:color w:val="auto"/>
        </w:rPr>
        <w:t>”), who in the aggregate held approximately 22% of NGM Bio’s outstanding shares of Common Stock (together with the shares of Common Stock contributed by the TCG Rollover Stockholders, the “</w:t>
      </w:r>
      <w:r>
        <w:rPr>
          <w:rFonts w:ascii="Times New Roman" w:cs="Times New Roman" w:eastAsia="Times New Roman" w:hAnsi="Times New Roman"/>
          <w:sz w:val="18"/>
          <w:szCs w:val="18"/>
          <w:i w:val="1"/>
          <w:iCs w:val="1"/>
          <w:color w:val="auto"/>
        </w:rPr>
        <w:t>Rollover Shares</w:t>
      </w:r>
      <w:r>
        <w:rPr>
          <w:rFonts w:ascii="Times New Roman" w:cs="Times New Roman" w:eastAsia="Times New Roman" w:hAnsi="Times New Roman"/>
          <w:sz w:val="18"/>
          <w:szCs w:val="18"/>
          <w:color w:val="auto"/>
        </w:rPr>
        <w:t>”). Mr. Rieflin, the Chairman of NGM Bio’s board of directors, and Dr. Goeddel, a member of NGM Bio’s board of directors, entered into the Stockholder Rollover Agreement on the date of the Merger Agreement, and Dr. Woodhouse, NGM Bio’s Chief Executive Officer and a member of NGM Bio’s board of directors, entered into a joinder to the Stockholder Rollover Agreement on March 6, 2024, following the date of the Merger Agreement.</w:t>
      </w:r>
    </w:p>
    <w:p>
      <w:pPr>
        <w:spacing w:after="0" w:line="18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Offer expired at one minute after 11:59 p.m. Eastern Time on Thursday, April 4, 2024. According to Equiniti Trust Company LLC, the depositary and paying agent for the Offer, 22,323,295 shares of Common Stock were validly tendered in accordance with the terms of the Offer and not validly withdrawn, representing approximately 27% of the aggregate number of then issued and outstanding shares of Common Stock and a majority of the Shares owned by the Unaffiliated Stockholders (as defined in the Merger Agreement). The number of shares of Common Stock tendered satisfied the Minimum Tender Condition (as defined in the Merger Agreement). All other conditions to the Offer having been satisfied or waived, Merger Sub accepted for payment all shares of Common Stock validly tendered (and not validly withdrawn) prior to the expiration of the Offer and expects to promptly pay for such shares. An additional 39,516,567 shares of Common Stock, owned by the TCG Rollover Stockholders and the Rollover Stockholders, were contributed to Parent pursuant to the Rollover Agreements in exchange for shares of Parent.</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April 5, 2024, as a result of its acceptance of, and payment for, the shares of Common Stock tendered in the Offer and the contribution of shares of Common Stock pursuant to the Rollover Agreements, Merger Sub acquired a</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sufficient number of shares of Common Stock to complete the merger of Merger Sub with and into the Company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without a vote of the stockholders of the Company pursuant to Section 251(h) of the General Corporation Law of the State of Delaware. Accordingly, following the consummation of the Offer, Parent and Merger Sub effected the Merger pursuant to Section 251(h), the separate corporate existence of Merger Sub ceased and the Company continued as the surviving corporation in the Merger (the “</w:t>
      </w:r>
      <w:r>
        <w:rPr>
          <w:rFonts w:ascii="Times New Roman" w:cs="Times New Roman" w:eastAsia="Times New Roman" w:hAnsi="Times New Roman"/>
          <w:sz w:val="18"/>
          <w:szCs w:val="18"/>
          <w:i w:val="1"/>
          <w:iCs w:val="1"/>
          <w:color w:val="auto"/>
        </w:rPr>
        <w:t>Surviving Corporation</w:t>
      </w:r>
      <w:r>
        <w:rPr>
          <w:rFonts w:ascii="Times New Roman" w:cs="Times New Roman" w:eastAsia="Times New Roman" w:hAnsi="Times New Roman"/>
          <w:sz w:val="18"/>
          <w:szCs w:val="18"/>
          <w:color w:val="auto"/>
        </w:rPr>
        <w:t>”) and a wholly owned subsidiary of Parent. At the effective time of the Merger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each outstanding share of Common Stock (other than any shares of Common Stock (i) owned by NGM Bio, (ii) owned, directly or indirectly, by Parent, Merger Sub, any other subsidiary of Parent, the TCG Stockholders or the Rollover Stockholders at the commencement of the Offer and immediately prior to the Effective Time, (iii) irrevocably accepted for purchase in the Offer or</w:t>
      </w:r>
    </w:p>
    <w:p>
      <w:pPr>
        <w:spacing w:after="0" w:line="5" w:lineRule="exact"/>
        <w:rPr>
          <w:sz w:val="20"/>
          <w:szCs w:val="20"/>
          <w:color w:val="auto"/>
        </w:rPr>
      </w:pPr>
    </w:p>
    <w:p>
      <w:pPr>
        <w:ind w:left="4" w:right="340" w:hanging="4"/>
        <w:spacing w:after="0" w:line="260" w:lineRule="auto"/>
        <w:tabs>
          <w:tab w:leader="none" w:pos="3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any stockholders who were entitled to and who properly exercised appraisal rights under Delaware law) was converted into the right to receive the Offer Price from Merger Sub, without interest, less any applicable tax withholding.</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terms of the Merger Agreement, as of the Effective Time, by virtue of the Merger and without any action on the part of the holders,</w:t>
      </w:r>
    </w:p>
    <w:p>
      <w:pPr>
        <w:spacing w:after="0" w:line="27" w:lineRule="exact"/>
        <w:rPr>
          <w:sz w:val="20"/>
          <w:szCs w:val="20"/>
          <w:color w:val="auto"/>
        </w:rPr>
      </w:pPr>
    </w:p>
    <w:p>
      <w:pPr>
        <w:ind w:left="4" w:right="20" w:hanging="4"/>
        <w:spacing w:after="0" w:line="251"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each option to purchase shares of Common Stock from the Company (“</w:t>
      </w:r>
      <w:r>
        <w:rPr>
          <w:rFonts w:ascii="Times New Roman" w:cs="Times New Roman" w:eastAsia="Times New Roman" w:hAnsi="Times New Roman"/>
          <w:sz w:val="18"/>
          <w:szCs w:val="18"/>
          <w:i w:val="1"/>
          <w:iCs w:val="1"/>
          <w:color w:val="auto"/>
        </w:rPr>
        <w:t>Company Stock Options</w:t>
      </w:r>
      <w:r>
        <w:rPr>
          <w:rFonts w:ascii="Times New Roman" w:cs="Times New Roman" w:eastAsia="Times New Roman" w:hAnsi="Times New Roman"/>
          <w:sz w:val="18"/>
          <w:szCs w:val="18"/>
          <w:color w:val="auto"/>
        </w:rPr>
        <w:t>”) was accelerated and (A) each Company Stock Option that had an exercise price per share that was less than the Offer Price (each, an “</w:t>
      </w:r>
      <w:r>
        <w:rPr>
          <w:rFonts w:ascii="Times New Roman" w:cs="Times New Roman" w:eastAsia="Times New Roman" w:hAnsi="Times New Roman"/>
          <w:sz w:val="18"/>
          <w:szCs w:val="18"/>
          <w:i w:val="1"/>
          <w:iCs w:val="1"/>
          <w:color w:val="auto"/>
        </w:rPr>
        <w:t>In-the-Money Option</w:t>
      </w:r>
      <w:r>
        <w:rPr>
          <w:rFonts w:ascii="Times New Roman" w:cs="Times New Roman" w:eastAsia="Times New Roman" w:hAnsi="Times New Roman"/>
          <w:sz w:val="18"/>
          <w:szCs w:val="18"/>
          <w:color w:val="auto"/>
        </w:rPr>
        <w:t>”) that was then outstanding was cancelled and, in exchange therefor, the holder of such cancelled In-the-Money Option was entitled to receive an amount in cash, without any interest thereon and subject to applicable tax withholding, equal to the product of (x) the total number of shares of Common Stock underlying such In-the-Money Option as of immediately prior to the Effective Time multiplied by (y) the excess of the Offer Price over the applicable exercise price per share of Common Stock underlying such In-the-Money Option, and (B) each Company Stock Option that was not an In-the-Money Option was cancelled for no consideration; and (ii) each unvested restricted stock unit ( “</w:t>
      </w:r>
      <w:r>
        <w:rPr>
          <w:rFonts w:ascii="Times New Roman" w:cs="Times New Roman" w:eastAsia="Times New Roman" w:hAnsi="Times New Roman"/>
          <w:sz w:val="18"/>
          <w:szCs w:val="18"/>
          <w:i w:val="1"/>
          <w:iCs w:val="1"/>
          <w:color w:val="auto"/>
        </w:rPr>
        <w:t>RSU</w:t>
      </w:r>
      <w:r>
        <w:rPr>
          <w:rFonts w:ascii="Times New Roman" w:cs="Times New Roman" w:eastAsia="Times New Roman" w:hAnsi="Times New Roman"/>
          <w:sz w:val="18"/>
          <w:szCs w:val="18"/>
          <w:color w:val="auto"/>
        </w:rPr>
        <w:t>”) of the Company that was then outstanding became immediately vested in full and cancelled, and, in exchange therefor, the holder of such cancelled RSU was entitled to receive an amount in cash without interest, less any applicable tax withholding, equal to the Offer Price.</w:t>
      </w:r>
    </w:p>
    <w:p>
      <w:pPr>
        <w:spacing w:after="0" w:line="193"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qualified in its entirety by reference to the Merger Agreement, a copy of which is filed as Exhibit 2.1 to the Announcement Form 8-K and is incorporated by reference herein.</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by reference into this Item 3.01.</w:t>
      </w:r>
    </w:p>
    <w:p>
      <w:pPr>
        <w:spacing w:after="0" w:line="223"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Offer and the Merger, the Company notified The Nasdaq Stock Market LLC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of the consummation of the Merger and requested that Nasdaq (i) suspend trading of the Common Stock, (ii) remove the Common Stock from listing on the Nasdaq and (iii) file with the SEC a notification of removal from listing and/or registration on Form 25 to effect the delisting of all shares of Common Stock from Nasdaq and the deregistration of such shares of Common Stock under Section 12(b)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As a result, the Common Stock will no longer be listed on Nasdaq.</w:t>
      </w:r>
    </w:p>
    <w:p>
      <w:pPr>
        <w:spacing w:after="0" w:line="185"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In addition, the Company intends to file a certification and notice of termination of registration on Form 15 with the SEC requesting the termination of registration of the shares of Common Stock under Section 12(g) of the Exchange Act and the suspension of reporting obligations under Section 13 and 15(d) of the Exchange Act with respect to the shares of Common Stock.</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Items 2.01, 3.01, 5.01 and 5.03 of this Current Report on Form 8-K is incorporated by reference into this Item 3.03.</w:t>
      </w:r>
    </w:p>
    <w:p>
      <w:pPr>
        <w:sectPr>
          <w:pgSz w:w="11900" w:h="16838" w:orient="portrait"/>
          <w:cols w:equalWidth="0" w:num="1">
            <w:col w:w="10944"/>
          </w:cols>
          <w:pgMar w:left="436" w:top="295" w:right="519" w:bottom="1440" w:gutter="0" w:footer="0" w:header="0"/>
        </w:sectPr>
      </w:pPr>
    </w:p>
    <w:bookmarkStart w:id="3" w:name="page4"/>
    <w:bookmarkEnd w:id="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information set forth under Items 2.01, 5.02 and 5.03 of this Current Report on Form 8-K is incorporated by reference into this Item 5.01.</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the Effective Time, the Company became a wholly-owned subsidiary of Parent. As a result, a change of control of the Company occurred.</w:t>
      </w:r>
    </w:p>
    <w:p>
      <w:pPr>
        <w:sectPr>
          <w:pgSz w:w="11900" w:h="16838" w:orient="portrait"/>
          <w:cols w:equalWidth="0" w:num="1">
            <w:col w:w="10924"/>
          </w:cols>
          <w:pgMar w:left="436" w:top="293" w:right="539" w:bottom="1440" w:gutter="0" w:footer="0" w:header="0"/>
        </w:sectPr>
      </w:pP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Departures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4" w:space="500"/>
            <w:col w:w="9720"/>
          </w:cols>
          <w:pgMar w:left="436" w:top="293" w:right="539" w:bottom="1440" w:gutter="0" w:footer="0" w:header="0"/>
          <w:type w:val="continuous"/>
        </w:sect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accordance with the Merger Agreement, immediately following the Effective Time, the directors and officers of the Company immediately prior to the Effective Time became the directors and officers of the Surviving Corporation, except for each of Shelly D. Guyer, Carole Ho, M.D. and Suzanne Sawochka Hooper, who resigned as directors of the Company as of the Effective Time. These resignations were tendered in connection with the Merger and not as a result of any disagreements between the Company and the resigning individuals on any matters related to the Company’s operations, policies, or practices. The directors and officers of the Company immediately prior to the Effective Time were David J. Woodhouse, Ph.D., Chief Executive Officer and Director, William J. Rieflin, Chairman and Director, David V. Goeddel, Ph.D., Director, Shelly D. Guyer, Director, Carole Ho, M.D., Director, Suzanne Sawochka Hooper, Director, Roger M. Perlmutter, M.D., Director, Hsiao D. Lieu, M.D., Chief Medical Officer, Jean-Frédéric Viret, Ph.D., Chief Financial Officer, and Valerie Pierce, General Counsel, Chief Compliance Officer and Secretary. Information regarding the directors and executive officers of the Surviving Corporation has been previously disclosed in Annex 1 of the Schedule 14D-9 filed by the Company with the SEC on March 8, 2024, which is incorporated herein by reference.</w:t>
      </w:r>
    </w:p>
    <w:p>
      <w:pPr>
        <w:spacing w:after="0" w:line="33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on April 5, 2024, the Company’s certificate of incorporation and bylaws were amended and restated in their entirety, copies of which are attached to this Current Report on Form 8-K as Exhibits 3.1 and 3.2, respectively, and are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On April 5, 2024, the Company issued a press release announcing the completion of the Offer and Merger. The press release is attached hereto as Exhibit 99.1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240" w:type="dxa"/>
            <w:vAlign w:val="bottom"/>
            <w:gridSpan w:val="2"/>
          </w:tcPr>
          <w:p>
            <w:pPr>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440" w:type="dxa"/>
            <w:vAlign w:val="bottom"/>
            <w:gridSpan w:val="5"/>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Agreement and Plan of Merger between the Company, Parent and Merger Sub, dated February 25, 2024 (incorporated by reference</w:t>
              </w:r>
            </w:hyperlink>
          </w:p>
        </w:tc>
      </w:tr>
      <w:tr>
        <w:trPr>
          <w:trHeight w:val="196"/>
        </w:trPr>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to Exhibit 2.1 to the Company’s Current Report on Form 8-K filed on February 26, 2024).*</w:t>
              </w:r>
            </w:hyperlink>
          </w:p>
        </w:tc>
        <w:tc>
          <w:tcPr>
            <w:tcW w:w="2860" w:type="dxa"/>
            <w:vAlign w:val="bottom"/>
            <w:tcBorders>
              <w:top w:val="single" w:sz="8" w:color="0000EE"/>
            </w:tcBorders>
          </w:tcPr>
          <w:p>
            <w:pPr>
              <w:spacing w:after="0"/>
              <w:rPr>
                <w:sz w:val="17"/>
                <w:szCs w:val="17"/>
                <w:color w:val="auto"/>
              </w:rPr>
            </w:pPr>
          </w:p>
        </w:tc>
      </w:tr>
      <w:tr>
        <w:trPr>
          <w:trHeight w:val="304"/>
        </w:trPr>
        <w:tc>
          <w:tcPr>
            <w:tcW w:w="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NGM Biopharmaceuticals, Inc.</w:t>
            </w:r>
          </w:p>
        </w:tc>
        <w:tc>
          <w:tcPr>
            <w:tcW w:w="3240" w:type="dxa"/>
            <w:vAlign w:val="bottom"/>
            <w:gridSpan w:val="2"/>
          </w:tcPr>
          <w:p>
            <w:pPr>
              <w:spacing w:after="0"/>
              <w:rPr>
                <w:sz w:val="24"/>
                <w:szCs w:val="24"/>
                <w:color w:val="auto"/>
              </w:rPr>
            </w:pPr>
          </w:p>
        </w:tc>
      </w:tr>
      <w:tr>
        <w:trPr>
          <w:trHeight w:val="304"/>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NGM Biopharmaceuticals, Inc.</w:t>
            </w:r>
          </w:p>
        </w:tc>
        <w:tc>
          <w:tcPr>
            <w:tcW w:w="4680" w:type="dxa"/>
            <w:vAlign w:val="bottom"/>
            <w:gridSpan w:val="3"/>
          </w:tcPr>
          <w:p>
            <w:pPr>
              <w:spacing w:after="0"/>
              <w:rPr>
                <w:sz w:val="24"/>
                <w:szCs w:val="24"/>
                <w:color w:val="auto"/>
              </w:rPr>
            </w:pPr>
          </w:p>
        </w:tc>
      </w:tr>
      <w:tr>
        <w:trPr>
          <w:trHeight w:val="304"/>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12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of NGM Biopharmaceuticals, Inc.</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r>
      <w:tr>
        <w:trPr>
          <w:trHeight w:val="345"/>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3" w:lineRule="exact"/>
        <w:rPr>
          <w:sz w:val="20"/>
          <w:szCs w:val="20"/>
          <w:color w:val="auto"/>
        </w:rPr>
      </w:pPr>
    </w:p>
    <w:p>
      <w:pPr>
        <w:ind w:left="4" w:right="3500" w:hanging="4"/>
        <w:spacing w:after="0" w:line="284" w:lineRule="auto"/>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Schedules and similar attachments have been omitted pursuant to Item 601(a)(5) of Regulation S-K. A copy of any omitted schedule will be furnished supplementally to the SEC upon request.</w:t>
      </w:r>
    </w:p>
    <w:p>
      <w:pPr>
        <w:sectPr>
          <w:pgSz w:w="11900" w:h="16838" w:orient="portrait"/>
          <w:cols w:equalWidth="0" w:num="1">
            <w:col w:w="10924"/>
          </w:cols>
          <w:pgMar w:left="436" w:top="293" w:right="5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J. Woodhouse, Ph.D.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5, 2024</w:t>
      </w:r>
    </w:p>
    <w:p>
      <w:pPr>
        <w:sectPr>
          <w:pgSz w:w="11900" w:h="16838" w:orient="portrait"/>
          <w:cols w:equalWidth="0" w:num="1">
            <w:col w:w="11000"/>
          </w:cols>
          <w:pgMar w:left="440" w:top="293"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SEVENTH AMENDED AND RESTATED CERTIFICATE OF INCORPORATION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NGM BIOPHARMACEUTICALS, INC.</w:t>
      </w:r>
    </w:p>
    <w:p>
      <w:pPr>
        <w:spacing w:after="0" w:line="198"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NGM Biopharmaceuticals, Inc.</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Corporation’s registered office in the State of Delaware is 850 New Burton Road, Suite 201, City of Dover, County of Kent, 19904. The name of its registered agent at such address is Cogency Global Inc.</w:t>
      </w:r>
    </w:p>
    <w:p>
      <w:pPr>
        <w:spacing w:after="0" w:line="161"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business and the purposes to be conducted and promoted by the Corporation are to conduct any lawful business, to promote any lawful purpose and to engage in any lawful act or activity for which corporations may be organized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0" w:firstLine="436"/>
        <w:spacing w:after="0" w:line="258"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stock which the Corporation shall have authority to issue is 1,000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Shares of the Common Stock may be issued from time to time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determine and on such terms and for such consideration as shall be fixed by the Board. The amount of the authorized Common Stock of the Corporation may be increased or decreased by the affirmative vote of the holders of a majority of the outstanding shares of Common Stock of the Corporation entitled to vote.</w:t>
      </w:r>
    </w:p>
    <w:p>
      <w:pPr>
        <w:spacing w:after="0" w:line="183" w:lineRule="exact"/>
        <w:rPr>
          <w:rFonts w:ascii="Times New Roman" w:cs="Times New Roman" w:eastAsia="Times New Roman" w:hAnsi="Times New Roman"/>
          <w:sz w:val="18"/>
          <w:szCs w:val="18"/>
          <w:color w:val="auto"/>
        </w:rPr>
      </w:pPr>
    </w:p>
    <w:p>
      <w:pPr>
        <w:ind w:right="400" w:firstLine="436"/>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Common Stock shall have the exclusive right to vote for the election of directors and for all other purposes. Each share of Common Stock shall have one vote, and the Common Stock shall vote together as a single class.</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of directors need not be by written ballot unless required by the Bylaws of the Corporation.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Section 228 of the DGCL.</w:t>
      </w:r>
    </w:p>
    <w:p>
      <w:pPr>
        <w:spacing w:after="0" w:line="179" w:lineRule="exact"/>
        <w:rPr>
          <w:rFonts w:ascii="Times New Roman" w:cs="Times New Roman" w:eastAsia="Times New Roman" w:hAnsi="Times New Roman"/>
          <w:sz w:val="18"/>
          <w:szCs w:val="18"/>
          <w:color w:val="auto"/>
        </w:rPr>
      </w:pPr>
    </w:p>
    <w:p>
      <w:pPr>
        <w:ind w:right="40" w:firstLine="436"/>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powers conferred upon the Board by law, the Board shall have the power to make, adopt, alter, amend and repeal from time to time the Bylaws of the Corporation by a majority vote at any regular or special meeting or by written consent, subject to the power of the stockholders to alter, amend and repeal Bylaws made by the Board.</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by and pursuant to this Certificate of Incorporation in its present form or as hereafter amended are granted subject to the right reserved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DGCL as it now exists and as it may hereafter be amended, no director or officer of the Corporation shall be personally liable to the Corporation or any of its stockholders for monetary damages for breach of fiduciary duty as a director or officer;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eliminate or limit the liability of a director or officer (i) for any breach of the director’s or officer’s duty of loyalty to the Corporation or its stockholders, (ii) for acts or omissions not in good faith or which involve intentional misconduct or a knowing violation of law, (iii) with respect to directors, pursuant to the provisions of Section 174 of the DGCL, (iv) for any transaction from which the director or officer derived an improper personal benefit, or (v) with respect to officers, in any action by or in the right of the Corporation. If the DGCL hereafter is amended to authorize the further</w:t>
      </w:r>
    </w:p>
    <w:p>
      <w:pPr>
        <w:sectPr>
          <w:pgSz w:w="11900" w:h="16838" w:orient="portrait"/>
          <w:cols w:equalWidth="0" w:num="1">
            <w:col w:w="11020"/>
          </w:cols>
          <w:pgMar w:left="440" w:top="117" w:right="43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elimination or limitation of the liability of directors or officers, then, in addition to the limitation on personal liability provided herein, the liability of a director or officer of the corporation shall be limited to the fullest extent permitted by the amended DGCL. No repeal or modification of this Section 9 shall apply to or have any adverse effect on any right or protection of, or any limitation of the liability of, a director or officer of the Corporation existing at the time of such repeal or modification with respect to acts or omissions occurring prior to such repeal or modification.</w:t>
      </w:r>
    </w:p>
    <w:p>
      <w:pPr>
        <w:spacing w:after="0" w:line="180" w:lineRule="exact"/>
        <w:rPr>
          <w:sz w:val="20"/>
          <w:szCs w:val="20"/>
          <w:color w:val="auto"/>
        </w:rPr>
      </w:pPr>
    </w:p>
    <w:p>
      <w:pPr>
        <w:ind w:right="60" w:firstLine="436"/>
        <w:spacing w:after="0" w:line="261"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w:t>
      </w:r>
    </w:p>
    <w:p>
      <w:pPr>
        <w:sectPr>
          <w:pgSz w:w="11900" w:h="16838" w:orient="portrait"/>
          <w:cols w:equalWidth="0" w:num="1">
            <w:col w:w="11000"/>
          </w:cols>
          <w:pgMar w:left="440" w:top="270"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Final Form</w:t>
      </w:r>
    </w:p>
    <w:p>
      <w:pPr>
        <w:spacing w:after="0" w:line="2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BYLAWS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NGM BIOPHARMACEUTICALS, INC.</w:t>
      </w: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69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TABLE OF CONTENTS</w:t>
            </w:r>
          </w:p>
        </w:tc>
        <w:tc>
          <w:tcPr>
            <w:tcW w:w="0" w:type="dxa"/>
            <w:vAlign w:val="bottom"/>
          </w:tcPr>
          <w:p>
            <w:pPr>
              <w:spacing w:after="0"/>
              <w:rPr>
                <w:sz w:val="1"/>
                <w:szCs w:val="1"/>
                <w:color w:val="auto"/>
              </w:rPr>
            </w:pPr>
          </w:p>
        </w:tc>
      </w:tr>
      <w:tr>
        <w:trPr>
          <w:trHeight w:val="412"/>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5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40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ARTICLE II STOCKHOLDERS</w:t>
            </w:r>
          </w:p>
        </w:tc>
        <w:tc>
          <w:tcPr>
            <w:tcW w:w="6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ARTICLE III DIRECTORS</w:t>
            </w:r>
          </w:p>
        </w:tc>
        <w:tc>
          <w:tcPr>
            <w:tcW w:w="6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COMMITTEES OF THE BOARD</w:t>
            </w:r>
          </w:p>
        </w:tc>
        <w:tc>
          <w:tcPr>
            <w:tcW w:w="6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ARTICLE V OFFICERS</w:t>
            </w:r>
          </w:p>
        </w:tc>
        <w:tc>
          <w:tcPr>
            <w:tcW w:w="6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6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ARTICLE VII GENERAL PROVISIONS</w:t>
            </w:r>
          </w:p>
        </w:tc>
        <w:tc>
          <w:tcPr>
            <w:tcW w:w="6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term:</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these Bylaws of the Corporation,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Certificate of Incorporation of the Corporation,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means NGM Biopharmaceuticals,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means the directors of the Corporation.</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Office of the Corporation</w:t>
      </w:r>
      <w:r>
        <w:rPr>
          <w:rFonts w:ascii="Times New Roman" w:cs="Times New Roman" w:eastAsia="Times New Roman" w:hAnsi="Times New Roman"/>
          <w:sz w:val="18"/>
          <w:szCs w:val="18"/>
          <w:color w:val="auto"/>
        </w:rPr>
        <w:t>” means the principal executive office of the Corporation, the Corporation’s registered office in the State of Delaware or any other offices at any other place or places designated from time to time by the Board as an Office of the Corporation for purposes of these Bylaws.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means the President of the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means the Secretary of the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means the stockholders of the Corporation as set forth on its stock ledger.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means the Treasurer of the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means a Vice President of the Corporation.</w:t>
      </w:r>
    </w:p>
    <w:p>
      <w:pPr>
        <w:sectPr>
          <w:pgSz w:w="11900" w:h="16838" w:orient="portrait"/>
          <w:cols w:equalWidth="0" w:num="1">
            <w:col w:w="10920"/>
          </w:cols>
          <w:pgMar w:left="440" w:top="266" w:right="5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Stockholders may be held at such place, if any, either within or without the State of Delaware, or by means of remote communication, as may be designated by the Board from time to time.</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Except as otherwise permitted by the DGCL, a meeting of Stockholders for the election of Directors and such other business as may be properly brought before the meeting in accordance with these Bylaws shall be held annually at such date and time as may be designated by the Board from time to time.</w:t>
      </w:r>
    </w:p>
    <w:p>
      <w:pPr>
        <w:spacing w:after="0" w:line="176"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Stockholders may be called at any time by the Board and may not be called by any other person or persons. Business transacted at any special meeting of Stockholders shall be limited to the purposes stated in the Corporation’s notice of the meeting.</w:t>
      </w:r>
    </w:p>
    <w:p>
      <w:pPr>
        <w:spacing w:after="0" w:line="14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Record dates for the purpose of determining the Stockholders entitled to notice of or to vote at any of meeting of Stockholders or any adjournment thereof, entitled to express consent to corporate action without a meeting or entitled to receive payment of any dividend or other distribution or allotment of any rights, exercise any rights in respect of any change, conversion or exchange of stock or take any other lawful action may be fixed by the Board, subject to the requirements of Section 213 of the DGCL and unless otherwise required by the Certificate of Incorporation or applicable law. If no such record date is fixed by the Board, the provisions of Section 213 of the DGCL with respect to the determining of record dates in the absence of prior Board action to fix a record date shall apply. When a determination of Stockholders entitled to notice of or to vote at any meeting of Stockholders has been made as provided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such determination shall apply to any adjournment thereof, unless the Board fixes a new record date for determining Stockholders entitled to vote at the adjourned meeting, in which case the Board shall also fix such voting record date or a date earlier than such date as the new record date for determining Stockholders entitled to notice of the adjourned meeting.</w:t>
      </w:r>
    </w:p>
    <w:p>
      <w:pPr>
        <w:spacing w:after="0" w:line="188" w:lineRule="exact"/>
        <w:rPr>
          <w:sz w:val="20"/>
          <w:szCs w:val="20"/>
          <w:color w:val="auto"/>
        </w:rPr>
      </w:pPr>
    </w:p>
    <w:p>
      <w:pPr>
        <w:ind w:right="120" w:firstLine="991"/>
        <w:spacing w:after="0" w:line="273"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Notice of Meetings of Stockholders</w:t>
      </w:r>
      <w:r>
        <w:rPr>
          <w:rFonts w:ascii="Times New Roman" w:cs="Times New Roman" w:eastAsia="Times New Roman" w:hAnsi="Times New Roman"/>
          <w:sz w:val="17"/>
          <w:szCs w:val="17"/>
          <w:color w:val="auto"/>
        </w:rPr>
        <w:t>. Whenever under the provisions of applicable law, the Certificate of Incorporation or these Bylaws Stockholders are required or permitted to take any action at a meeting, a notice of the meeting shall be given in accordance with Section 222 of the DGCL. If a meeting is adjourned to another time or place, notice need not be given of the adjourned meeting if the time and place, if any, thereof, and the means of remote communication, if any, by which Stockholders and proxy holders may be deemed to be present in person and vote at such adjourned meeting are announced at the meeting at which the adjournment is taken. Any business that might have been transacted at the meeting as originally called may be transacted at the adjourned meeting. If, however, the adjournment is for more than 30 days, or if after the adjournment a new record date is fixed for the adjourned meeting, a notice of the adjourned meeting shall be given to each Stockholder entitled to vote at the meeting..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1" w:name="page12"/>
    <w:bookmarkEnd w:id="11"/>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Waivers of Notice</w:t>
      </w:r>
      <w:r>
        <w:rPr>
          <w:rFonts w:ascii="Times New Roman" w:cs="Times New Roman" w:eastAsia="Times New Roman" w:hAnsi="Times New Roman"/>
          <w:sz w:val="18"/>
          <w:szCs w:val="18"/>
          <w:color w:val="auto"/>
        </w:rPr>
        <w:t>. Whenever the giving of any notice to Stockholders is required by applicable law, the Certificate of Incorporation or these Bylaws, a written waiver, signed by the Stockholder entitled to notice, or a waiver by electronic transmission by such Stockholder,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purposes of, any regular or special meeting of the Stockholders need be specified in any waiver of notice.</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List of Stockholders</w:t>
      </w:r>
      <w:r>
        <w:rPr>
          <w:rFonts w:ascii="Times New Roman" w:cs="Times New Roman" w:eastAsia="Times New Roman" w:hAnsi="Times New Roman"/>
          <w:sz w:val="18"/>
          <w:szCs w:val="18"/>
          <w:color w:val="auto"/>
        </w:rPr>
        <w:t>. The Secretary shall prepare and make, at least 10 days before every meeting of Stockholders, a complete, alphabetical list of the Stockholders entitled to vote at the meeting, and showing the address of each Stockholder and the number of shares registered in the name of each Stockholder. Such list may be examined by any Stockholder, at the Stockholder’s expense, for any purpose germane to the meeting, for a period of at least 10 days prior to the meeting, during ordinary business hours at the principal place of business of the Corporation or on a reasonably accessible electronic network or other electronic means as permitted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inspection as provided by applicable law. Except as provided by applicable law, the stock ledger shall be the only evidence as to who are the Stockholders entitled to examine the list of Stockholders or to vote in person or by proxy at any meeting of Stockholders.</w:t>
      </w:r>
    </w:p>
    <w:p>
      <w:pPr>
        <w:spacing w:after="0" w:line="188"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 of Stockholders; Adjournment in the Absence of a Quorum</w:t>
      </w:r>
      <w:r>
        <w:rPr>
          <w:rFonts w:ascii="Times New Roman" w:cs="Times New Roman" w:eastAsia="Times New Roman" w:hAnsi="Times New Roman"/>
          <w:sz w:val="18"/>
          <w:szCs w:val="18"/>
          <w:color w:val="auto"/>
        </w:rPr>
        <w:t xml:space="preserve">. At each meeting of Stockholders, the presence, in person or represented by proxy, of the holders of a majority of the voting power of all outstanding shares of stock entitled to vote at the meeting of Stockholders shall constitute a quorum for the transaction of business at such meeting, except that when specified business is to be voted on by one or more classes or series of stock voting as a separate class, the holders of a majority of the voting power of the shares of such classes or series shall constitute a quorum of such separate class for the transaction of such business. In the absence of a quorum, the person presiding over the meeting in accordance with Section 2.11 or, in the absence of such person, the holders of a majority of the voting power of the shares of stock present in person or represented by proxy at any meeting of Stockholders, including an adjourned meeting, may adjourn such meeting to another time or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the right of the Corporation to vote stock, including but not limited to its own stock, held by it in a fiduciary capacity. The Stockholders present at a duly called meeting at which a quorum is present may continue to transact business until adjournment, notwithstanding the withdrawal of enough Stockholders to leave less than a quorum.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 w:name="page13"/>
    <w:bookmarkEnd w:id="1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428"/>
        <w:spacing w:after="0" w:line="261" w:lineRule="auto"/>
        <w:tabs>
          <w:tab w:leader="none" w:pos="1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Stockholders, all matters other than the election of directors, and except as otherwise provided by the Certificate of Incorporation, these Bylaws or any applicable law, shall be decided by the affirmative vote of a majority of the voting power of shares of stock present in person or represented by proxy and entitled to vote thereon. At all meetings of Stockholders for the election of Directors, a plurality of the votes cast shall be sufficient to elect each Director.</w:t>
      </w:r>
    </w:p>
    <w:p>
      <w:pPr>
        <w:spacing w:after="0" w:line="179" w:lineRule="exact"/>
        <w:rPr>
          <w:rFonts w:ascii="Times New Roman" w:cs="Times New Roman" w:eastAsia="Times New Roman" w:hAnsi="Times New Roman"/>
          <w:sz w:val="18"/>
          <w:szCs w:val="18"/>
          <w:color w:val="auto"/>
        </w:rPr>
      </w:pPr>
    </w:p>
    <w:p>
      <w:pPr>
        <w:ind w:right="180" w:firstLine="1428"/>
        <w:spacing w:after="0" w:line="256" w:lineRule="auto"/>
        <w:tabs>
          <w:tab w:leader="none" w:pos="1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duly authorized proxy bearing a later date.</w:t>
      </w:r>
    </w:p>
    <w:p>
      <w:pPr>
        <w:spacing w:after="0" w:line="187"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Voting Procedures and Inspectors at Meetings of Stockholders</w:t>
      </w:r>
      <w:r>
        <w:rPr>
          <w:rFonts w:ascii="Times New Roman" w:cs="Times New Roman" w:eastAsia="Times New Roman" w:hAnsi="Times New Roman"/>
          <w:sz w:val="18"/>
          <w:szCs w:val="18"/>
          <w:color w:val="auto"/>
        </w:rPr>
        <w:t>. The Board, in advance of any meeting of Stockholders, may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proxy, vote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9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Conduct of Meetings; Adjournment After Establishing a Quorum</w:t>
      </w:r>
      <w:r>
        <w:rPr>
          <w:rFonts w:ascii="Times New Roman" w:cs="Times New Roman" w:eastAsia="Times New Roman" w:hAnsi="Times New Roman"/>
          <w:sz w:val="18"/>
          <w:szCs w:val="18"/>
          <w:color w:val="auto"/>
        </w:rPr>
        <w:t>. The Board may adopt such rules and procedures for the conduct of Stockholder meetings as it deems appropriate. At each meeting of Stockholders, the President or, in the absence of the President, any officer of the Corporation designated by the Board (or in the absence of any such designation,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 w:name="page14"/>
    <w:bookmarkEnd w:id="13"/>
    <w:p>
      <w:pPr>
        <w:ind w:left="4"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most senior Vice President present), shall preside over the meeting. Except to the extent inconsistent with the rules and procedures as adopted by the Board,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or prescribed by the person presiding over the meeting, may include</w:t>
      </w:r>
    </w:p>
    <w:p>
      <w:pPr>
        <w:spacing w:after="0" w:line="3" w:lineRule="exact"/>
        <w:rPr>
          <w:sz w:val="20"/>
          <w:szCs w:val="20"/>
          <w:color w:val="auto"/>
        </w:rPr>
      </w:pPr>
    </w:p>
    <w:p>
      <w:pPr>
        <w:ind w:left="4" w:hanging="4"/>
        <w:spacing w:after="0" w:line="251"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 agenda or order of business for the meeting, (b) rules and procedures for maintaining order at the meeting and the safety of those present, (c) limitations on attendance at or participation in the meeting to Stockholders,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Subject to any prior, contrary determination by the Board, the person presiding over any meeting of Stockholders, in addition to making any other determinations that may be appropriate to the conduct of the meeting, may determine and declare to the meeting that a matter or business was not properly brought before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and, if the Board has not so acted, in the case of the designation of a person to act as secretary of the meeting, designated by the person presiding over the meeting.</w:t>
      </w:r>
    </w:p>
    <w:p>
      <w:pPr>
        <w:spacing w:after="0" w:line="19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Written Consent of Stockholders Without a Meeting</w:t>
      </w:r>
      <w:r>
        <w:rPr>
          <w:rFonts w:ascii="Times New Roman" w:cs="Times New Roman" w:eastAsia="Times New Roman" w:hAnsi="Times New Roman"/>
          <w:sz w:val="18"/>
          <w:szCs w:val="18"/>
          <w:color w:val="auto"/>
        </w:rPr>
        <w:t>. Any action to be taken at any annual or special meeting of Stockholders may be taken without a meeting,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its principal place of business or an officer or agent of the Corporation having custody of the book in which proceedings of meetings of Stockholders are recorded. No written consent shall be effective to take the corporate action referred to therein unless, within 60 days of the first date on which a written consent is delivered to the Corporation in the manner required by this Section 2.12, written consents signed by a sufficient number of holders to take action are delivered to the Corporation as aforesaid. For avoidance of doubt, consent by electronic transmission in the manner permitted by Section 228 of the DGCL shall be deemed to be the equivalent of written and signed consents for purposes of these Bylaws. Whenever a corporate action has been taken by less than unanimous written consent, the Corporation shall give notice thereof to the nonconsenting Stockholders as required by Section 228(e) of the DGCL.</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4" w:name="page15"/>
    <w:bookmarkEnd w:id="14"/>
    <w:p>
      <w:pPr>
        <w:ind w:left="4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Term of Office</w:t>
      </w:r>
      <w:r>
        <w:rPr>
          <w:rFonts w:ascii="Times New Roman" w:cs="Times New Roman" w:eastAsia="Times New Roman" w:hAnsi="Times New Roman"/>
          <w:sz w:val="18"/>
          <w:szCs w:val="18"/>
          <w:color w:val="auto"/>
        </w:rPr>
        <w:t>. The Board shall consist of one or more members, the number thereof to be determined from time to time by the Board. Each Director shall hold office until a successor is duly elected and qualified or until the Director’s earlier death, resignation, disqualification or removal. </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Any newly created directorships resulting from an increase in the authorized number of Directors and any vacancies occurring in the Board may be filled solely by a majority of the Directors then in office, although less than a quorum, or a sole remaining Director. A Director so elected shall be elected to hold office until the earlier of the expiration of the term of office of the Director whom he or she has replaced, a successor is elected and qualified or the Director’s earlier death, resignation, disqualification or removal. When one or more Directors shall resign, effective at a future time,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3.3 in the filling of other vacancies.</w:t>
      </w:r>
    </w:p>
    <w:p>
      <w:pPr>
        <w:spacing w:after="0" w:line="189"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at any time by notice given in writing or by electronic transmission to the Board or the Secretary. Such resignation shall take effect at the time of receipt of such notice or at such later time, or such later time determined upon the happening of an event, as is therein specified.</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may be held without notice at such times and at such places as may be determined from time to time by the Board.</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held at such times and at such places, if any, as may be determined by the President on at least 24 hours’ notice to each Director given by one of the means specified in Section 3.9 other than by mail or on at least three days’ notice if given by mail. Special meetings shall be called by the President or Secretary in like manner and on like notice on the written request of any two or more Directors.</w:t>
      </w:r>
    </w:p>
    <w:p>
      <w:pPr>
        <w:spacing w:after="0" w:line="180"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Board or Board committee meetings may be held by means of telephone conference or other communications equipment by means of which all persons participating in the meeting can hear each other at the same time. Participation by a Director in a meeting pursuant to this Section 3.7 shall constitute presence in person at such meeting.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5" w:name="page16"/>
    <w:bookmarkEnd w:id="15"/>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Adjourned Meetings</w:t>
      </w:r>
      <w:r>
        <w:rPr>
          <w:rFonts w:ascii="Times New Roman" w:cs="Times New Roman" w:eastAsia="Times New Roman" w:hAnsi="Times New Roman"/>
          <w:sz w:val="18"/>
          <w:szCs w:val="18"/>
          <w:color w:val="auto"/>
        </w:rPr>
        <w:t xml:space="preserve">. A majority of the Directors present at any meeting of the Board, including an adjourned meeting, whether or not a quorum is present, may adjourn and reconvene such meeting to another time and place. At least 24 hours’ notice of any adjourned meeting of the Board shall be given to each Director whether or not present at the time of the adjournment;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notice of the adjourned meeting need not be given if (a) the adjournment is for 24 hours or less and (b) the time, place, if any, and means of remote communication, if any, are announced at the meeting at which the adjournment is taken. Any business may be transacted at an adjourned meeting that might have been transacted at the meeting as originally called.</w:t>
      </w:r>
    </w:p>
    <w:p>
      <w:pPr>
        <w:spacing w:after="0" w:line="187"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Notice Procedure</w:t>
      </w:r>
      <w:r>
        <w:rPr>
          <w:rFonts w:ascii="Times New Roman" w:cs="Times New Roman" w:eastAsia="Times New Roman" w:hAnsi="Times New Roman"/>
          <w:sz w:val="18"/>
          <w:szCs w:val="18"/>
          <w:color w:val="auto"/>
        </w:rPr>
        <w:t>. Subject to Sections 3.8 and 3.10, whenever notice is required to be given to any Director by applicable law, the Certificate of Incorporation or these Bylaws, such notice shall be deemed given effectively if given in person or by telephone, mail addressed to such Director at such Director’s address as it appears on the records of the Corporation, telecopy or by electronic mail or other means of electronic transmission. Neither the business to be transacted at, nor the purpose of, any regular or special meeting of the Board need be specified in the notice of such meeting.</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the giving of any notice to Directors is required by applicable law, the Certificate of Incorporation or these Bylaws, a written waiver signed by the Director, or a waiver by electronic transmission by such Director,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committee meeting need be specified in any waiver of notice.</w:t>
      </w:r>
    </w:p>
    <w:p>
      <w:pPr>
        <w:spacing w:after="0" w:line="18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At each meeting of the Board, a Director selected by the Board shall preside. The Secretary shall act as secretary at each meeting of the Board. If the Secretary is absent from any meeting of the Board, the person presiding at the meeting may appoint any person to act as secretary of the meeting.</w:t>
      </w:r>
    </w:p>
    <w:p>
      <w:pPr>
        <w:spacing w:after="0" w:line="176"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Quorum of Directors</w:t>
      </w:r>
      <w:r>
        <w:rPr>
          <w:rFonts w:ascii="Times New Roman" w:cs="Times New Roman" w:eastAsia="Times New Roman" w:hAnsi="Times New Roman"/>
          <w:sz w:val="17"/>
          <w:szCs w:val="17"/>
          <w:color w:val="auto"/>
        </w:rPr>
        <w:t xml:space="preserve">. The presence of a majority of the total number of Directors then in office shall constitute a quorum for the transaction of business at any meeting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case shall a quorum consist of less than one-third of the total number of Directors that the Corporation would have if there were no vacancies on the Board. The Directors present at a meeting at which a quorum has been established may continue to transact business until adjournment, notwithstanding the withdrawal of enough Directors to leave less than a quorum.</w:t>
      </w:r>
    </w:p>
    <w:p>
      <w:pPr>
        <w:spacing w:after="0" w:line="164"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Action by Majority Vote</w:t>
      </w:r>
      <w:r>
        <w:rPr>
          <w:rFonts w:ascii="Times New Roman" w:cs="Times New Roman" w:eastAsia="Times New Roman" w:hAnsi="Times New Roman"/>
          <w:sz w:val="18"/>
          <w:szCs w:val="18"/>
          <w:color w:val="auto"/>
        </w:rPr>
        <w:t>. Except as otherwise expressly required by these Bylaws or the Certificate of Incorporation, the vote of a majority of the Directors present at a meeting at which a quorum is present shall be the act of the Board.</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Any action required or permitted to be taken at any meeting of the Board or of any committee thereof may be taken without a meeting if all Directors or members of such committee, as the case may be, consent thereto in writing or by electronic transmission, and the writings or electronic transmissions are filed with the minutes of proceedings of the Board or committee.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The Board may designate one or more committees in accordance with Section 141(c) of the DGCL. Unless the Board provides otherwise, at all meetings of such committee, a majority of the then authorized number of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pursuant to Article III.</w:t>
      </w:r>
    </w:p>
    <w:p>
      <w:pPr>
        <w:spacing w:after="0" w:line="39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Positions; Election</w:t>
      </w:r>
      <w:r>
        <w:rPr>
          <w:rFonts w:ascii="Times New Roman" w:cs="Times New Roman" w:eastAsia="Times New Roman" w:hAnsi="Times New Roman"/>
          <w:sz w:val="18"/>
          <w:szCs w:val="18"/>
          <w:color w:val="auto"/>
        </w:rPr>
        <w:t>. The offices of the Corporation shall include a President, a Secretary, a Treasurer and any other officers as the Board may elect from time to time, who shall exercise such powers and perform such duties as shall be determined by the Board from time to time. Any number of offices may be held by the same person. The Board may appoint more than one person to hold any office as co-officers, in which case any reference to such officer shall be deemed a reference to all or any of such co-officers.</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of the Corporation shall hold office until such officer’s successor is elected and qualified or until such officer’s earlier death, resignation or removal. Any officer may resign at any time upon written notice to the Corporation. Such resignation shall take effect at the time of receipt of such notice or at such later time, or at such later time determined upon the happening of an event, as is therein specified. The resignation of an officer shall be without prejudice to the contract rights of the Corporation, if any. Any officer may be removed at any time with or without cause by the Board. Any vacancy occurring in any office of the Corporation may be filled by the Board. The election or appointment of an officer shall not of itself create contract rights, and any resignation or removal of an officer shall be without prejudice to the contract rights, if any, of such officer, the Corporation or any other person.</w:t>
      </w:r>
    </w:p>
    <w:p>
      <w:pPr>
        <w:spacing w:after="0" w:line="189"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have general supervision over the business of the Corporation and other duties incident to the office of President, and any other duties as may from time to time be assigned to the President by the Board and subject to the control of the Board in each case.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7" w:name="page18"/>
    <w:bookmarkEnd w:id="1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Vice Presidents shall have the duties incident to the office of Vice President and any other duties that may from time to time be assigned to the Vice President by the President or the Board.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all meetings of the Stockholders and perform such other duties as may be prescribed by the Board or by the President. The Secretary shall have custody of the corporate seal of the Corporation, if any, and shall have authority to affix the same on any instrument that may require it, and when so affixed, the seal may be attested by the signature of the Secretary. The Board may give general authority to any other officer to affix the seal of the Corporation and to attest the same by such officer’s signature. The Secretary may also attest all instruments signed by the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or the President.</w:t>
      </w:r>
    </w:p>
    <w:p>
      <w:pPr>
        <w:spacing w:after="0" w:line="194"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President or the Board, whenever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or the President.</w:t>
      </w:r>
    </w:p>
    <w:p>
      <w:pPr>
        <w:spacing w:after="0" w:line="192"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Actions with Respect to Securities of Other Entities</w:t>
      </w:r>
      <w:r>
        <w:rPr>
          <w:rFonts w:ascii="Times New Roman" w:cs="Times New Roman" w:eastAsia="Times New Roman" w:hAnsi="Times New Roman"/>
          <w:sz w:val="17"/>
          <w:szCs w:val="17"/>
          <w:color w:val="auto"/>
        </w:rPr>
        <w:t>. All stock and other securities of other entities owned or held by the Corporation for itself, or for other parties in any capacity, shall be voted (including by written consent), and all proxies with respect thereto shall be executed, by the person or persons authorized to do so by resolution of the Board or, in the absence of such authorization, by the President, the Secretary or the Treasurer.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Right to Indemnification</w:t>
      </w:r>
      <w:r>
        <w:rPr>
          <w:rFonts w:ascii="Times New Roman" w:cs="Times New Roman" w:eastAsia="Times New Roman" w:hAnsi="Times New Roman"/>
          <w:sz w:val="17"/>
          <w:szCs w:val="17"/>
          <w:color w:val="auto"/>
        </w:rPr>
        <w:t>. The Corporation shall indemnify and hold harmless, to the fullest extent permitted by applicable law as it presently exists or may hereafter be amended, any person (a “</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judgments, fines and amounts paid in settlement (except for judgments, fines and amounts paid in settlement in any action or suit by or in the right of the Corporation to procure a judgment in its favor) actually and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7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 xml:space="preserve">. To the extent not prohibited by applicable law, the Corporation shall pay the expenses (including attorneys’ fees) incurred by a Covered Person in defending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83"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If a claim for indemnification or advancement of expenses under this Article VI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83"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Covered Person by this Article VI shall not be exclusive of any other rights that such Covered Person may have or hereafter acquire under any statute, provision of these Bylaws, the Certificate of Incorporation, agreement, vote of stockholders or disinterested directors or otherwise.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19" w:name="page20"/>
    <w:bookmarkEnd w:id="19"/>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amendment or repeal of the foregoing provisions of this Article VI shall not adversely affect any right or protection hereunder of any Covered Person in respect of any act or omission occurring prior to the time of such amendment or repeal.</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Other Indemnification and Prepayment of Expenses</w:t>
      </w:r>
      <w:r>
        <w:rPr>
          <w:rFonts w:ascii="Times New Roman" w:cs="Times New Roman" w:eastAsia="Times New Roman" w:hAnsi="Times New Roman"/>
          <w:sz w:val="18"/>
          <w:szCs w:val="18"/>
          <w:color w:val="auto"/>
        </w:rPr>
        <w:t>. This Article VI shall not limit the right of the Corporation, to the extent and in the manner permitted by applicable law, to indemnify and to advance expenses to persons other than Covered Persons when and as authorized by appropriate corporate action.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Certificates Representing Shares</w:t>
      </w:r>
      <w:r>
        <w:rPr>
          <w:rFonts w:ascii="Times New Roman" w:cs="Times New Roman" w:eastAsia="Times New Roman" w:hAnsi="Times New Roman"/>
          <w:sz w:val="18"/>
          <w:szCs w:val="18"/>
          <w:color w:val="auto"/>
        </w:rPr>
        <w:t xml:space="preserve">. The shares of stock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may provide by resolution or resolutions that some or all of any or all classes or series of its stock shall be uncertificated shares. If shares are represented by certificates (if any) such certificates shall be in the form approved by the Board. Every holder of stock represented by certificates shall be entitled to have a certificate signed by, or in the name of, the Corporation by any two authorized officers of the Corporation.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89"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Transfer and Registry Agents</w:t>
      </w:r>
      <w:r>
        <w:rPr>
          <w:rFonts w:ascii="Times New Roman" w:cs="Times New Roman" w:eastAsia="Times New Roman" w:hAnsi="Times New Roman"/>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Form of Records</w:t>
      </w:r>
      <w:r>
        <w:rPr>
          <w:rFonts w:ascii="Times New Roman" w:cs="Times New Roman" w:eastAsia="Times New Roman" w:hAnsi="Times New Roman"/>
          <w:sz w:val="18"/>
          <w:szCs w:val="18"/>
          <w:color w:val="auto"/>
        </w:rPr>
        <w:t xml:space="preserve">. Any records administered by or on behalf of the Corporation in the regular course of its business, including its stock ledger, books of account, and minute books, may be kept on, or by means of, or be in the form of, any information storage device, method, or one or more electronic networks or databases (including one or more distributed electronic networks or databases);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enacted in the State of Delaware, 6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§§8-101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 Corporation shall convert any records so kept into clearly legible paper form upon the request of any person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 such records pursuant to any provision of the DGCL.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Corporation may have a corporate seal, which shall be in such form as may be approved from time to time by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seal may be used by causing it or a facsimile thereof to be impressed or affixed or otherwise reproduced.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Time Periods</w:t>
      </w:r>
      <w:r>
        <w:rPr>
          <w:rFonts w:ascii="Times New Roman" w:cs="Times New Roman" w:eastAsia="Times New Roman" w:hAnsi="Times New Roman"/>
          <w:sz w:val="18"/>
          <w:szCs w:val="18"/>
          <w:color w:val="auto"/>
        </w:rPr>
        <w:t>. In applying any provision of these Bylaws which require that an act be done or not done a specified number of days prior to an event or that an act be done during a period of a specified number of days prior to an event, calendar days shall be used unless otherwise specified, the day of the doing of the act shall be excluded, and the day of the event shall be included.</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amended or repealed and new Bylaws may be adopted by the Board, but the Stockholders may make additional Bylaws and may alter and repeal any Bylaws whether such Bylaws were originally adopted by them or otherwise.</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Conflict with Applicable Law or Certificate of Incorporation</w:t>
      </w:r>
      <w:r>
        <w:rPr>
          <w:rFonts w:ascii="Times New Roman" w:cs="Times New Roman" w:eastAsia="Times New Roman" w:hAnsi="Times New Roman"/>
          <w:sz w:val="18"/>
          <w:szCs w:val="18"/>
          <w:color w:val="auto"/>
        </w:rPr>
        <w:t>.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0"/>
          </w:cols>
          <w:pgMar w:left="440" w:top="270" w:right="6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NGM Bio Announces Closing of Tender Offer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SAN FRANCISCO, April 05, 2024 (GLOBE NEWSWIRE) – NGM Biopharmaceuticals, Inc. (“NGM Bio”) (Nasdaq: NGM), a biotechnology company focused on discovering and developing transformative therapeutics for patients, today announced that Atlas Neon Parent, Inc. (“Parent”), an affiliate of The Column Group, LP (“TCG”), through its wholly-owned subsidiary Atlas Neon Merger Sub, Inc. (“Merger Sub”), has successfully completed the previously announced cash tender offer to acquire all outstanding shares of NGM Bio not held by affiliates of TCG and certain other stockholders at a price per share of $1.55 in cash (the “Offer Price”).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tender offer and related withdrawal rights expired at one minute after 11:59 p.m. Eastern Time on April 4, 2024 (the “Expiration Date”). As of the Expiration Date, a total of 22,323,295 shares of NGM Bio common stock were validly tendered, and not validly withdrawn, representing approximately 27% of the outstanding shares of NGM Bio common stock as of the Expiration Date. As of the Expiration Date, the number of shares validly tendered in accordance with the terms of the tender offer and not validly withdrawn satisfied the minimum tender condition, and all other conditions to the tender offer were satisfied or waived. Immediately after the Expiration Date, Merger Sub irrevocably accepted for payment all shares validly tendered and not validly withdrawn and expects to promptly pay for such shares. An additional 39,516,567 shares, owned by affiliates of TCG and certain other stockholders, were contributed to Parent pursuant to rollover agreements in exchange for shares of Parent.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the closing of the tender offer, Merger Sub merged with and into NGM Bio and all shares of NGM Bio common stock that had not been validly tendered (other than shares held by stockholders who properly demanded appraisal of such shares or shares held by affiliates of TCG and certain other stockholders who agreed to exchange their shares for shares of Parent) were converted into the right to receive the Offer Price (the “Merger”). As a result of the Merger, NGM Bio became a privately held and wholly-owned subsidiary of Parent. Prior to the opening of trading on The Nasdaq Stock Market LLC (“Nasdaq”) on April 5, 2024, all shares of NGM Bio common stock ceased trading on Nasdaq, and NGM Bio intends promptly to cause such shares to be delisted from Nasdaq and deregistered under the Securities Exchange Act of 1934, as amended.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Guggenheim Securities, LLC acted as exclusive financial advisor and Hogan Lovells US LLP acted as legal counsel to the special committee of the board of directors of NGM Bio. Paul, Weiss, Rifkind, Wharton &amp; Garrison LLP acted as legal counsel to Parent.</w:t>
      </w:r>
    </w:p>
    <w:p>
      <w:pPr>
        <w:sectPr>
          <w:pgSz w:w="11900" w:h="16838" w:orient="portrait"/>
          <w:cols w:equalWidth="0" w:num="1">
            <w:col w:w="11020"/>
          </w:cols>
          <w:pgMar w:left="440" w:top="117"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NGM Biopharmaceuticals, Inc.</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NGM Bio is focused on discovering and developing novel, life-changing medicines for people whose health and lives have been disrupted by disease. NGM Bio’s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All therapeutic candidates in the NGM Bio pipeline have been generated by its in-house discovery engine, always led by biology and motivated by unmet patient need. Visit us at www.ngmbio.com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Statements contained in this communication regarding matters that are not historical facts are “forward-looking statements” within the meaning of the Private Securities Litigation Reform Act of 1995. Words such as “expects,” “intends,” “focused” and similar expressions (as well as other words or expressions referencing future events, conditions or circumstances) are intended to identify forward-looking statements.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communication. These forward-looking statements are subject to risks and uncertainties. Additional risks and uncertainties affecting NGM Bio and its development programs are set forth in the section titled “Risk Factors” in NGM Bio’s Annual Report on Form 10-K for the year ended December 31, 2023 filed with the SEC on March 11, 2024, Quarterly Reports on Form 10-Q, Current Reports on Form 8-K and other filings and reports that NGM Bio makes from time to time with the SEC. Except as required by law, NGM Bio assumes no obligation to update these forward-looking statements, which speak only as of the date they are made, or to update the reasons if actual results differ materially from those anticipated in the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ir@ngmbio.com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media@ngmbio.com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4"/>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20" Type="http://schemas.openxmlformats.org/officeDocument/2006/relationships/hyperlink" Target="http://www.sec.gov/Archives/edgar/data/1426332/000119312524046296/d796872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2024-04-05T09:19:40Z</dcterms:created>
  <dcterms:modified xsi:type="dcterms:W3CDTF">2024-04-05T09:19:40Z</dcterms:modified>
</cp:coreProperties>
</file>