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CHEN JIN-LONG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OYSTER POINT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2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Chief Scientific Officer</w:t>
      </w:r>
    </w:p>
    <w:p>
      <w:pPr>
        <w:spacing w:after="0" w:line="347" w:lineRule="exact"/>
        <w:rPr>
          <w:sz w:val="24"/>
          <w:szCs w:val="24"/>
          <w:color w:val="auto"/>
        </w:rPr>
      </w:pPr>
    </w:p>
    <w:p>
      <w:pPr>
        <w:sectPr>
          <w:pgSz w:w="11900" w:h="16838" w:orient="portrait"/>
          <w:cols w:equalWidth="0" w:num="3">
            <w:col w:w="3200" w:space="720"/>
            <w:col w:w="3540" w:space="275"/>
            <w:col w:w="3345"/>
          </w:cols>
          <w:pgMar w:left="460" w:top="225" w:right="35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tcPr>
          <w:p>
            <w:pPr>
              <w:ind w:left="120"/>
              <w:spacing w:after="0" w:line="120"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12/14/2020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11,126</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27.59</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908,879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12/14/2020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10,729</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28.19</w:t>
            </w:r>
            <w:r>
              <w:rPr>
                <w:rFonts w:ascii="Arial" w:cs="Arial" w:eastAsia="Arial" w:hAnsi="Arial"/>
                <w:sz w:val="22"/>
                <w:szCs w:val="22"/>
                <w:color w:val="008000"/>
                <w:w w:val="94"/>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898,150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7"/>
              <w:spacing w:after="0"/>
              <w:rPr>
                <w:sz w:val="20"/>
                <w:szCs w:val="20"/>
                <w:color w:val="auto"/>
              </w:rPr>
            </w:pPr>
            <w:r>
              <w:rPr>
                <w:rFonts w:ascii="Arial" w:cs="Arial" w:eastAsia="Arial" w:hAnsi="Arial"/>
                <w:sz w:val="17"/>
                <w:szCs w:val="17"/>
                <w:color w:val="0000FF"/>
                <w:w w:val="91"/>
              </w:rPr>
              <w:t>12/14/2020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3,145</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28.89</w:t>
            </w:r>
            <w:r>
              <w:rPr>
                <w:rFonts w:ascii="Arial" w:cs="Arial" w:eastAsia="Arial" w:hAnsi="Arial"/>
                <w:sz w:val="22"/>
                <w:szCs w:val="22"/>
                <w:color w:val="008000"/>
                <w:w w:val="94"/>
                <w:vertAlign w:val="superscript"/>
              </w:rPr>
              <w:t>(4)</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895,005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-3314065</wp:posOffset>
            </wp:positionV>
            <wp:extent cx="7031355" cy="33591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3591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 adopted by the reporting person on May 15, 2020.</w:t>
      </w:r>
    </w:p>
    <w:p>
      <w:pPr>
        <w:spacing w:after="0" w:line="50" w:lineRule="exact"/>
        <w:rPr>
          <w:rFonts w:ascii="Arial" w:cs="Arial" w:eastAsia="Arial" w:hAnsi="Arial"/>
          <w:sz w:val="13"/>
          <w:szCs w:val="13"/>
          <w:color w:val="008000"/>
        </w:rPr>
      </w:pP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$26.76 to $27.74.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28"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$27.79 to $28.78. The reporting person has provided to the issuer, and undertakes to provide to the staff of the Commission or any security holder of the issuer, upon request, full information regarding the number of shares sold at each separate price within the range.</w:t>
      </w:r>
    </w:p>
    <w:p>
      <w:pPr>
        <w:ind w:left="40" w:right="58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Represents a weighted average sales price per share. These shares were sold in multiple transactions at prices ranging from $28.80 to $29.50. The reporting person has provided to the issuer, and undertakes to provide to the staff of the Commission or any security holder of the issuer, upon request, full information regarding the number of shares sold at each separate price within the range.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Jin-Long Chen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12/16/2020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2996"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2020-12-16T15:36:28Z</dcterms:created>
  <dcterms:modified xsi:type="dcterms:W3CDTF">2020-12-16T15:36:28Z</dcterms:modified>
</cp:coreProperties>
</file>