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799"/>
              <w:spacing w:after="0"/>
              <w:rPr>
                <w:sz w:val="20"/>
                <w:szCs w:val="20"/>
                <w:color w:val="auto"/>
              </w:rPr>
            </w:pPr>
            <w:r>
              <w:rPr>
                <w:rFonts w:ascii="Arial" w:cs="Arial" w:eastAsia="Arial" w:hAnsi="Arial"/>
                <w:sz w:val="18"/>
                <w:szCs w:val="18"/>
                <w:b w:val="1"/>
                <w:bCs w:val="1"/>
                <w:color w:val="auto"/>
                <w:w w:val="93"/>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001-38853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26-1679911</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333 Oyster Point Boulevard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South San Francisco, California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(650) 243-5555</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On June 7, 2023, NGM Biopharmaceuticals, Inc. (the “Company”) entered into Amendment No. 1 (the “Amendment”) to the Open Market Sale Agreement</w:t>
      </w:r>
      <w:r>
        <w:rPr>
          <w:rFonts w:ascii="Arial" w:cs="Arial" w:eastAsia="Arial" w:hAnsi="Arial"/>
          <w:sz w:val="23"/>
          <w:szCs w:val="23"/>
          <w:color w:val="auto"/>
          <w:vertAlign w:val="superscript"/>
        </w:rPr>
        <w:t>SM</w:t>
      </w:r>
      <w:r>
        <w:rPr>
          <w:rFonts w:ascii="Arial" w:cs="Arial" w:eastAsia="Arial" w:hAnsi="Arial"/>
          <w:sz w:val="16"/>
          <w:szCs w:val="16"/>
          <w:color w:val="auto"/>
        </w:rPr>
        <w:t>, dated June 5, 2020 (the “Sales Agreement” and together with the Amendment, the “Amended Sales Agreement”) with Jefferies LLC (“Jefferies”), pursuant to which the Company may offer and sell, from time to time, through Jefferies, shares of its common stock, par value $0.001 per share (the “Common Stock”). In connection with the Amendment, the Company intends to file a new shelf registration statement on Form S-3 (the “New Registration Statement”). The controlling provisions of the Amendment will become effective at the time the Securities and Exchange Commission (the “SEC”) declares the New Registration Statement effective. Following the effectiveness of the New Registration Statement, the Amended Sales Agreement will provide for the issuance and sales of shares of Common Stock having an aggregate offering price of up to</w:t>
      </w:r>
    </w:p>
    <w:p>
      <w:pPr>
        <w:spacing w:after="0" w:line="4"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$100.0 million through Jefferies, which amount includes any unsold shares of Common Stock previously available for sale under the Sales Agreement prior to the effectiveness of the New Registration Statement (the “Amended Sales Agreement Shares”). Sales of Common Stock, if any, under the Amended Sales Agreement will be made in sales deemed to be an “at-the-market offering” as defined in Rule 415(a)(4) promulgated under the Securities Act of 1933, as amended. The foregoing description of the Amended Sales Agreement is not complete and is qualified in its entirety by reference to the Sales Agreement, a copy of which was filed as Exhibit 1.2 to the Company’s Form S-3 filed with the SEC on June 5, 2020, and the Amendment, which is filed as Exhibit 1.1 hereto, and in each case incorporated herein by reference.</w:t>
      </w:r>
    </w:p>
    <w:p>
      <w:pPr>
        <w:spacing w:after="0" w:line="32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140" w:type="dxa"/>
            <w:vAlign w:val="bottom"/>
            <w:tcBorders>
              <w:bottom w:val="single" w:sz="8" w:color="auto"/>
            </w:tcBorders>
            <w:gridSpan w:val="2"/>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1.1</w:t>
            </w:r>
          </w:p>
        </w:tc>
        <w:tc>
          <w:tcPr>
            <w:tcW w:w="10140" w:type="dxa"/>
            <w:vAlign w:val="bottom"/>
            <w:gridSpan w:val="2"/>
          </w:tcPr>
          <w:p>
            <w:pPr>
              <w:spacing w:after="0" w:line="277" w:lineRule="exact"/>
              <w:rPr>
                <w:sz w:val="20"/>
                <w:szCs w:val="20"/>
                <w:color w:val="auto"/>
              </w:rPr>
            </w:pPr>
            <w:r>
              <w:rPr>
                <w:rFonts w:ascii="Arial" w:cs="Arial" w:eastAsia="Arial" w:hAnsi="Arial"/>
                <w:sz w:val="18"/>
                <w:szCs w:val="18"/>
                <w:color w:val="0000EE"/>
              </w:rPr>
              <w:t>Amendment No. 1 to Open Market Sale Agreement</w:t>
            </w:r>
            <w:r>
              <w:rPr>
                <w:rFonts w:ascii="Arial" w:cs="Arial" w:eastAsia="Arial" w:hAnsi="Arial"/>
                <w:sz w:val="26"/>
                <w:szCs w:val="26"/>
                <w:color w:val="0000EE"/>
                <w:vertAlign w:val="superscript"/>
              </w:rPr>
              <w:t>SM</w:t>
            </w:r>
            <w:r>
              <w:rPr>
                <w:rFonts w:ascii="Arial" w:cs="Arial" w:eastAsia="Arial" w:hAnsi="Arial"/>
                <w:sz w:val="18"/>
                <w:szCs w:val="18"/>
                <w:color w:val="0000EE"/>
              </w:rPr>
              <w:t>, dated June 7, 2023, between the Company and Jefferies.</w:t>
            </w:r>
          </w:p>
        </w:tc>
      </w:tr>
      <w:tr>
        <w:trPr>
          <w:trHeight w:val="345"/>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80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100" w:type="dxa"/>
            <w:vAlign w:val="bottom"/>
          </w:tcPr>
          <w:p>
            <w:pPr>
              <w:spacing w:after="0"/>
              <w:rPr>
                <w:sz w:val="24"/>
                <w:szCs w:val="24"/>
                <w:color w:val="auto"/>
              </w:rPr>
            </w:pPr>
          </w:p>
        </w:tc>
      </w:tr>
    </w:tbl>
    <w:p>
      <w:pPr>
        <w:sectPr>
          <w:pgSz w:w="11900" w:h="16838" w:orient="portrait"/>
          <w:cols w:equalWidth="0" w:num="1">
            <w:col w:w="11020"/>
          </w:cols>
          <w:pgMar w:left="440" w:top="513"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June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Siobhan Nolan Mangini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0980"/>
          </w:cols>
          <w:pgMar w:left="440" w:top="513"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THE OPEN MARKET SALE AGREEMENT</w:t>
      </w:r>
      <w:r>
        <w:rPr>
          <w:rFonts w:ascii="Arial" w:cs="Arial" w:eastAsia="Arial" w:hAnsi="Arial"/>
          <w:sz w:val="26"/>
          <w:szCs w:val="26"/>
          <w:b w:val="1"/>
          <w:bCs w:val="1"/>
          <w:color w:val="auto"/>
          <w:vertAlign w:val="superscript"/>
        </w:rPr>
        <w:t>SM</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00" w:firstLine="440"/>
        <w:spacing w:after="0" w:line="209" w:lineRule="auto"/>
        <w:rPr>
          <w:sz w:val="20"/>
          <w:szCs w:val="20"/>
          <w:color w:val="auto"/>
        </w:rPr>
      </w:pPr>
      <w:r>
        <w:rPr>
          <w:rFonts w:ascii="Arial" w:cs="Arial" w:eastAsia="Arial" w:hAnsi="Arial"/>
          <w:sz w:val="18"/>
          <w:szCs w:val="18"/>
          <w:color w:val="auto"/>
        </w:rPr>
        <w:t>This Amendment No. 1 to the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date first written above by NGM Biopharmaceuticals,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Jefferies LLC (the “</w:t>
      </w:r>
      <w:r>
        <w:rPr>
          <w:rFonts w:ascii="Arial" w:cs="Arial" w:eastAsia="Arial" w:hAnsi="Arial"/>
          <w:sz w:val="18"/>
          <w:szCs w:val="18"/>
          <w:b w:val="1"/>
          <w:bCs w:val="1"/>
          <w:color w:val="auto"/>
        </w:rPr>
        <w:t>Agent</w:t>
      </w:r>
      <w:r>
        <w:rPr>
          <w:rFonts w:ascii="Arial" w:cs="Arial" w:eastAsia="Arial" w:hAnsi="Arial"/>
          <w:sz w:val="18"/>
          <w:szCs w:val="18"/>
          <w:color w:val="auto"/>
        </w:rPr>
        <w:t>”), who are parties to that certain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dated June 5, 2020 (the “</w:t>
      </w:r>
      <w:r>
        <w:rPr>
          <w:rFonts w:ascii="Arial" w:cs="Arial" w:eastAsia="Arial" w:hAnsi="Arial"/>
          <w:sz w:val="18"/>
          <w:szCs w:val="18"/>
          <w:b w:val="1"/>
          <w:bCs w:val="1"/>
          <w:color w:val="auto"/>
        </w:rPr>
        <w:t>Original Agreement</w:t>
      </w:r>
      <w:r>
        <w:rPr>
          <w:rFonts w:ascii="Arial" w:cs="Arial" w:eastAsia="Arial" w:hAnsi="Arial"/>
          <w:sz w:val="18"/>
          <w:szCs w:val="18"/>
          <w:color w:val="auto"/>
        </w:rPr>
        <w:t>”) relating to the offering of up to $150,000,000 of the Company’s Common Shares (as defined below).</w:t>
      </w:r>
    </w:p>
    <w:p>
      <w:pPr>
        <w:spacing w:after="0" w:line="203"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On the date hereof, the Company has filed or will file with the Commission a shelf registration statement on Form S-3 that contains a base prospectus as well as a sales agreement prospectus covering the offering, issuance and sale by the Company of Common Shares having an aggregate offering price of up to $100,000,000 (the “</w:t>
      </w:r>
      <w:r>
        <w:rPr>
          <w:rFonts w:ascii="Arial" w:cs="Arial" w:eastAsia="Arial" w:hAnsi="Arial"/>
          <w:sz w:val="18"/>
          <w:szCs w:val="18"/>
          <w:b w:val="1"/>
          <w:bCs w:val="1"/>
          <w:color w:val="auto"/>
        </w:rPr>
        <w:t>2023 Registration Statement</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capitalized terms not defined herein shall have the meanings ascribed to them in the Original Agreement.</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u w:val="single" w:color="auto"/>
          <w:color w:val="auto"/>
        </w:rPr>
        <w:t>The parties, intending to be legally bound, hereby amend the Original Agreement, effective immediately upon the 2023 Registration Statement being declared effective by the Commission, as follows: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preamble to the Original Agreement is hereby deleted in its entirety and replaced with the following:</w:t>
      </w:r>
    </w:p>
    <w:p>
      <w:pPr>
        <w:spacing w:after="0" w:line="113" w:lineRule="exact"/>
        <w:rPr>
          <w:sz w:val="20"/>
          <w:szCs w:val="20"/>
          <w:color w:val="auto"/>
        </w:rPr>
      </w:pPr>
    </w:p>
    <w:p>
      <w:pPr>
        <w:ind w:left="440" w:right="60"/>
        <w:spacing w:after="0" w:line="261" w:lineRule="auto"/>
        <w:rPr>
          <w:sz w:val="20"/>
          <w:szCs w:val="20"/>
          <w:color w:val="auto"/>
        </w:rPr>
      </w:pPr>
      <w:r>
        <w:rPr>
          <w:rFonts w:ascii="Arial" w:cs="Arial" w:eastAsia="Arial" w:hAnsi="Arial"/>
          <w:sz w:val="18"/>
          <w:szCs w:val="18"/>
          <w:color w:val="auto"/>
        </w:rPr>
        <w:t>“NGM Biopharmaceuticals,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subject to the terms and conditions stated herein, to issue and sell from time to time through Jefferies LLC, as sales agent and/or principal (the “</w:t>
      </w:r>
      <w:r>
        <w:rPr>
          <w:rFonts w:ascii="Arial" w:cs="Arial" w:eastAsia="Arial" w:hAnsi="Arial"/>
          <w:sz w:val="18"/>
          <w:szCs w:val="18"/>
          <w:b w:val="1"/>
          <w:bCs w:val="1"/>
          <w:color w:val="auto"/>
        </w:rPr>
        <w:t>Agent</w:t>
      </w:r>
      <w:r>
        <w:rPr>
          <w:rFonts w:ascii="Arial" w:cs="Arial" w:eastAsia="Arial" w:hAnsi="Arial"/>
          <w:sz w:val="18"/>
          <w:szCs w:val="18"/>
          <w:color w:val="auto"/>
        </w:rPr>
        <w:t>”), shares of the Company’s common stock, par value $0.001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having an aggregate offering price of up to $100,000,000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The last sentence in Section 2(p) of the Original Agreement is hereby deleted in its entirety and replaced with the following:</w:t>
      </w:r>
    </w:p>
    <w:p>
      <w:pPr>
        <w:spacing w:after="0" w:line="117" w:lineRule="exact"/>
        <w:rPr>
          <w:sz w:val="20"/>
          <w:szCs w:val="20"/>
          <w:color w:val="auto"/>
        </w:rPr>
      </w:pPr>
    </w:p>
    <w:p>
      <w:pPr>
        <w:ind w:left="440" w:right="440"/>
        <w:spacing w:after="0" w:line="277" w:lineRule="auto"/>
        <w:rPr>
          <w:sz w:val="20"/>
          <w:szCs w:val="20"/>
          <w:color w:val="auto"/>
        </w:rPr>
      </w:pPr>
      <w:r>
        <w:rPr>
          <w:rFonts w:ascii="Arial" w:cs="Arial" w:eastAsia="Arial" w:hAnsi="Arial"/>
          <w:sz w:val="18"/>
          <w:szCs w:val="18"/>
          <w:color w:val="auto"/>
        </w:rPr>
        <w:t>“The Company does not own or control, directly or indirectly, any corporation, association or other entity other than the subsidiaries listed in Exhibit 21.1 to the Company’s Annual Report on Form 10-K for the fiscal year ended December 31,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 w:right="540" w:hanging="4"/>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notice provision of Agent’s counsel in Section 8(d) in the Original Agreement is hereby deleted in its entirety and replaced with the following:</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1600 El Camino Real</w:t>
      </w:r>
    </w:p>
    <w:p>
      <w:pPr>
        <w:spacing w:after="0" w:line="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Attention: Stephen Salmon</w:t>
      </w:r>
    </w:p>
    <w:p>
      <w:pPr>
        <w:spacing w:after="0" w:line="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stephen.salmon@davispolk.com</w:t>
      </w:r>
      <w:r>
        <w:rPr>
          <w:rFonts w:ascii="Arial" w:cs="Arial" w:eastAsia="Arial" w:hAnsi="Arial"/>
          <w:sz w:val="18"/>
          <w:szCs w:val="18"/>
          <w:color w:val="auto"/>
        </w:rPr>
        <w:t>”</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4. The first paragraph in Exhibit A to the Original Agreement is hereby deleted in its entirety and replaced with the following:</w:t>
      </w:r>
    </w:p>
    <w:p>
      <w:pPr>
        <w:spacing w:after="0" w:line="113" w:lineRule="exact"/>
        <w:rPr>
          <w:sz w:val="20"/>
          <w:szCs w:val="20"/>
          <w:color w:val="auto"/>
        </w:rPr>
      </w:pPr>
    </w:p>
    <w:p>
      <w:pPr>
        <w:jc w:val="both"/>
        <w:ind w:left="4" w:right="480"/>
        <w:spacing w:after="0" w:line="266" w:lineRule="auto"/>
        <w:rPr>
          <w:sz w:val="20"/>
          <w:szCs w:val="20"/>
          <w:color w:val="auto"/>
        </w:rPr>
      </w:pPr>
      <w:r>
        <w:rPr>
          <w:rFonts w:ascii="Arial" w:cs="Arial" w:eastAsia="Arial" w:hAnsi="Arial"/>
          <w:sz w:val="18"/>
          <w:szCs w:val="18"/>
          <w:color w:val="auto"/>
        </w:rPr>
        <w:t>“Reference is made to the Open Market Sale Agreement between NGM Biopharmaceuticals,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and Jefferies LLC (the “</w:t>
      </w:r>
      <w:r>
        <w:rPr>
          <w:rFonts w:ascii="Arial" w:cs="Arial" w:eastAsia="Arial" w:hAnsi="Arial"/>
          <w:sz w:val="18"/>
          <w:szCs w:val="18"/>
          <w:b w:val="1"/>
          <w:bCs w:val="1"/>
          <w:color w:val="auto"/>
        </w:rPr>
        <w:t>Agent</w:t>
      </w:r>
      <w:r>
        <w:rPr>
          <w:rFonts w:ascii="Arial" w:cs="Arial" w:eastAsia="Arial" w:hAnsi="Arial"/>
          <w:sz w:val="18"/>
          <w:szCs w:val="18"/>
          <w:color w:val="auto"/>
        </w:rPr>
        <w:t>”) dated as of June 5, 2020, as amended by Amendment No. 1, dated June 7, 2023. The Company confirms that all conditions to the delivery of this Issuance Notice are satisfied as of the date hereof.”</w:t>
      </w:r>
    </w:p>
    <w:p>
      <w:pPr>
        <w:spacing w:after="0" w:line="72" w:lineRule="exact"/>
        <w:rPr>
          <w:sz w:val="20"/>
          <w:szCs w:val="20"/>
          <w:color w:val="auto"/>
        </w:rPr>
      </w:pPr>
    </w:p>
    <w:p>
      <w:pPr>
        <w:ind w:left="4" w:hanging="4"/>
        <w:spacing w:after="0" w:line="254" w:lineRule="auto"/>
        <w:tabs>
          <w:tab w:leader="none" w:pos="174"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references in the Original Agreement to the “Agreement” shall mean the Original Agreement as amended by this Amendment; provided, however, that all references to “date of this Agreement” in the Original Agreement shall continue to refer to the date of the Original Agreement, unless amended otherwise herein and except with respect to the first paragraph of Section 2, Section 2(b) “Compliance with Registration Requirements,” Section 2(x) “Tax Law Compliance,” Section 4(f) “Free Writing Prospectus,” Section 4(j) “Earnings Statements,” Section 4(p) “Legal Opinions,” Section 4(q) “Comfort Letter,” Section 4(v) “Notice of Other Sale,” Section 5(v) “Agent Counsel Opinion and Negative Assurance Letter” and Section 8(a) “Press Release and Disclosure,” where references to “date of this Agreement” in the Original Agreement shall refer to each of the date of the Original Agreement, the date of this Amendment and the date of the effectiveness of the 2023 Registration Statement.</w:t>
      </w:r>
    </w:p>
    <w:p>
      <w:pPr>
        <w:spacing w:after="0" w:line="124"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4"/>
          </w:cols>
          <w:pgMar w:left="876" w:top="490" w:right="5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parties, intending to be legally bound, hereby further agree:</w:t>
      </w:r>
    </w:p>
    <w:p>
      <w:pPr>
        <w:spacing w:after="0" w:line="117" w:lineRule="exact"/>
        <w:rPr>
          <w:sz w:val="20"/>
          <w:szCs w:val="20"/>
          <w:color w:val="auto"/>
        </w:rPr>
      </w:pPr>
    </w:p>
    <w:p>
      <w:pPr>
        <w:ind w:left="4" w:right="260" w:hanging="4"/>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Amendment has been duly authorized, executed and delivered by, and is a valid and binding agreement of, the Company, enforceable in accordance with its term.</w:t>
      </w:r>
    </w:p>
    <w:p>
      <w:pPr>
        <w:spacing w:after="0" w:line="62" w:lineRule="exact"/>
        <w:rPr>
          <w:rFonts w:ascii="Arial" w:cs="Arial" w:eastAsia="Arial" w:hAnsi="Arial"/>
          <w:sz w:val="18"/>
          <w:szCs w:val="18"/>
          <w:color w:val="auto"/>
        </w:rPr>
      </w:pPr>
    </w:p>
    <w:p>
      <w:pPr>
        <w:ind w:left="4" w:hanging="4"/>
        <w:spacing w:after="0" w:line="269"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Amendment shall be governed by and construed in accordance with the internal laws of the State of New York applicable to agreements made and to be performed in such state. Any legal suit, action or proceeding arising out of or based upon this Amendment or the transactions contemplated hereby or by the Original Agreement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in the Original Agreement, as amended by this Amendment,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73" w:lineRule="exact"/>
        <w:rPr>
          <w:rFonts w:ascii="Arial" w:cs="Arial" w:eastAsia="Arial" w:hAnsi="Arial"/>
          <w:sz w:val="17"/>
          <w:szCs w:val="17"/>
          <w:color w:val="auto"/>
        </w:rPr>
      </w:pPr>
    </w:p>
    <w:p>
      <w:pPr>
        <w:ind w:left="4" w:right="20" w:hanging="4"/>
        <w:spacing w:after="0" w:line="259"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Original Agreement, as amended by this Amendment, supersedes all prior written or oral and all contemporaneous oral agreements, understandings and negotiations with respect to the subject matter hereof. This Amendment may not be amended or modified unless in writing by all of the parties hereto, and no condition herein (express or implied) may be waived unless waived in writing by each party whom the condition is meant to benefit.</w:t>
      </w:r>
    </w:p>
    <w:p>
      <w:pPr>
        <w:spacing w:after="0" w:line="78" w:lineRule="exact"/>
        <w:rPr>
          <w:rFonts w:ascii="Arial" w:cs="Arial" w:eastAsia="Arial" w:hAnsi="Arial"/>
          <w:sz w:val="18"/>
          <w:szCs w:val="18"/>
          <w:color w:val="auto"/>
        </w:rPr>
      </w:pPr>
    </w:p>
    <w:p>
      <w:pPr>
        <w:ind w:left="4" w:right="40" w:hanging="4"/>
        <w:spacing w:after="0" w:line="259"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invalidity or unenforceability of any section, paragraph or provision of this Amendment shall not affect the validity or enforceability of any other section, paragraph or provision hereof. If any section, paragraph or provision of this Amendment is for any reason determined to be invalid or unenforceable, there shall be deemed to be made such minor changes (and only such minor changes) as are necessary to make it valid and enforceable.</w:t>
      </w:r>
    </w:p>
    <w:p>
      <w:pPr>
        <w:spacing w:after="0" w:line="78" w:lineRule="exact"/>
        <w:rPr>
          <w:rFonts w:ascii="Arial" w:cs="Arial" w:eastAsia="Arial" w:hAnsi="Arial"/>
          <w:sz w:val="18"/>
          <w:szCs w:val="18"/>
          <w:color w:val="auto"/>
        </w:rPr>
      </w:pPr>
    </w:p>
    <w:p>
      <w:pPr>
        <w:ind w:left="4" w:right="40" w:hanging="4"/>
        <w:spacing w:after="0" w:line="273"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Amendment may be executed in any number of counterparts, each of which shall be deemed to be an original, but all such counterparts shall together constitute one and the same instrument. Delivery of an executed amendment by one party to the other may be made by facsimile, electronic mail or other transmission method as permitted by applicable law, and the parties hereto agree that any counterpart so delivered shall be deemed to have been duly and validly delivered and be valid and effective for all purposes. A party’s electronic signature (complying with the New York Electronic Signatures and Records Act (N.Y. State Tech. §§ 301-309), as amended from time to time, or other applicable law) of this Amendment shall have the same validity and effect as a signature affixed by the party’s hand.</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4"/>
          </w:cols>
          <w:pgMar w:left="876" w:top="490" w:right="459" w:bottom="1440" w:gutter="0" w:footer="0" w:header="0"/>
        </w:sectPr>
      </w:pPr>
    </w:p>
    <w:bookmarkStart w:id="6" w:name="page7"/>
    <w:bookmarkEnd w:id="6"/>
    <w:p>
      <w:pPr>
        <w:jc w:val="both"/>
        <w:ind w:left="4" w:hanging="4"/>
        <w:spacing w:after="0" w:line="263" w:lineRule="auto"/>
        <w:tabs>
          <w:tab w:leader="none" w:pos="184"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Notwithstanding anything to the contrary contained herein, this Amendment will automatically terminate upon the earliest to occur of (A) the Company advising the Agent in writing that it has determined not to proceed with the 2023 Registration Statement or (B) August 9, 2023, if the 2023 Registration Statement has not been declared effective by the Commission by such date.</w:t>
      </w:r>
    </w:p>
    <w:p>
      <w:pPr>
        <w:spacing w:after="0" w:line="184"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[Remainder of Page Intentionally Blank]</w:t>
      </w:r>
    </w:p>
    <w:p>
      <w:pPr>
        <w:spacing w:after="0" w:line="158"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44"/>
          </w:cols>
          <w:pgMar w:left="876" w:top="490" w:right="679" w:bottom="1440" w:gutter="0" w:footer="0" w:header="0"/>
        </w:sectPr>
      </w:pPr>
    </w:p>
    <w:bookmarkStart w:id="7" w:name="page8"/>
    <w:bookmarkEnd w:id="7"/>
    <w:p>
      <w:pPr>
        <w:ind w:right="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amendment to the Original Agreement between the Company and the Agent.</w:t>
      </w:r>
    </w:p>
    <w:p>
      <w:pPr>
        <w:spacing w:after="0" w:line="17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Magarro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Michael Magarro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ACCEPTED as of the date first-above written:</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Siobhan Nolan Mangini</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Siobhan Nolan Mangini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 and Chief Financial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Amendment No.1 to the Sales Agreement]</w:t>
      </w:r>
    </w:p>
    <w:sectPr>
      <w:pgSz w:w="11900" w:h="16838" w:orient="portrait"/>
      <w:cols w:equalWidth="0" w:num="1">
        <w:col w:w="11020"/>
      </w:cols>
      <w:pgMar w:left="440" w:top="49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2023-06-08T05:20:46Z</dcterms:created>
  <dcterms:modified xsi:type="dcterms:W3CDTF">2023-06-08T05:20:46Z</dcterms:modified>
</cp:coreProperties>
</file>