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134620</wp:posOffset>
            </wp:positionH>
            <wp:positionV relativeFrom="page">
              <wp:posOffset>186055</wp:posOffset>
            </wp:positionV>
            <wp:extent cx="7292340"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92340" cy="5715"/>
                    </a:xfrm>
                    <a:prstGeom prst="rect">
                      <a:avLst/>
                    </a:prstGeom>
                    <a:noFill/>
                  </pic:spPr>
                </pic:pic>
              </a:graphicData>
            </a:graphic>
          </wp:anchor>
        </w:drawing>
        <w:drawing>
          <wp:anchor simplePos="0" relativeHeight="251657728" behindDoc="1" locked="0" layoutInCell="0" allowOverlap="1">
            <wp:simplePos x="0" y="0"/>
            <wp:positionH relativeFrom="page">
              <wp:posOffset>134620</wp:posOffset>
            </wp:positionH>
            <wp:positionV relativeFrom="page">
              <wp:posOffset>198120</wp:posOffset>
            </wp:positionV>
            <wp:extent cx="729234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92340" cy="5715"/>
                    </a:xfrm>
                    <a:prstGeom prst="rect">
                      <a:avLst/>
                    </a:prstGeom>
                    <a:noFill/>
                  </pic:spPr>
                </pic:pic>
              </a:graphicData>
            </a:graphic>
          </wp:anchor>
        </w:drawing>
        <w:t>UNITED STATES</w:t>
      </w:r>
    </w:p>
    <w:p>
      <w:pPr>
        <w:spacing w:after="0" w:line="7" w:lineRule="exact"/>
        <w:rPr>
          <w:sz w:val="24"/>
          <w:szCs w:val="24"/>
          <w:color w:val="auto"/>
        </w:rPr>
      </w:pPr>
    </w:p>
    <w:p>
      <w:pPr>
        <w:jc w:val="center"/>
        <w:ind w:right="-7"/>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7"/>
        <w:spacing w:after="0"/>
        <w:rPr>
          <w:sz w:val="20"/>
          <w:szCs w:val="20"/>
          <w:color w:val="auto"/>
        </w:rPr>
      </w:pPr>
      <w:r>
        <w:rPr>
          <w:rFonts w:ascii="Arial" w:cs="Arial" w:eastAsia="Arial" w:hAnsi="Arial"/>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2917825</wp:posOffset>
            </wp:positionH>
            <wp:positionV relativeFrom="paragraph">
              <wp:posOffset>105410</wp:posOffset>
            </wp:positionV>
            <wp:extent cx="1456055"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56055" cy="5715"/>
                    </a:xfrm>
                    <a:prstGeom prst="rect">
                      <a:avLst/>
                    </a:prstGeom>
                    <a:noFill/>
                  </pic:spPr>
                </pic:pic>
              </a:graphicData>
            </a:graphic>
          </wp:anchor>
        </w:drawing>
      </w:r>
    </w:p>
    <w:p>
      <w:pPr>
        <w:spacing w:after="0" w:line="236" w:lineRule="exact"/>
        <w:rPr>
          <w:sz w:val="24"/>
          <w:szCs w:val="24"/>
          <w:color w:val="auto"/>
        </w:rPr>
      </w:pPr>
    </w:p>
    <w:p>
      <w:pPr>
        <w:jc w:val="center"/>
        <w:ind w:right="-7"/>
        <w:spacing w:after="0"/>
        <w:rPr>
          <w:sz w:val="20"/>
          <w:szCs w:val="20"/>
          <w:color w:val="auto"/>
        </w:rPr>
      </w:pPr>
      <w:r>
        <w:rPr>
          <w:rFonts w:ascii="Arial" w:cs="Arial" w:eastAsia="Arial" w:hAnsi="Arial"/>
          <w:sz w:val="22"/>
          <w:szCs w:val="2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2917825</wp:posOffset>
            </wp:positionH>
            <wp:positionV relativeFrom="paragraph">
              <wp:posOffset>109220</wp:posOffset>
            </wp:positionV>
            <wp:extent cx="1456055"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56055" cy="5715"/>
                    </a:xfrm>
                    <a:prstGeom prst="rect">
                      <a:avLst/>
                    </a:prstGeom>
                    <a:noFill/>
                  </pic:spPr>
                </pic:pic>
              </a:graphicData>
            </a:graphic>
          </wp:anchor>
        </w:drawing>
      </w:r>
    </w:p>
    <w:p>
      <w:pPr>
        <w:spacing w:after="0" w:line="251" w:lineRule="exact"/>
        <w:rPr>
          <w:sz w:val="24"/>
          <w:szCs w:val="24"/>
          <w:color w:val="auto"/>
        </w:rPr>
      </w:pPr>
    </w:p>
    <w:p>
      <w:pPr>
        <w:jc w:val="center"/>
        <w:ind w:right="-7"/>
        <w:spacing w:after="0"/>
        <w:rPr>
          <w:sz w:val="20"/>
          <w:szCs w:val="20"/>
          <w:color w:val="auto"/>
        </w:rPr>
      </w:pPr>
      <w:r>
        <w:rPr>
          <w:rFonts w:ascii="Arial" w:cs="Arial" w:eastAsia="Arial" w:hAnsi="Arial"/>
          <w:sz w:val="14"/>
          <w:szCs w:val="14"/>
          <w:b w:val="1"/>
          <w:bCs w:val="1"/>
          <w:color w:val="auto"/>
        </w:rPr>
        <w:t>CURRENT REPORT</w:t>
      </w:r>
    </w:p>
    <w:p>
      <w:pPr>
        <w:spacing w:after="0" w:line="110" w:lineRule="exact"/>
        <w:rPr>
          <w:sz w:val="24"/>
          <w:szCs w:val="24"/>
          <w:color w:val="auto"/>
        </w:rPr>
      </w:pPr>
    </w:p>
    <w:p>
      <w:pPr>
        <w:jc w:val="center"/>
        <w:ind w:right="-7"/>
        <w:spacing w:after="0"/>
        <w:rPr>
          <w:sz w:val="20"/>
          <w:szCs w:val="20"/>
          <w:color w:val="auto"/>
        </w:rPr>
      </w:pPr>
      <w:r>
        <w:rPr>
          <w:rFonts w:ascii="Arial" w:cs="Arial" w:eastAsia="Arial" w:hAnsi="Arial"/>
          <w:sz w:val="14"/>
          <w:szCs w:val="14"/>
          <w:b w:val="1"/>
          <w:bCs w:val="1"/>
          <w:color w:val="auto"/>
        </w:rPr>
        <w:t>Pursuant to Section 13 or 15(d) of the Securities Exchange Act of 1934</w:t>
      </w:r>
    </w:p>
    <w:p>
      <w:pPr>
        <w:spacing w:after="0" w:line="115" w:lineRule="exact"/>
        <w:rPr>
          <w:sz w:val="24"/>
          <w:szCs w:val="24"/>
          <w:color w:val="auto"/>
        </w:rPr>
      </w:pPr>
    </w:p>
    <w:p>
      <w:pPr>
        <w:jc w:val="center"/>
        <w:ind w:right="-7"/>
        <w:spacing w:after="0"/>
        <w:rPr>
          <w:sz w:val="20"/>
          <w:szCs w:val="20"/>
          <w:color w:val="auto"/>
        </w:rPr>
      </w:pPr>
      <w:r>
        <w:rPr>
          <w:rFonts w:ascii="Arial" w:cs="Arial" w:eastAsia="Arial" w:hAnsi="Arial"/>
          <w:sz w:val="12"/>
          <w:szCs w:val="12"/>
          <w:b w:val="1"/>
          <w:bCs w:val="1"/>
          <w:color w:val="auto"/>
        </w:rPr>
        <w:t>Date of Report (Date of earliest event reported): January 13,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2917825</wp:posOffset>
            </wp:positionH>
            <wp:positionV relativeFrom="paragraph">
              <wp:posOffset>109855</wp:posOffset>
            </wp:positionV>
            <wp:extent cx="1456055"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56055" cy="5715"/>
                    </a:xfrm>
                    <a:prstGeom prst="rect">
                      <a:avLst/>
                    </a:prstGeom>
                    <a:noFill/>
                  </pic:spPr>
                </pic:pic>
              </a:graphicData>
            </a:graphic>
          </wp:anchor>
        </w:drawing>
      </w:r>
    </w:p>
    <w:p>
      <w:pPr>
        <w:spacing w:after="0" w:line="243" w:lineRule="exact"/>
        <w:rPr>
          <w:sz w:val="24"/>
          <w:szCs w:val="24"/>
          <w:color w:val="auto"/>
        </w:rPr>
      </w:pPr>
    </w:p>
    <w:p>
      <w:pPr>
        <w:jc w:val="center"/>
        <w:ind w:right="-7"/>
        <w:spacing w:after="0"/>
        <w:rPr>
          <w:sz w:val="20"/>
          <w:szCs w:val="20"/>
          <w:color w:val="auto"/>
        </w:rPr>
      </w:pPr>
      <w:r>
        <w:rPr>
          <w:rFonts w:ascii="Arial" w:cs="Arial" w:eastAsia="Arial" w:hAnsi="Arial"/>
          <w:sz w:val="29"/>
          <w:szCs w:val="29"/>
          <w:b w:val="1"/>
          <w:bCs w:val="1"/>
          <w:color w:val="auto"/>
        </w:rPr>
        <w:t>NGM Biopharmaceuticals, Inc.</w:t>
      </w:r>
    </w:p>
    <w:p>
      <w:pPr>
        <w:spacing w:after="0" w:line="29" w:lineRule="exact"/>
        <w:rPr>
          <w:sz w:val="24"/>
          <w:szCs w:val="24"/>
          <w:color w:val="auto"/>
        </w:rPr>
      </w:pPr>
    </w:p>
    <w:p>
      <w:pPr>
        <w:jc w:val="center"/>
        <w:ind w:right="-7"/>
        <w:spacing w:after="0"/>
        <w:rPr>
          <w:sz w:val="20"/>
          <w:szCs w:val="20"/>
          <w:color w:val="auto"/>
        </w:rPr>
      </w:pPr>
      <w:r>
        <w:rPr>
          <w:rFonts w:ascii="Arial" w:cs="Arial" w:eastAsia="Arial" w:hAnsi="Arial"/>
          <w:sz w:val="9"/>
          <w:szCs w:val="9"/>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2917825</wp:posOffset>
            </wp:positionH>
            <wp:positionV relativeFrom="paragraph">
              <wp:posOffset>106045</wp:posOffset>
            </wp:positionV>
            <wp:extent cx="1456055"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56055" cy="5715"/>
                    </a:xfrm>
                    <a:prstGeom prst="rect">
                      <a:avLst/>
                    </a:prstGeom>
                    <a:noFill/>
                  </pic:spPr>
                </pic:pic>
              </a:graphicData>
            </a:graphic>
          </wp:anchor>
        </w:drawing>
      </w:r>
    </w:p>
    <w:p>
      <w:pPr>
        <w:spacing w:after="0" w:line="296" w:lineRule="exact"/>
        <w:rPr>
          <w:sz w:val="24"/>
          <w:szCs w:val="24"/>
          <w:color w:val="auto"/>
        </w:rPr>
      </w:pPr>
    </w:p>
    <w:tbl>
      <w:tblPr>
        <w:tblLayout w:type="fixed"/>
        <w:tblInd w:w="1128" w:type="dxa"/>
        <w:tblCellMar>
          <w:top w:w="0" w:type="dxa"/>
          <w:left w:w="0" w:type="dxa"/>
          <w:bottom w:w="0" w:type="dxa"/>
          <w:right w:w="0" w:type="dxa"/>
        </w:tblCellMar>
      </w:tblPr>
      <w:tr>
        <w:trPr>
          <w:trHeight w:val="148"/>
        </w:trPr>
        <w:tc>
          <w:tcPr>
            <w:tcW w:w="2480" w:type="dxa"/>
            <w:vAlign w:val="bottom"/>
          </w:tcPr>
          <w:p>
            <w:pPr>
              <w:jc w:val="center"/>
              <w:ind w:right="787"/>
              <w:spacing w:after="0"/>
              <w:rPr>
                <w:sz w:val="20"/>
                <w:szCs w:val="20"/>
                <w:color w:val="auto"/>
              </w:rPr>
            </w:pPr>
            <w:r>
              <w:rPr>
                <w:rFonts w:ascii="Arial" w:cs="Arial" w:eastAsia="Arial" w:hAnsi="Arial"/>
                <w:sz w:val="12"/>
                <w:szCs w:val="12"/>
                <w:b w:val="1"/>
                <w:bCs w:val="1"/>
                <w:color w:val="auto"/>
                <w:w w:val="91"/>
              </w:rPr>
              <w:t>Delaware</w:t>
            </w:r>
          </w:p>
        </w:tc>
        <w:tc>
          <w:tcPr>
            <w:tcW w:w="4480" w:type="dxa"/>
            <w:vAlign w:val="bottom"/>
          </w:tcPr>
          <w:p>
            <w:pPr>
              <w:jc w:val="center"/>
              <w:ind w:right="187"/>
              <w:spacing w:after="0"/>
              <w:rPr>
                <w:sz w:val="20"/>
                <w:szCs w:val="20"/>
                <w:color w:val="auto"/>
              </w:rPr>
            </w:pPr>
            <w:r>
              <w:rPr>
                <w:rFonts w:ascii="Arial" w:cs="Arial" w:eastAsia="Arial" w:hAnsi="Arial"/>
                <w:sz w:val="12"/>
                <w:szCs w:val="12"/>
                <w:b w:val="1"/>
                <w:bCs w:val="1"/>
                <w:color w:val="auto"/>
                <w:w w:val="90"/>
              </w:rPr>
              <w:t>001-38853</w:t>
            </w:r>
          </w:p>
        </w:tc>
        <w:tc>
          <w:tcPr>
            <w:tcW w:w="1800" w:type="dxa"/>
            <w:vAlign w:val="bottom"/>
          </w:tcPr>
          <w:p>
            <w:pPr>
              <w:jc w:val="right"/>
              <w:ind w:right="29"/>
              <w:spacing w:after="0"/>
              <w:rPr>
                <w:sz w:val="20"/>
                <w:szCs w:val="20"/>
                <w:color w:val="auto"/>
              </w:rPr>
            </w:pPr>
            <w:r>
              <w:rPr>
                <w:rFonts w:ascii="Arial" w:cs="Arial" w:eastAsia="Arial" w:hAnsi="Arial"/>
                <w:sz w:val="12"/>
                <w:szCs w:val="12"/>
                <w:b w:val="1"/>
                <w:bCs w:val="1"/>
                <w:color w:val="auto"/>
              </w:rPr>
              <w:t>26-1679911</w:t>
            </w:r>
          </w:p>
        </w:tc>
      </w:tr>
      <w:tr>
        <w:trPr>
          <w:trHeight w:val="99"/>
        </w:trPr>
        <w:tc>
          <w:tcPr>
            <w:tcW w:w="2480" w:type="dxa"/>
            <w:vAlign w:val="bottom"/>
          </w:tcPr>
          <w:p>
            <w:pPr>
              <w:jc w:val="center"/>
              <w:ind w:right="787"/>
              <w:spacing w:after="0" w:line="100" w:lineRule="exact"/>
              <w:rPr>
                <w:sz w:val="20"/>
                <w:szCs w:val="20"/>
                <w:color w:val="auto"/>
              </w:rPr>
            </w:pPr>
            <w:r>
              <w:rPr>
                <w:rFonts w:ascii="Arial" w:cs="Arial" w:eastAsia="Arial" w:hAnsi="Arial"/>
                <w:sz w:val="9"/>
                <w:szCs w:val="9"/>
                <w:b w:val="1"/>
                <w:bCs w:val="1"/>
                <w:color w:val="auto"/>
                <w:w w:val="92"/>
              </w:rPr>
              <w:t>(State or Other Jurisdiction</w:t>
            </w:r>
          </w:p>
        </w:tc>
        <w:tc>
          <w:tcPr>
            <w:tcW w:w="4480" w:type="dxa"/>
            <w:vAlign w:val="bottom"/>
          </w:tcPr>
          <w:p>
            <w:pPr>
              <w:spacing w:after="0"/>
              <w:rPr>
                <w:sz w:val="8"/>
                <w:szCs w:val="8"/>
                <w:color w:val="auto"/>
              </w:rPr>
            </w:pPr>
          </w:p>
        </w:tc>
        <w:tc>
          <w:tcPr>
            <w:tcW w:w="1800" w:type="dxa"/>
            <w:vAlign w:val="bottom"/>
          </w:tcPr>
          <w:p>
            <w:pPr>
              <w:jc w:val="center"/>
              <w:ind w:left="1009"/>
              <w:spacing w:after="0" w:line="100" w:lineRule="exact"/>
              <w:rPr>
                <w:sz w:val="20"/>
                <w:szCs w:val="20"/>
                <w:color w:val="auto"/>
              </w:rPr>
            </w:pPr>
            <w:r>
              <w:rPr>
                <w:rFonts w:ascii="Arial" w:cs="Arial" w:eastAsia="Arial" w:hAnsi="Arial"/>
                <w:sz w:val="9"/>
                <w:szCs w:val="9"/>
                <w:b w:val="1"/>
                <w:bCs w:val="1"/>
                <w:color w:val="auto"/>
                <w:w w:val="94"/>
              </w:rPr>
              <w:t>(IRS Employer</w:t>
            </w:r>
          </w:p>
        </w:tc>
      </w:tr>
      <w:tr>
        <w:trPr>
          <w:trHeight w:val="125"/>
        </w:trPr>
        <w:tc>
          <w:tcPr>
            <w:tcW w:w="2480" w:type="dxa"/>
            <w:vAlign w:val="bottom"/>
          </w:tcPr>
          <w:p>
            <w:pPr>
              <w:jc w:val="center"/>
              <w:ind w:right="787"/>
              <w:spacing w:after="0"/>
              <w:rPr>
                <w:sz w:val="20"/>
                <w:szCs w:val="20"/>
                <w:color w:val="auto"/>
              </w:rPr>
            </w:pPr>
            <w:r>
              <w:rPr>
                <w:rFonts w:ascii="Arial" w:cs="Arial" w:eastAsia="Arial" w:hAnsi="Arial"/>
                <w:sz w:val="9"/>
                <w:szCs w:val="9"/>
                <w:b w:val="1"/>
                <w:bCs w:val="1"/>
                <w:color w:val="auto"/>
                <w:w w:val="94"/>
              </w:rPr>
              <w:t>of Incorporation)</w:t>
            </w:r>
          </w:p>
        </w:tc>
        <w:tc>
          <w:tcPr>
            <w:tcW w:w="4480" w:type="dxa"/>
            <w:vAlign w:val="bottom"/>
          </w:tcPr>
          <w:p>
            <w:pPr>
              <w:jc w:val="center"/>
              <w:ind w:right="187"/>
              <w:spacing w:after="0"/>
              <w:rPr>
                <w:sz w:val="20"/>
                <w:szCs w:val="20"/>
                <w:color w:val="auto"/>
              </w:rPr>
            </w:pPr>
            <w:r>
              <w:rPr>
                <w:rFonts w:ascii="Arial" w:cs="Arial" w:eastAsia="Arial" w:hAnsi="Arial"/>
                <w:sz w:val="9"/>
                <w:szCs w:val="9"/>
                <w:b w:val="1"/>
                <w:bCs w:val="1"/>
                <w:color w:val="auto"/>
                <w:w w:val="90"/>
              </w:rPr>
              <w:t>(Commission File Number)</w:t>
            </w:r>
          </w:p>
        </w:tc>
        <w:tc>
          <w:tcPr>
            <w:tcW w:w="1800" w:type="dxa"/>
            <w:vAlign w:val="bottom"/>
          </w:tcPr>
          <w:p>
            <w:pPr>
              <w:jc w:val="center"/>
              <w:ind w:left="1029"/>
              <w:spacing w:after="0"/>
              <w:rPr>
                <w:sz w:val="20"/>
                <w:szCs w:val="20"/>
                <w:color w:val="auto"/>
              </w:rPr>
            </w:pPr>
            <w:r>
              <w:rPr>
                <w:rFonts w:ascii="Arial" w:cs="Arial" w:eastAsia="Arial" w:hAnsi="Arial"/>
                <w:sz w:val="9"/>
                <w:szCs w:val="9"/>
                <w:b w:val="1"/>
                <w:bCs w:val="1"/>
                <w:color w:val="auto"/>
                <w:w w:val="94"/>
              </w:rPr>
              <w:t>Identification No.)</w:t>
            </w:r>
          </w:p>
        </w:tc>
      </w:tr>
      <w:tr>
        <w:trPr>
          <w:trHeight w:val="223"/>
        </w:trPr>
        <w:tc>
          <w:tcPr>
            <w:tcW w:w="2480" w:type="dxa"/>
            <w:vAlign w:val="bottom"/>
          </w:tcPr>
          <w:p>
            <w:pPr>
              <w:jc w:val="center"/>
              <w:ind w:right="787"/>
              <w:spacing w:after="0"/>
              <w:rPr>
                <w:sz w:val="20"/>
                <w:szCs w:val="20"/>
                <w:color w:val="auto"/>
              </w:rPr>
            </w:pPr>
            <w:r>
              <w:rPr>
                <w:rFonts w:ascii="Arial" w:cs="Arial" w:eastAsia="Arial" w:hAnsi="Arial"/>
                <w:sz w:val="12"/>
                <w:szCs w:val="12"/>
                <w:b w:val="1"/>
                <w:bCs w:val="1"/>
                <w:color w:val="auto"/>
                <w:w w:val="91"/>
              </w:rPr>
              <w:t>333 Oyster Point Boulevard</w:t>
            </w:r>
          </w:p>
        </w:tc>
        <w:tc>
          <w:tcPr>
            <w:tcW w:w="4480" w:type="dxa"/>
            <w:vAlign w:val="bottom"/>
          </w:tcPr>
          <w:p>
            <w:pPr>
              <w:spacing w:after="0"/>
              <w:rPr>
                <w:sz w:val="19"/>
                <w:szCs w:val="19"/>
                <w:color w:val="auto"/>
              </w:rPr>
            </w:pPr>
          </w:p>
        </w:tc>
        <w:tc>
          <w:tcPr>
            <w:tcW w:w="1800" w:type="dxa"/>
            <w:vAlign w:val="bottom"/>
          </w:tcPr>
          <w:p>
            <w:pPr>
              <w:spacing w:after="0"/>
              <w:rPr>
                <w:sz w:val="19"/>
                <w:szCs w:val="19"/>
                <w:color w:val="auto"/>
              </w:rPr>
            </w:pPr>
          </w:p>
        </w:tc>
      </w:tr>
      <w:tr>
        <w:trPr>
          <w:trHeight w:val="148"/>
        </w:trPr>
        <w:tc>
          <w:tcPr>
            <w:tcW w:w="2480" w:type="dxa"/>
            <w:vAlign w:val="bottom"/>
          </w:tcPr>
          <w:p>
            <w:pPr>
              <w:jc w:val="center"/>
              <w:ind w:right="787"/>
              <w:spacing w:after="0"/>
              <w:rPr>
                <w:sz w:val="20"/>
                <w:szCs w:val="20"/>
                <w:color w:val="auto"/>
              </w:rPr>
            </w:pPr>
            <w:r>
              <w:rPr>
                <w:rFonts w:ascii="Arial" w:cs="Arial" w:eastAsia="Arial" w:hAnsi="Arial"/>
                <w:sz w:val="12"/>
                <w:szCs w:val="12"/>
                <w:b w:val="1"/>
                <w:bCs w:val="1"/>
                <w:color w:val="auto"/>
                <w:w w:val="90"/>
              </w:rPr>
              <w:t>South San Francisco, California</w:t>
            </w:r>
          </w:p>
        </w:tc>
        <w:tc>
          <w:tcPr>
            <w:tcW w:w="4480" w:type="dxa"/>
            <w:vAlign w:val="bottom"/>
          </w:tcPr>
          <w:p>
            <w:pPr>
              <w:spacing w:after="0"/>
              <w:rPr>
                <w:sz w:val="12"/>
                <w:szCs w:val="12"/>
                <w:color w:val="auto"/>
              </w:rPr>
            </w:pPr>
          </w:p>
        </w:tc>
        <w:tc>
          <w:tcPr>
            <w:tcW w:w="1800" w:type="dxa"/>
            <w:vAlign w:val="bottom"/>
          </w:tcPr>
          <w:p>
            <w:pPr>
              <w:jc w:val="right"/>
              <w:ind w:right="169"/>
              <w:spacing w:after="0"/>
              <w:rPr>
                <w:sz w:val="20"/>
                <w:szCs w:val="20"/>
                <w:color w:val="auto"/>
              </w:rPr>
            </w:pPr>
            <w:r>
              <w:rPr>
                <w:rFonts w:ascii="Arial" w:cs="Arial" w:eastAsia="Arial" w:hAnsi="Arial"/>
                <w:sz w:val="12"/>
                <w:szCs w:val="12"/>
                <w:b w:val="1"/>
                <w:bCs w:val="1"/>
                <w:color w:val="auto"/>
              </w:rPr>
              <w:t>94080</w:t>
            </w:r>
          </w:p>
        </w:tc>
      </w:tr>
      <w:tr>
        <w:trPr>
          <w:trHeight w:val="116"/>
        </w:trPr>
        <w:tc>
          <w:tcPr>
            <w:tcW w:w="2480" w:type="dxa"/>
            <w:vAlign w:val="bottom"/>
          </w:tcPr>
          <w:p>
            <w:pPr>
              <w:jc w:val="center"/>
              <w:ind w:right="807"/>
              <w:spacing w:after="0"/>
              <w:rPr>
                <w:sz w:val="20"/>
                <w:szCs w:val="20"/>
                <w:color w:val="auto"/>
              </w:rPr>
            </w:pPr>
            <w:r>
              <w:rPr>
                <w:rFonts w:ascii="Arial" w:cs="Arial" w:eastAsia="Arial" w:hAnsi="Arial"/>
                <w:sz w:val="9"/>
                <w:szCs w:val="9"/>
                <w:b w:val="1"/>
                <w:bCs w:val="1"/>
                <w:color w:val="auto"/>
                <w:w w:val="90"/>
              </w:rPr>
              <w:t>(Address of Principal Executive Offices)</w:t>
            </w:r>
          </w:p>
        </w:tc>
        <w:tc>
          <w:tcPr>
            <w:tcW w:w="4480" w:type="dxa"/>
            <w:vAlign w:val="bottom"/>
          </w:tcPr>
          <w:p>
            <w:pPr>
              <w:spacing w:after="0"/>
              <w:rPr>
                <w:sz w:val="10"/>
                <w:szCs w:val="10"/>
                <w:color w:val="auto"/>
              </w:rPr>
            </w:pPr>
          </w:p>
        </w:tc>
        <w:tc>
          <w:tcPr>
            <w:tcW w:w="1800" w:type="dxa"/>
            <w:vAlign w:val="bottom"/>
          </w:tcPr>
          <w:p>
            <w:pPr>
              <w:jc w:val="center"/>
              <w:ind w:left="1009"/>
              <w:spacing w:after="0"/>
              <w:rPr>
                <w:sz w:val="20"/>
                <w:szCs w:val="20"/>
                <w:color w:val="auto"/>
              </w:rPr>
            </w:pPr>
            <w:r>
              <w:rPr>
                <w:rFonts w:ascii="Arial" w:cs="Arial" w:eastAsia="Arial" w:hAnsi="Arial"/>
                <w:sz w:val="9"/>
                <w:szCs w:val="9"/>
                <w:b w:val="1"/>
                <w:bCs w:val="1"/>
                <w:color w:val="auto"/>
                <w:w w:val="94"/>
              </w:rPr>
              <w:t>(Zip Code)</w:t>
            </w:r>
          </w:p>
        </w:tc>
      </w:tr>
      <w:tr>
        <w:trPr>
          <w:trHeight w:val="236"/>
        </w:trPr>
        <w:tc>
          <w:tcPr>
            <w:tcW w:w="2480" w:type="dxa"/>
            <w:vAlign w:val="bottom"/>
          </w:tcPr>
          <w:p>
            <w:pPr>
              <w:spacing w:after="0"/>
              <w:rPr>
                <w:sz w:val="20"/>
                <w:szCs w:val="20"/>
                <w:color w:val="auto"/>
              </w:rPr>
            </w:pPr>
          </w:p>
        </w:tc>
        <w:tc>
          <w:tcPr>
            <w:tcW w:w="4480" w:type="dxa"/>
            <w:vAlign w:val="bottom"/>
          </w:tcPr>
          <w:p>
            <w:pPr>
              <w:jc w:val="center"/>
              <w:ind w:right="147"/>
              <w:spacing w:after="0"/>
              <w:rPr>
                <w:sz w:val="20"/>
                <w:szCs w:val="20"/>
                <w:color w:val="auto"/>
              </w:rPr>
            </w:pPr>
            <w:r>
              <w:rPr>
                <w:rFonts w:ascii="Arial" w:cs="Arial" w:eastAsia="Arial" w:hAnsi="Arial"/>
                <w:sz w:val="12"/>
                <w:szCs w:val="12"/>
                <w:b w:val="1"/>
                <w:bCs w:val="1"/>
                <w:color w:val="auto"/>
                <w:w w:val="92"/>
              </w:rPr>
              <w:t>(650) 243-5555</w:t>
            </w:r>
          </w:p>
        </w:tc>
        <w:tc>
          <w:tcPr>
            <w:tcW w:w="1800" w:type="dxa"/>
            <w:vAlign w:val="bottom"/>
          </w:tcPr>
          <w:p>
            <w:pPr>
              <w:spacing w:after="0"/>
              <w:rPr>
                <w:sz w:val="20"/>
                <w:szCs w:val="20"/>
                <w:color w:val="auto"/>
              </w:rPr>
            </w:pPr>
          </w:p>
        </w:tc>
      </w:tr>
      <w:tr>
        <w:trPr>
          <w:trHeight w:val="116"/>
        </w:trPr>
        <w:tc>
          <w:tcPr>
            <w:tcW w:w="2480" w:type="dxa"/>
            <w:vAlign w:val="bottom"/>
          </w:tcPr>
          <w:p>
            <w:pPr>
              <w:spacing w:after="0"/>
              <w:rPr>
                <w:sz w:val="10"/>
                <w:szCs w:val="10"/>
                <w:color w:val="auto"/>
              </w:rPr>
            </w:pPr>
          </w:p>
        </w:tc>
        <w:tc>
          <w:tcPr>
            <w:tcW w:w="4480" w:type="dxa"/>
            <w:vAlign w:val="bottom"/>
          </w:tcPr>
          <w:p>
            <w:pPr>
              <w:jc w:val="center"/>
              <w:ind w:right="167"/>
              <w:spacing w:after="0"/>
              <w:rPr>
                <w:sz w:val="20"/>
                <w:szCs w:val="20"/>
                <w:color w:val="auto"/>
              </w:rPr>
            </w:pPr>
            <w:r>
              <w:rPr>
                <w:rFonts w:ascii="Arial" w:cs="Arial" w:eastAsia="Arial" w:hAnsi="Arial"/>
                <w:sz w:val="9"/>
                <w:szCs w:val="9"/>
                <w:b w:val="1"/>
                <w:bCs w:val="1"/>
                <w:color w:val="auto"/>
                <w:w w:val="91"/>
              </w:rPr>
              <w:t>(Registrant’s Telephone Number, Including Area Code)</w:t>
            </w:r>
          </w:p>
        </w:tc>
        <w:tc>
          <w:tcPr>
            <w:tcW w:w="1800" w:type="dxa"/>
            <w:vAlign w:val="bottom"/>
          </w:tcPr>
          <w:p>
            <w:pPr>
              <w:spacing w:after="0"/>
              <w:rPr>
                <w:sz w:val="10"/>
                <w:szCs w:val="10"/>
                <w:color w:val="auto"/>
              </w:rPr>
            </w:pPr>
          </w:p>
        </w:tc>
      </w:tr>
      <w:tr>
        <w:trPr>
          <w:trHeight w:val="236"/>
        </w:trPr>
        <w:tc>
          <w:tcPr>
            <w:tcW w:w="2480" w:type="dxa"/>
            <w:vAlign w:val="bottom"/>
          </w:tcPr>
          <w:p>
            <w:pPr>
              <w:spacing w:after="0"/>
              <w:rPr>
                <w:sz w:val="20"/>
                <w:szCs w:val="20"/>
                <w:color w:val="auto"/>
              </w:rPr>
            </w:pPr>
          </w:p>
        </w:tc>
        <w:tc>
          <w:tcPr>
            <w:tcW w:w="4480" w:type="dxa"/>
            <w:vAlign w:val="bottom"/>
          </w:tcPr>
          <w:p>
            <w:pPr>
              <w:jc w:val="center"/>
              <w:ind w:right="167"/>
              <w:spacing w:after="0"/>
              <w:rPr>
                <w:sz w:val="20"/>
                <w:szCs w:val="20"/>
                <w:color w:val="auto"/>
              </w:rPr>
            </w:pPr>
            <w:r>
              <w:rPr>
                <w:rFonts w:ascii="Arial" w:cs="Arial" w:eastAsia="Arial" w:hAnsi="Arial"/>
                <w:sz w:val="12"/>
                <w:szCs w:val="12"/>
                <w:b w:val="1"/>
                <w:bCs w:val="1"/>
                <w:color w:val="auto"/>
                <w:w w:val="92"/>
              </w:rPr>
              <w:t>Not Applicable</w:t>
            </w:r>
          </w:p>
        </w:tc>
        <w:tc>
          <w:tcPr>
            <w:tcW w:w="1800" w:type="dxa"/>
            <w:vAlign w:val="bottom"/>
          </w:tcPr>
          <w:p>
            <w:pPr>
              <w:spacing w:after="0"/>
              <w:rPr>
                <w:sz w:val="20"/>
                <w:szCs w:val="20"/>
                <w:color w:val="auto"/>
              </w:rPr>
            </w:pPr>
          </w:p>
        </w:tc>
      </w:tr>
      <w:tr>
        <w:trPr>
          <w:trHeight w:val="116"/>
        </w:trPr>
        <w:tc>
          <w:tcPr>
            <w:tcW w:w="2480" w:type="dxa"/>
            <w:vAlign w:val="bottom"/>
          </w:tcPr>
          <w:p>
            <w:pPr>
              <w:spacing w:after="0"/>
              <w:rPr>
                <w:sz w:val="10"/>
                <w:szCs w:val="10"/>
                <w:color w:val="auto"/>
              </w:rPr>
            </w:pPr>
          </w:p>
        </w:tc>
        <w:tc>
          <w:tcPr>
            <w:tcW w:w="4480" w:type="dxa"/>
            <w:vAlign w:val="bottom"/>
          </w:tcPr>
          <w:p>
            <w:pPr>
              <w:jc w:val="center"/>
              <w:ind w:right="167"/>
              <w:spacing w:after="0"/>
              <w:rPr>
                <w:sz w:val="20"/>
                <w:szCs w:val="20"/>
                <w:color w:val="auto"/>
              </w:rPr>
            </w:pPr>
            <w:r>
              <w:rPr>
                <w:rFonts w:ascii="Arial" w:cs="Arial" w:eastAsia="Arial" w:hAnsi="Arial"/>
                <w:sz w:val="9"/>
                <w:szCs w:val="9"/>
                <w:b w:val="1"/>
                <w:bCs w:val="1"/>
                <w:color w:val="auto"/>
                <w:w w:val="91"/>
              </w:rPr>
              <w:t>(Former Name or Former Address, if Changed Since Last Report)</w:t>
            </w:r>
          </w:p>
        </w:tc>
        <w:tc>
          <w:tcPr>
            <w:tcW w:w="1800" w:type="dxa"/>
            <w:vAlign w:val="bottom"/>
          </w:tcPr>
          <w:p>
            <w:pPr>
              <w:spacing w:after="0"/>
              <w:rPr>
                <w:sz w:val="10"/>
                <w:szCs w:val="1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2917825</wp:posOffset>
            </wp:positionH>
            <wp:positionV relativeFrom="paragraph">
              <wp:posOffset>92710</wp:posOffset>
            </wp:positionV>
            <wp:extent cx="1456055"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56055" cy="5715"/>
                    </a:xfrm>
                    <a:prstGeom prst="rect">
                      <a:avLst/>
                    </a:prstGeom>
                    <a:noFill/>
                  </pic:spPr>
                </pic:pic>
              </a:graphicData>
            </a:graphic>
          </wp:anchor>
        </w:drawing>
      </w:r>
    </w:p>
    <w:p>
      <w:pPr>
        <w:spacing w:after="0" w:line="234" w:lineRule="exact"/>
        <w:rPr>
          <w:sz w:val="24"/>
          <w:szCs w:val="24"/>
          <w:color w:val="auto"/>
        </w:rPr>
      </w:pPr>
    </w:p>
    <w:p>
      <w:pPr>
        <w:ind w:left="8"/>
        <w:spacing w:after="0"/>
        <w:rPr>
          <w:sz w:val="20"/>
          <w:szCs w:val="20"/>
          <w:color w:val="auto"/>
        </w:rPr>
      </w:pPr>
      <w:r>
        <w:rPr>
          <w:rFonts w:ascii="Arial" w:cs="Arial" w:eastAsia="Arial" w:hAnsi="Arial"/>
          <w:sz w:val="12"/>
          <w:szCs w:val="12"/>
          <w:color w:val="auto"/>
        </w:rPr>
        <w:t>Check the appropriate box below if the Form 8-K filing is intended to simultaneously satisfy the filing obligation of the registrant under any of the following provisions (see General Instructions A.2. below):</w:t>
      </w:r>
    </w:p>
    <w:p>
      <w:pPr>
        <w:spacing w:after="0" w:line="88" w:lineRule="exact"/>
        <w:rPr>
          <w:sz w:val="24"/>
          <w:szCs w:val="24"/>
          <w:color w:val="auto"/>
        </w:rPr>
      </w:pPr>
    </w:p>
    <w:p>
      <w:pPr>
        <w:ind w:left="448" w:hanging="448"/>
        <w:spacing w:after="0"/>
        <w:tabs>
          <w:tab w:leader="none" w:pos="448"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Written communications pursuant to Rule 425 under the Securities Act (17 CFR 230.425)</w:t>
      </w:r>
    </w:p>
    <w:p>
      <w:pPr>
        <w:spacing w:after="0" w:line="87" w:lineRule="exact"/>
        <w:rPr>
          <w:rFonts w:ascii="MS PGothic" w:cs="MS PGothic" w:eastAsia="MS PGothic" w:hAnsi="MS PGothic"/>
          <w:sz w:val="12"/>
          <w:szCs w:val="12"/>
          <w:color w:val="auto"/>
        </w:rPr>
      </w:pPr>
    </w:p>
    <w:p>
      <w:pPr>
        <w:ind w:left="448" w:hanging="448"/>
        <w:spacing w:after="0"/>
        <w:tabs>
          <w:tab w:leader="none" w:pos="448"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Soliciting material pursuant to Rule 14a-12 under the Exchange Act (17 CFR 240.14a-12)</w:t>
      </w:r>
    </w:p>
    <w:p>
      <w:pPr>
        <w:spacing w:after="0" w:line="87" w:lineRule="exact"/>
        <w:rPr>
          <w:rFonts w:ascii="MS PGothic" w:cs="MS PGothic" w:eastAsia="MS PGothic" w:hAnsi="MS PGothic"/>
          <w:sz w:val="12"/>
          <w:szCs w:val="12"/>
          <w:color w:val="auto"/>
        </w:rPr>
      </w:pPr>
    </w:p>
    <w:p>
      <w:pPr>
        <w:ind w:left="448" w:hanging="448"/>
        <w:spacing w:after="0"/>
        <w:tabs>
          <w:tab w:leader="none" w:pos="448"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Pre-commencement communications pursuant to Rule 14d-2(b) under the Exchange Act (17 CFR 240.14d-2(b))</w:t>
      </w:r>
    </w:p>
    <w:p>
      <w:pPr>
        <w:spacing w:after="0" w:line="87" w:lineRule="exact"/>
        <w:rPr>
          <w:rFonts w:ascii="MS PGothic" w:cs="MS PGothic" w:eastAsia="MS PGothic" w:hAnsi="MS PGothic"/>
          <w:sz w:val="12"/>
          <w:szCs w:val="12"/>
          <w:color w:val="auto"/>
        </w:rPr>
      </w:pPr>
    </w:p>
    <w:p>
      <w:pPr>
        <w:ind w:left="8" w:right="5660" w:hanging="8"/>
        <w:spacing w:after="0" w:line="403" w:lineRule="auto"/>
        <w:tabs>
          <w:tab w:leader="none" w:pos="459"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Pre-commencement communications pursuant to Rule 13e-4(c) under the Exchange Act (17 CFR 240.13e-4(c)) Securities registered pursuant to Section 12(b) of the Act:</w:t>
      </w:r>
    </w:p>
    <w:p>
      <w:pPr>
        <w:spacing w:after="0" w:line="21" w:lineRule="exact"/>
        <w:rPr>
          <w:sz w:val="24"/>
          <w:szCs w:val="24"/>
          <w:color w:val="auto"/>
        </w:rPr>
      </w:pPr>
    </w:p>
    <w:tbl>
      <w:tblPr>
        <w:tblLayout w:type="fixed"/>
        <w:tblInd w:w="8" w:type="dxa"/>
        <w:tblCellMar>
          <w:top w:w="0" w:type="dxa"/>
          <w:left w:w="0" w:type="dxa"/>
          <w:bottom w:w="0" w:type="dxa"/>
          <w:right w:w="0" w:type="dxa"/>
        </w:tblCellMar>
      </w:tblPr>
      <w:tr>
        <w:trPr>
          <w:trHeight w:val="115"/>
        </w:trPr>
        <w:tc>
          <w:tcPr>
            <w:tcW w:w="4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40" w:type="dxa"/>
            <w:vAlign w:val="bottom"/>
            <w:gridSpan w:val="2"/>
          </w:tcPr>
          <w:p>
            <w:pPr>
              <w:jc w:val="center"/>
              <w:ind w:right="120"/>
              <w:spacing w:after="0"/>
              <w:rPr>
                <w:sz w:val="20"/>
                <w:szCs w:val="20"/>
                <w:color w:val="auto"/>
              </w:rPr>
            </w:pPr>
            <w:r>
              <w:rPr>
                <w:rFonts w:ascii="Arial" w:cs="Arial" w:eastAsia="Arial" w:hAnsi="Arial"/>
                <w:sz w:val="10"/>
                <w:szCs w:val="10"/>
                <w:b w:val="1"/>
                <w:bCs w:val="1"/>
                <w:color w:val="auto"/>
                <w:w w:val="87"/>
              </w:rPr>
              <w:t>Trading</w:t>
            </w:r>
          </w:p>
        </w:tc>
        <w:tc>
          <w:tcPr>
            <w:tcW w:w="5160" w:type="dxa"/>
            <w:vAlign w:val="bottom"/>
          </w:tcPr>
          <w:p>
            <w:pPr>
              <w:spacing w:after="0"/>
              <w:rPr>
                <w:sz w:val="10"/>
                <w:szCs w:val="10"/>
                <w:color w:val="auto"/>
              </w:rPr>
            </w:pPr>
          </w:p>
        </w:tc>
      </w:tr>
      <w:tr>
        <w:trPr>
          <w:trHeight w:val="123"/>
        </w:trPr>
        <w:tc>
          <w:tcPr>
            <w:tcW w:w="4480" w:type="dxa"/>
            <w:vAlign w:val="bottom"/>
            <w:gridSpan w:val="2"/>
          </w:tcPr>
          <w:p>
            <w:pPr>
              <w:jc w:val="center"/>
              <w:ind w:right="120"/>
              <w:spacing w:after="0"/>
              <w:rPr>
                <w:sz w:val="20"/>
                <w:szCs w:val="20"/>
                <w:color w:val="auto"/>
              </w:rPr>
            </w:pPr>
            <w:r>
              <w:rPr>
                <w:rFonts w:ascii="Arial" w:cs="Arial" w:eastAsia="Arial" w:hAnsi="Arial"/>
                <w:sz w:val="10"/>
                <w:szCs w:val="10"/>
                <w:b w:val="1"/>
                <w:bCs w:val="1"/>
                <w:color w:val="auto"/>
                <w:w w:val="83"/>
              </w:rPr>
              <w:t>Title of each class</w:t>
            </w:r>
          </w:p>
        </w:tc>
        <w:tc>
          <w:tcPr>
            <w:tcW w:w="1840" w:type="dxa"/>
            <w:vAlign w:val="bottom"/>
            <w:gridSpan w:val="2"/>
          </w:tcPr>
          <w:p>
            <w:pPr>
              <w:jc w:val="center"/>
              <w:ind w:right="120"/>
              <w:spacing w:after="0"/>
              <w:rPr>
                <w:sz w:val="20"/>
                <w:szCs w:val="20"/>
                <w:color w:val="auto"/>
              </w:rPr>
            </w:pPr>
            <w:r>
              <w:rPr>
                <w:rFonts w:ascii="Arial" w:cs="Arial" w:eastAsia="Arial" w:hAnsi="Arial"/>
                <w:sz w:val="10"/>
                <w:szCs w:val="10"/>
                <w:b w:val="1"/>
                <w:bCs w:val="1"/>
                <w:color w:val="auto"/>
                <w:w w:val="82"/>
              </w:rPr>
              <w:t>Symbol(s)</w:t>
            </w:r>
          </w:p>
        </w:tc>
        <w:tc>
          <w:tcPr>
            <w:tcW w:w="5160" w:type="dxa"/>
            <w:vAlign w:val="bottom"/>
          </w:tcPr>
          <w:p>
            <w:pPr>
              <w:jc w:val="center"/>
              <w:spacing w:after="0"/>
              <w:rPr>
                <w:sz w:val="20"/>
                <w:szCs w:val="20"/>
                <w:color w:val="auto"/>
              </w:rPr>
            </w:pPr>
            <w:r>
              <w:rPr>
                <w:rFonts w:ascii="Arial" w:cs="Arial" w:eastAsia="Arial" w:hAnsi="Arial"/>
                <w:sz w:val="10"/>
                <w:szCs w:val="10"/>
                <w:b w:val="1"/>
                <w:bCs w:val="1"/>
                <w:color w:val="auto"/>
                <w:w w:val="84"/>
              </w:rPr>
              <w:t>Name of each exchange on which registered</w:t>
            </w:r>
          </w:p>
        </w:tc>
      </w:tr>
      <w:tr>
        <w:trPr>
          <w:trHeight w:val="142"/>
        </w:trPr>
        <w:tc>
          <w:tcPr>
            <w:tcW w:w="4360" w:type="dxa"/>
            <w:vAlign w:val="bottom"/>
            <w:tcBorders>
              <w:top w:val="single" w:sz="8" w:color="auto"/>
            </w:tcBorders>
          </w:tcPr>
          <w:p>
            <w:pPr>
              <w:jc w:val="center"/>
              <w:spacing w:after="0"/>
              <w:rPr>
                <w:sz w:val="20"/>
                <w:szCs w:val="20"/>
                <w:color w:val="auto"/>
              </w:rPr>
            </w:pPr>
            <w:r>
              <w:rPr>
                <w:rFonts w:ascii="Arial" w:cs="Arial" w:eastAsia="Arial" w:hAnsi="Arial"/>
                <w:sz w:val="12"/>
                <w:szCs w:val="12"/>
                <w:color w:val="auto"/>
                <w:w w:val="89"/>
              </w:rPr>
              <w:t>Common Stock, par value $0.001 per share</w:t>
            </w:r>
          </w:p>
        </w:tc>
        <w:tc>
          <w:tcPr>
            <w:tcW w:w="120" w:type="dxa"/>
            <w:vAlign w:val="bottom"/>
          </w:tcPr>
          <w:p>
            <w:pPr>
              <w:spacing w:after="0"/>
              <w:rPr>
                <w:sz w:val="12"/>
                <w:szCs w:val="12"/>
                <w:color w:val="auto"/>
              </w:rPr>
            </w:pPr>
          </w:p>
        </w:tc>
        <w:tc>
          <w:tcPr>
            <w:tcW w:w="1720" w:type="dxa"/>
            <w:vAlign w:val="bottom"/>
            <w:tcBorders>
              <w:top w:val="single" w:sz="8" w:color="auto"/>
            </w:tcBorders>
          </w:tcPr>
          <w:p>
            <w:pPr>
              <w:jc w:val="center"/>
              <w:spacing w:after="0"/>
              <w:rPr>
                <w:sz w:val="20"/>
                <w:szCs w:val="20"/>
                <w:color w:val="auto"/>
              </w:rPr>
            </w:pPr>
            <w:r>
              <w:rPr>
                <w:rFonts w:ascii="Arial" w:cs="Arial" w:eastAsia="Arial" w:hAnsi="Arial"/>
                <w:sz w:val="12"/>
                <w:szCs w:val="12"/>
                <w:color w:val="auto"/>
                <w:w w:val="99"/>
              </w:rPr>
              <w:t>NGM</w:t>
            </w:r>
          </w:p>
        </w:tc>
        <w:tc>
          <w:tcPr>
            <w:tcW w:w="120" w:type="dxa"/>
            <w:vAlign w:val="bottom"/>
          </w:tcPr>
          <w:p>
            <w:pPr>
              <w:spacing w:after="0"/>
              <w:rPr>
                <w:sz w:val="12"/>
                <w:szCs w:val="12"/>
                <w:color w:val="auto"/>
              </w:rPr>
            </w:pPr>
          </w:p>
        </w:tc>
        <w:tc>
          <w:tcPr>
            <w:tcW w:w="5160" w:type="dxa"/>
            <w:vAlign w:val="bottom"/>
            <w:tcBorders>
              <w:top w:val="single" w:sz="8" w:color="auto"/>
            </w:tcBorders>
          </w:tcPr>
          <w:p>
            <w:pPr>
              <w:jc w:val="center"/>
              <w:spacing w:after="0"/>
              <w:rPr>
                <w:sz w:val="20"/>
                <w:szCs w:val="20"/>
                <w:color w:val="auto"/>
              </w:rPr>
            </w:pPr>
            <w:r>
              <w:rPr>
                <w:rFonts w:ascii="Arial" w:cs="Arial" w:eastAsia="Arial" w:hAnsi="Arial"/>
                <w:sz w:val="12"/>
                <w:szCs w:val="12"/>
                <w:color w:val="auto"/>
                <w:w w:val="92"/>
              </w:rPr>
              <w:t>The Nasdaq Stock Market LLC</w:t>
            </w:r>
          </w:p>
        </w:tc>
      </w:tr>
    </w:tbl>
    <w:p>
      <w:pPr>
        <w:spacing w:after="0" w:line="91" w:lineRule="exact"/>
        <w:rPr>
          <w:sz w:val="24"/>
          <w:szCs w:val="24"/>
          <w:color w:val="auto"/>
        </w:rPr>
      </w:pPr>
    </w:p>
    <w:p>
      <w:pPr>
        <w:ind w:left="8" w:right="320"/>
        <w:spacing w:after="0" w:line="277" w:lineRule="auto"/>
        <w:rPr>
          <w:sz w:val="20"/>
          <w:szCs w:val="20"/>
          <w:color w:val="auto"/>
        </w:rPr>
      </w:pPr>
      <w:r>
        <w:rPr>
          <w:rFonts w:ascii="Arial" w:cs="Arial" w:eastAsia="Arial" w:hAnsi="Arial"/>
          <w:sz w:val="12"/>
          <w:szCs w:val="12"/>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56" w:lineRule="exact"/>
        <w:rPr>
          <w:sz w:val="24"/>
          <w:szCs w:val="24"/>
          <w:color w:val="auto"/>
        </w:rPr>
      </w:pPr>
    </w:p>
    <w:p>
      <w:pPr>
        <w:ind w:left="8"/>
        <w:spacing w:after="0" w:line="138" w:lineRule="exact"/>
        <w:rPr>
          <w:sz w:val="20"/>
          <w:szCs w:val="20"/>
          <w:color w:val="auto"/>
        </w:rPr>
      </w:pPr>
      <w:r>
        <w:rPr>
          <w:rFonts w:ascii="Arial" w:cs="Arial" w:eastAsia="Arial" w:hAnsi="Arial"/>
          <w:sz w:val="12"/>
          <w:szCs w:val="12"/>
          <w:color w:val="auto"/>
        </w:rPr>
        <w:t xml:space="preserve">Emerging growth company </w:t>
      </w:r>
      <w:r>
        <w:rPr>
          <w:rFonts w:ascii="MS PGothic" w:cs="MS PGothic" w:eastAsia="MS PGothic" w:hAnsi="MS PGothic"/>
          <w:sz w:val="12"/>
          <w:szCs w:val="12"/>
          <w:color w:val="auto"/>
        </w:rPr>
        <w:t>☒</w:t>
      </w:r>
    </w:p>
    <w:p>
      <w:pPr>
        <w:spacing w:after="0" w:line="137" w:lineRule="exact"/>
        <w:rPr>
          <w:sz w:val="24"/>
          <w:szCs w:val="24"/>
          <w:color w:val="auto"/>
        </w:rPr>
      </w:pPr>
    </w:p>
    <w:p>
      <w:pPr>
        <w:ind w:left="8" w:right="80"/>
        <w:spacing w:after="0" w:line="155" w:lineRule="exact"/>
        <w:rPr>
          <w:sz w:val="20"/>
          <w:szCs w:val="20"/>
          <w:color w:val="auto"/>
        </w:rPr>
      </w:pPr>
      <w:r>
        <w:rPr>
          <w:rFonts w:ascii="Arial" w:cs="Arial" w:eastAsia="Arial" w:hAnsi="Arial"/>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44450</wp:posOffset>
            </wp:positionV>
            <wp:extent cx="7292340"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92340" cy="571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55880</wp:posOffset>
            </wp:positionV>
            <wp:extent cx="7292340" cy="5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92340" cy="571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134620</wp:posOffset>
            </wp:positionV>
            <wp:extent cx="7329170" cy="368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8"/>
          </w:cols>
          <w:pgMar w:left="212" w:top="401" w:right="199" w:bottom="1440" w:gutter="0" w:footer="0" w:header="0"/>
        </w:sectPr>
      </w:pPr>
    </w:p>
    <w:bookmarkStart w:id="1" w:name="page2"/>
    <w:bookmarkEnd w:id="1"/>
    <w:p>
      <w:pPr>
        <w:ind w:left="8"/>
        <w:spacing w:after="0"/>
        <w:tabs>
          <w:tab w:leader="none" w:pos="1127" w:val="left"/>
        </w:tabs>
        <w:rPr>
          <w:sz w:val="20"/>
          <w:szCs w:val="20"/>
          <w:color w:val="auto"/>
        </w:rPr>
      </w:pPr>
      <w:r>
        <w:rPr>
          <w:rFonts w:ascii="Arial" w:cs="Arial" w:eastAsia="Arial" w:hAnsi="Arial"/>
          <w:sz w:val="12"/>
          <w:szCs w:val="12"/>
          <w:b w:val="1"/>
          <w:bCs w:val="1"/>
          <w:color w:val="auto"/>
        </w:rPr>
        <w:t>Item 7.01</w:t>
      </w:r>
      <w:r>
        <w:rPr>
          <w:sz w:val="20"/>
          <w:szCs w:val="20"/>
          <w:color w:val="auto"/>
        </w:rPr>
        <w:tab/>
      </w:r>
      <w:r>
        <w:rPr>
          <w:rFonts w:ascii="Arial" w:cs="Arial" w:eastAsia="Arial" w:hAnsi="Arial"/>
          <w:sz w:val="10"/>
          <w:szCs w:val="10"/>
          <w:b w:val="1"/>
          <w:bCs w:val="1"/>
          <w:color w:val="auto"/>
        </w:rPr>
        <w:t>Regulation FD Disclosure.</w:t>
      </w:r>
    </w:p>
    <w:p>
      <w:pPr>
        <w:spacing w:after="0" w:line="119" w:lineRule="exact"/>
        <w:rPr>
          <w:sz w:val="20"/>
          <w:szCs w:val="20"/>
          <w:color w:val="auto"/>
        </w:rPr>
      </w:pPr>
    </w:p>
    <w:p>
      <w:pPr>
        <w:ind w:left="8" w:right="20"/>
        <w:spacing w:after="0" w:line="277" w:lineRule="auto"/>
        <w:rPr>
          <w:sz w:val="20"/>
          <w:szCs w:val="20"/>
          <w:color w:val="auto"/>
        </w:rPr>
      </w:pPr>
      <w:r>
        <w:rPr>
          <w:rFonts w:ascii="Arial" w:cs="Arial" w:eastAsia="Arial" w:hAnsi="Arial"/>
          <w:sz w:val="12"/>
          <w:szCs w:val="12"/>
          <w:color w:val="auto"/>
        </w:rPr>
        <w:t>NGM Biopharmaceuticals, Inc. (the “Company”) will be conducting meetings with securities analysts, investors and others in connection with the 38th Annual J.P. Morgan Healthcare Conference in San Francisco beginning on January 13, 2020. As part of these meetings, the Company intends to utilize the corporate slide presentation furnished with this report as Exhibit 99.1.</w:t>
      </w:r>
    </w:p>
    <w:p>
      <w:pPr>
        <w:spacing w:after="0" w:line="111" w:lineRule="exact"/>
        <w:rPr>
          <w:sz w:val="20"/>
          <w:szCs w:val="20"/>
          <w:color w:val="auto"/>
        </w:rPr>
      </w:pPr>
    </w:p>
    <w:tbl>
      <w:tblPr>
        <w:tblLayout w:type="fixed"/>
        <w:tblInd w:w="8" w:type="dxa"/>
        <w:tblCellMar>
          <w:top w:w="0" w:type="dxa"/>
          <w:left w:w="0" w:type="dxa"/>
          <w:bottom w:w="0" w:type="dxa"/>
          <w:right w:w="0" w:type="dxa"/>
        </w:tblCellMar>
      </w:tblPr>
      <w:tr>
        <w:trPr>
          <w:trHeight w:val="157"/>
        </w:trPr>
        <w:tc>
          <w:tcPr>
            <w:tcW w:w="1000" w:type="dxa"/>
            <w:vAlign w:val="bottom"/>
            <w:gridSpan w:val="3"/>
          </w:tcPr>
          <w:p>
            <w:pPr>
              <w:spacing w:after="0"/>
              <w:rPr>
                <w:sz w:val="20"/>
                <w:szCs w:val="20"/>
                <w:color w:val="auto"/>
              </w:rPr>
            </w:pPr>
            <w:r>
              <w:rPr>
                <w:rFonts w:ascii="Arial" w:cs="Arial" w:eastAsia="Arial" w:hAnsi="Arial"/>
                <w:sz w:val="12"/>
                <w:szCs w:val="12"/>
                <w:b w:val="1"/>
                <w:bCs w:val="1"/>
                <w:color w:val="auto"/>
              </w:rPr>
              <w:t>Item 9.01</w:t>
            </w:r>
          </w:p>
        </w:tc>
        <w:tc>
          <w:tcPr>
            <w:tcW w:w="10480" w:type="dxa"/>
            <w:vAlign w:val="bottom"/>
            <w:gridSpan w:val="3"/>
          </w:tcPr>
          <w:p>
            <w:pPr>
              <w:ind w:left="140"/>
              <w:spacing w:after="0"/>
              <w:rPr>
                <w:sz w:val="20"/>
                <w:szCs w:val="20"/>
                <w:color w:val="auto"/>
              </w:rPr>
            </w:pPr>
            <w:r>
              <w:rPr>
                <w:rFonts w:ascii="Arial" w:cs="Arial" w:eastAsia="Arial" w:hAnsi="Arial"/>
                <w:sz w:val="12"/>
                <w:szCs w:val="12"/>
                <w:b w:val="1"/>
                <w:bCs w:val="1"/>
                <w:color w:val="auto"/>
              </w:rPr>
              <w:t>Financial Statements and Exhibits.</w:t>
            </w:r>
          </w:p>
        </w:tc>
      </w:tr>
      <w:tr>
        <w:trPr>
          <w:trHeight w:val="289"/>
        </w:trPr>
        <w:tc>
          <w:tcPr>
            <w:tcW w:w="160" w:type="dxa"/>
            <w:vAlign w:val="bottom"/>
          </w:tcPr>
          <w:p>
            <w:pPr>
              <w:spacing w:after="0"/>
              <w:rPr>
                <w:sz w:val="20"/>
                <w:szCs w:val="20"/>
                <w:color w:val="auto"/>
              </w:rPr>
            </w:pPr>
            <w:r>
              <w:rPr>
                <w:rFonts w:ascii="Arial" w:cs="Arial" w:eastAsia="Arial" w:hAnsi="Arial"/>
                <w:sz w:val="12"/>
                <w:szCs w:val="12"/>
                <w:color w:val="auto"/>
                <w:w w:val="95"/>
              </w:rPr>
              <w:t>(d)</w:t>
            </w:r>
          </w:p>
        </w:tc>
        <w:tc>
          <w:tcPr>
            <w:tcW w:w="840" w:type="dxa"/>
            <w:vAlign w:val="bottom"/>
            <w:gridSpan w:val="2"/>
          </w:tcPr>
          <w:p>
            <w:pPr>
              <w:ind w:left="280"/>
              <w:spacing w:after="0"/>
              <w:rPr>
                <w:sz w:val="20"/>
                <w:szCs w:val="20"/>
                <w:color w:val="auto"/>
              </w:rPr>
            </w:pPr>
            <w:r>
              <w:rPr>
                <w:rFonts w:ascii="Arial" w:cs="Arial" w:eastAsia="Arial" w:hAnsi="Arial"/>
                <w:sz w:val="12"/>
                <w:szCs w:val="12"/>
                <w:color w:val="auto"/>
              </w:rPr>
              <w:t>Exhibits</w:t>
            </w:r>
          </w:p>
        </w:tc>
        <w:tc>
          <w:tcPr>
            <w:tcW w:w="56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6060" w:type="dxa"/>
            <w:vAlign w:val="bottom"/>
          </w:tcPr>
          <w:p>
            <w:pPr>
              <w:spacing w:after="0"/>
              <w:rPr>
                <w:sz w:val="24"/>
                <w:szCs w:val="24"/>
                <w:color w:val="auto"/>
              </w:rPr>
            </w:pPr>
          </w:p>
        </w:tc>
      </w:tr>
      <w:tr>
        <w:trPr>
          <w:trHeight w:val="406"/>
        </w:trPr>
        <w:tc>
          <w:tcPr>
            <w:tcW w:w="160" w:type="dxa"/>
            <w:vAlign w:val="bottom"/>
          </w:tcPr>
          <w:p>
            <w:pPr>
              <w:spacing w:after="0"/>
              <w:rPr>
                <w:sz w:val="24"/>
                <w:szCs w:val="24"/>
                <w:color w:val="auto"/>
              </w:rPr>
            </w:pPr>
          </w:p>
        </w:tc>
        <w:tc>
          <w:tcPr>
            <w:tcW w:w="840" w:type="dxa"/>
            <w:vAlign w:val="bottom"/>
            <w:gridSpan w:val="2"/>
          </w:tcPr>
          <w:p>
            <w:pPr>
              <w:spacing w:after="0"/>
              <w:rPr>
                <w:sz w:val="20"/>
                <w:szCs w:val="20"/>
                <w:color w:val="auto"/>
              </w:rPr>
            </w:pPr>
            <w:r>
              <w:rPr>
                <w:rFonts w:ascii="Arial" w:cs="Arial" w:eastAsia="Arial" w:hAnsi="Arial"/>
                <w:sz w:val="10"/>
                <w:szCs w:val="10"/>
                <w:color w:val="auto"/>
              </w:rPr>
              <w:t>Exhibit No.</w:t>
            </w:r>
          </w:p>
        </w:tc>
        <w:tc>
          <w:tcPr>
            <w:tcW w:w="56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6060" w:type="dxa"/>
            <w:vAlign w:val="bottom"/>
          </w:tcPr>
          <w:p>
            <w:pPr>
              <w:ind w:left="880"/>
              <w:spacing w:after="0"/>
              <w:rPr>
                <w:sz w:val="20"/>
                <w:szCs w:val="20"/>
                <w:color w:val="auto"/>
              </w:rPr>
            </w:pPr>
            <w:r>
              <w:rPr>
                <w:rFonts w:ascii="Arial" w:cs="Arial" w:eastAsia="Arial" w:hAnsi="Arial"/>
                <w:sz w:val="10"/>
                <w:szCs w:val="10"/>
                <w:color w:val="auto"/>
              </w:rPr>
              <w:t>Description</w:t>
            </w:r>
          </w:p>
        </w:tc>
      </w:tr>
      <w:tr>
        <w:trPr>
          <w:trHeight w:val="251"/>
        </w:trPr>
        <w:tc>
          <w:tcPr>
            <w:tcW w:w="800" w:type="dxa"/>
            <w:vAlign w:val="bottom"/>
            <w:tcBorders>
              <w:top w:val="single" w:sz="8" w:color="auto"/>
            </w:tcBorders>
            <w:gridSpan w:val="2"/>
          </w:tcPr>
          <w:p>
            <w:pPr>
              <w:spacing w:after="0"/>
              <w:rPr>
                <w:sz w:val="20"/>
                <w:szCs w:val="20"/>
                <w:color w:val="auto"/>
              </w:rPr>
            </w:pPr>
            <w:r>
              <w:rPr>
                <w:rFonts w:ascii="Arial" w:cs="Arial" w:eastAsia="Arial" w:hAnsi="Arial"/>
                <w:sz w:val="12"/>
                <w:szCs w:val="12"/>
                <w:color w:val="auto"/>
              </w:rPr>
              <w:t>99.1</w:t>
            </w:r>
          </w:p>
        </w:tc>
        <w:tc>
          <w:tcPr>
            <w:tcW w:w="2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860" w:type="dxa"/>
            <w:vAlign w:val="bottom"/>
            <w:tcBorders>
              <w:top w:val="single" w:sz="8" w:color="auto"/>
              <w:bottom w:val="single" w:sz="8" w:color="0000EE"/>
            </w:tcBorders>
          </w:tcPr>
          <w:p>
            <w:pPr>
              <w:spacing w:after="0"/>
              <w:rPr>
                <w:rFonts w:ascii="Arial" w:cs="Arial" w:eastAsia="Arial" w:hAnsi="Arial"/>
                <w:sz w:val="12"/>
                <w:szCs w:val="12"/>
                <w:color w:val="0000EE"/>
                <w:w w:val="90"/>
              </w:rPr>
            </w:pPr>
            <w:hyperlink w:anchor="page4">
              <w:r>
                <w:rPr>
                  <w:rFonts w:ascii="Arial" w:cs="Arial" w:eastAsia="Arial" w:hAnsi="Arial"/>
                  <w:sz w:val="12"/>
                  <w:szCs w:val="12"/>
                  <w:color w:val="0000EE"/>
                  <w:w w:val="90"/>
                </w:rPr>
                <w:t>NGM Biopharmaceuticals, Inc. Corporate Presentation, dated January 13, 2020.</w:t>
              </w:r>
            </w:hyperlink>
          </w:p>
        </w:tc>
        <w:tc>
          <w:tcPr>
            <w:tcW w:w="6060" w:type="dxa"/>
            <w:vAlign w:val="bottom"/>
            <w:tcBorders>
              <w:top w:val="single" w:sz="8" w:color="auto"/>
            </w:tcBorders>
          </w:tcPr>
          <w:p>
            <w:pPr>
              <w:spacing w:after="0"/>
              <w:rPr>
                <w:sz w:val="21"/>
                <w:szCs w:val="21"/>
                <w:color w:val="auto"/>
              </w:rPr>
            </w:pPr>
          </w:p>
        </w:tc>
      </w:tr>
    </w:tbl>
    <w:p>
      <w:pPr>
        <w:spacing w:after="0" w:line="118" w:lineRule="exact"/>
        <w:rPr>
          <w:sz w:val="20"/>
          <w:szCs w:val="20"/>
          <w:color w:val="auto"/>
        </w:rPr>
      </w:pPr>
    </w:p>
    <w:p>
      <w:pPr>
        <w:ind w:left="8"/>
        <w:spacing w:after="0"/>
        <w:rPr>
          <w:sz w:val="20"/>
          <w:szCs w:val="20"/>
          <w:color w:val="auto"/>
        </w:rPr>
      </w:pPr>
      <w:r>
        <w:rPr>
          <w:rFonts w:ascii="Arial" w:cs="Arial" w:eastAsia="Arial" w:hAnsi="Arial"/>
          <w:sz w:val="10"/>
          <w:szCs w:val="10"/>
          <w:color w:val="auto"/>
        </w:rPr>
        <w:t>The information in this report, including the exhibit hereto, shall not be deemed to be “filed” for purposes of Section 18 of the Securities Exchange Act of 1934, as amended, or otherwise subject to the liabilities of that Section 11 and 12(a)</w:t>
      </w:r>
    </w:p>
    <w:p>
      <w:pPr>
        <w:spacing w:after="0" w:line="38" w:lineRule="exact"/>
        <w:rPr>
          <w:sz w:val="20"/>
          <w:szCs w:val="20"/>
          <w:color w:val="auto"/>
        </w:rPr>
      </w:pPr>
    </w:p>
    <w:p>
      <w:pPr>
        <w:ind w:left="8" w:right="200" w:hanging="8"/>
        <w:spacing w:after="0" w:line="262" w:lineRule="auto"/>
        <w:tabs>
          <w:tab w:leader="none" w:pos="178" w:val="left"/>
        </w:tabs>
        <w:numPr>
          <w:ilvl w:val="0"/>
          <w:numId w:val="2"/>
        </w:numPr>
        <w:rPr>
          <w:rFonts w:ascii="Arial" w:cs="Arial" w:eastAsia="Arial" w:hAnsi="Arial"/>
          <w:sz w:val="12"/>
          <w:szCs w:val="12"/>
          <w:color w:val="auto"/>
        </w:rPr>
      </w:pPr>
      <w:r>
        <w:rPr>
          <w:rFonts w:ascii="Arial" w:cs="Arial" w:eastAsia="Arial" w:hAnsi="Arial"/>
          <w:sz w:val="12"/>
          <w:szCs w:val="12"/>
          <w:color w:val="auto"/>
        </w:rPr>
        <w:t>of the Securities Act of 1933, as amended. The information contained herein and in the accompanying exhibit shall not be incorporated by reference into any filing with the U.S. Securities and Exchange Commission made by NGM Biopharmaceuticals, Inc., whether made before or after the date hereof, regardless of any general incorporation language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116840</wp:posOffset>
            </wp:positionV>
            <wp:extent cx="7329170" cy="368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8"/>
          </w:cols>
          <w:pgMar w:left="212" w:top="208" w:right="199" w:bottom="1440" w:gutter="0" w:footer="0" w:header="0"/>
        </w:sectPr>
      </w:pPr>
    </w:p>
    <w:bookmarkStart w:id="2" w:name="page3"/>
    <w:bookmarkEnd w:id="2"/>
    <w:p>
      <w:pPr>
        <w:ind w:left="5340"/>
        <w:spacing w:after="0"/>
        <w:rPr>
          <w:sz w:val="20"/>
          <w:szCs w:val="20"/>
          <w:color w:val="auto"/>
        </w:rPr>
      </w:pPr>
      <w:r>
        <w:rPr>
          <w:rFonts w:ascii="Arial" w:cs="Arial" w:eastAsia="Arial" w:hAnsi="Arial"/>
          <w:sz w:val="12"/>
          <w:szCs w:val="12"/>
          <w:b w:val="1"/>
          <w:bCs w:val="1"/>
          <w:color w:val="auto"/>
        </w:rPr>
        <w:t>SIGNATURES</w:t>
      </w:r>
    </w:p>
    <w:p>
      <w:pPr>
        <w:spacing w:after="0" w:line="155" w:lineRule="exact"/>
        <w:rPr>
          <w:sz w:val="20"/>
          <w:szCs w:val="20"/>
          <w:color w:val="auto"/>
        </w:rPr>
      </w:pPr>
    </w:p>
    <w:p>
      <w:pPr>
        <w:ind w:left="520"/>
        <w:spacing w:after="0"/>
        <w:rPr>
          <w:sz w:val="20"/>
          <w:szCs w:val="20"/>
          <w:color w:val="auto"/>
        </w:rPr>
      </w:pPr>
      <w:r>
        <w:rPr>
          <w:rFonts w:ascii="Arial" w:cs="Arial" w:eastAsia="Arial" w:hAnsi="Arial"/>
          <w:sz w:val="10"/>
          <w:szCs w:val="10"/>
          <w:color w:val="auto"/>
        </w:rPr>
        <w:t>Pursuant to the requirements of the Securities Exchange Act of 1934, as amended, the Registrant has duly caused this report to be signed on its behalf by the undersigned hereunto duly authorized.</w:t>
      </w:r>
    </w:p>
    <w:p>
      <w:pPr>
        <w:spacing w:after="0" w:line="332" w:lineRule="exact"/>
        <w:rPr>
          <w:sz w:val="20"/>
          <w:szCs w:val="20"/>
          <w:color w:val="auto"/>
        </w:rPr>
      </w:pPr>
    </w:p>
    <w:p>
      <w:pPr>
        <w:ind w:left="5980"/>
        <w:spacing w:after="0"/>
        <w:rPr>
          <w:sz w:val="20"/>
          <w:szCs w:val="20"/>
          <w:color w:val="auto"/>
        </w:rPr>
      </w:pPr>
      <w:r>
        <w:rPr>
          <w:rFonts w:ascii="Arial" w:cs="Arial" w:eastAsia="Arial" w:hAnsi="Arial"/>
          <w:sz w:val="12"/>
          <w:szCs w:val="12"/>
          <w:b w:val="1"/>
          <w:bCs w:val="1"/>
          <w:color w:val="auto"/>
        </w:rPr>
        <w:t>NGM Biopharmaceuticals, Inc.</w:t>
      </w:r>
    </w:p>
    <w:p>
      <w:pPr>
        <w:spacing w:after="0" w:line="155" w:lineRule="exact"/>
        <w:rPr>
          <w:sz w:val="20"/>
          <w:szCs w:val="20"/>
          <w:color w:val="auto"/>
        </w:rPr>
      </w:pPr>
    </w:p>
    <w:p>
      <w:pPr>
        <w:spacing w:after="0"/>
        <w:tabs>
          <w:tab w:leader="none" w:pos="5960" w:val="left"/>
          <w:tab w:leader="none" w:pos="6300" w:val="left"/>
        </w:tabs>
        <w:rPr>
          <w:sz w:val="20"/>
          <w:szCs w:val="20"/>
          <w:color w:val="auto"/>
        </w:rPr>
      </w:pPr>
      <w:r>
        <w:rPr>
          <w:rFonts w:ascii="Arial" w:cs="Arial" w:eastAsia="Arial" w:hAnsi="Arial"/>
          <w:sz w:val="12"/>
          <w:szCs w:val="12"/>
          <w:color w:val="auto"/>
        </w:rPr>
        <w:t>Dated: January 13, 2020</w:t>
      </w:r>
      <w:r>
        <w:rPr>
          <w:sz w:val="20"/>
          <w:szCs w:val="20"/>
          <w:color w:val="auto"/>
        </w:rPr>
        <w:tab/>
      </w:r>
      <w:r>
        <w:rPr>
          <w:rFonts w:ascii="Arial" w:cs="Arial" w:eastAsia="Arial" w:hAnsi="Arial"/>
          <w:sz w:val="12"/>
          <w:szCs w:val="12"/>
          <w:color w:val="auto"/>
        </w:rPr>
        <w:t>By:</w:t>
      </w:r>
      <w:r>
        <w:rPr>
          <w:sz w:val="20"/>
          <w:szCs w:val="20"/>
          <w:color w:val="auto"/>
        </w:rPr>
        <w:tab/>
      </w:r>
      <w:r>
        <w:rPr>
          <w:rFonts w:ascii="Arial" w:cs="Arial" w:eastAsia="Arial" w:hAnsi="Arial"/>
          <w:sz w:val="10"/>
          <w:szCs w:val="10"/>
          <w:color w:val="auto"/>
        </w:rPr>
        <w:t>/s/ Aetna Wun Trombley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4008120</wp:posOffset>
            </wp:positionH>
            <wp:positionV relativeFrom="paragraph">
              <wp:posOffset>9525</wp:posOffset>
            </wp:positionV>
            <wp:extent cx="3279140" cy="57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79140" cy="5715"/>
                    </a:xfrm>
                    <a:prstGeom prst="rect">
                      <a:avLst/>
                    </a:prstGeom>
                    <a:noFill/>
                  </pic:spPr>
                </pic:pic>
              </a:graphicData>
            </a:graphic>
          </wp:anchor>
        </w:drawing>
      </w:r>
    </w:p>
    <w:p>
      <w:pPr>
        <w:spacing w:after="0" w:line="5" w:lineRule="exact"/>
        <w:rPr>
          <w:sz w:val="20"/>
          <w:szCs w:val="20"/>
          <w:color w:val="auto"/>
        </w:rPr>
      </w:pPr>
    </w:p>
    <w:p>
      <w:pPr>
        <w:ind w:left="6320"/>
        <w:spacing w:after="0"/>
        <w:rPr>
          <w:sz w:val="20"/>
          <w:szCs w:val="20"/>
          <w:color w:val="auto"/>
        </w:rPr>
      </w:pPr>
      <w:r>
        <w:rPr>
          <w:rFonts w:ascii="Arial" w:cs="Arial" w:eastAsia="Arial" w:hAnsi="Arial"/>
          <w:sz w:val="12"/>
          <w:szCs w:val="12"/>
          <w:color w:val="auto"/>
        </w:rPr>
        <w:t>Aetna Wun Trombley</w:t>
      </w:r>
    </w:p>
    <w:p>
      <w:pPr>
        <w:spacing w:after="0" w:line="15" w:lineRule="exact"/>
        <w:rPr>
          <w:sz w:val="20"/>
          <w:szCs w:val="20"/>
          <w:color w:val="auto"/>
        </w:rPr>
      </w:pPr>
    </w:p>
    <w:p>
      <w:pPr>
        <w:ind w:left="6320"/>
        <w:spacing w:after="0"/>
        <w:rPr>
          <w:sz w:val="20"/>
          <w:szCs w:val="20"/>
          <w:color w:val="auto"/>
        </w:rPr>
      </w:pPr>
      <w:r>
        <w:rPr>
          <w:rFonts w:ascii="Arial" w:cs="Arial" w:eastAsia="Arial" w:hAnsi="Arial"/>
          <w:sz w:val="12"/>
          <w:szCs w:val="12"/>
          <w:i w:val="1"/>
          <w:iCs w:val="1"/>
          <w:color w:val="auto"/>
        </w:rPr>
        <w:t>President and Chief Operating Officer</w:t>
      </w:r>
    </w:p>
    <w:p>
      <w:pPr>
        <w:sectPr>
          <w:pgSz w:w="11900" w:h="16838" w:orient="portrait"/>
          <w:cols w:equalWidth="0" w:num="1">
            <w:col w:w="10239"/>
          </w:cols>
          <w:pgMar w:left="220" w:top="127" w:right="1440" w:bottom="1440" w:gutter="0" w:footer="0" w:header="0"/>
        </w:sectPr>
      </w:pPr>
    </w:p>
    <w:bookmarkStart w:id="3" w:name="page4"/>
    <w:bookmarkEnd w:id="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134620</wp:posOffset>
            </wp:positionH>
            <wp:positionV relativeFrom="page">
              <wp:posOffset>88900</wp:posOffset>
            </wp:positionV>
            <wp:extent cx="7332980" cy="43053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332980" cy="43053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134620</wp:posOffset>
            </wp:positionH>
            <wp:positionV relativeFrom="page">
              <wp:posOffset>180340</wp:posOffset>
            </wp:positionV>
            <wp:extent cx="7332980" cy="43053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332980" cy="43053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134620</wp:posOffset>
            </wp:positionH>
            <wp:positionV relativeFrom="page">
              <wp:posOffset>180340</wp:posOffset>
            </wp:positionV>
            <wp:extent cx="7332980" cy="43053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332980" cy="43053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134620</wp:posOffset>
            </wp:positionH>
            <wp:positionV relativeFrom="page">
              <wp:posOffset>180340</wp:posOffset>
            </wp:positionV>
            <wp:extent cx="7332980" cy="43053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332980" cy="43053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134620</wp:posOffset>
            </wp:positionH>
            <wp:positionV relativeFrom="page">
              <wp:posOffset>180340</wp:posOffset>
            </wp:positionV>
            <wp:extent cx="7332980" cy="43053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332980" cy="43053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134620</wp:posOffset>
            </wp:positionH>
            <wp:positionV relativeFrom="page">
              <wp:posOffset>180340</wp:posOffset>
            </wp:positionV>
            <wp:extent cx="7332980" cy="43053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332980" cy="43053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134620</wp:posOffset>
            </wp:positionH>
            <wp:positionV relativeFrom="page">
              <wp:posOffset>180340</wp:posOffset>
            </wp:positionV>
            <wp:extent cx="7332980" cy="43053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332980" cy="43053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134620</wp:posOffset>
            </wp:positionH>
            <wp:positionV relativeFrom="page">
              <wp:posOffset>180340</wp:posOffset>
            </wp:positionV>
            <wp:extent cx="7332980" cy="43053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332980" cy="43053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134620</wp:posOffset>
            </wp:positionH>
            <wp:positionV relativeFrom="page">
              <wp:posOffset>180340</wp:posOffset>
            </wp:positionV>
            <wp:extent cx="7332980" cy="43053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332980" cy="43053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134620</wp:posOffset>
            </wp:positionH>
            <wp:positionV relativeFrom="page">
              <wp:posOffset>180340</wp:posOffset>
            </wp:positionV>
            <wp:extent cx="7332980" cy="43053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332980" cy="43053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134620</wp:posOffset>
            </wp:positionH>
            <wp:positionV relativeFrom="page">
              <wp:posOffset>180340</wp:posOffset>
            </wp:positionV>
            <wp:extent cx="7332980" cy="43053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332980" cy="43053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134620</wp:posOffset>
            </wp:positionH>
            <wp:positionV relativeFrom="page">
              <wp:posOffset>180340</wp:posOffset>
            </wp:positionV>
            <wp:extent cx="7332980" cy="43053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332980" cy="43053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134620</wp:posOffset>
            </wp:positionH>
            <wp:positionV relativeFrom="page">
              <wp:posOffset>180340</wp:posOffset>
            </wp:positionV>
            <wp:extent cx="7332980" cy="43053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332980" cy="43053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134620</wp:posOffset>
            </wp:positionH>
            <wp:positionV relativeFrom="page">
              <wp:posOffset>180340</wp:posOffset>
            </wp:positionV>
            <wp:extent cx="7332980" cy="43053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332980" cy="43053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134620</wp:posOffset>
            </wp:positionH>
            <wp:positionV relativeFrom="page">
              <wp:posOffset>180340</wp:posOffset>
            </wp:positionV>
            <wp:extent cx="7332980" cy="43053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332980" cy="43053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134620</wp:posOffset>
            </wp:positionH>
            <wp:positionV relativeFrom="page">
              <wp:posOffset>180340</wp:posOffset>
            </wp:positionV>
            <wp:extent cx="7332980" cy="43053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332980" cy="43053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134620</wp:posOffset>
            </wp:positionH>
            <wp:positionV relativeFrom="page">
              <wp:posOffset>4468495</wp:posOffset>
            </wp:positionV>
            <wp:extent cx="729234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9234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134620</wp:posOffset>
            </wp:positionH>
            <wp:positionV relativeFrom="page">
              <wp:posOffset>180340</wp:posOffset>
            </wp:positionV>
            <wp:extent cx="7332980" cy="43053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332980" cy="43053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134620</wp:posOffset>
            </wp:positionH>
            <wp:positionV relativeFrom="page">
              <wp:posOffset>180340</wp:posOffset>
            </wp:positionV>
            <wp:extent cx="7332980" cy="43053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332980" cy="43053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134620</wp:posOffset>
            </wp:positionH>
            <wp:positionV relativeFrom="page">
              <wp:posOffset>180340</wp:posOffset>
            </wp:positionV>
            <wp:extent cx="7332980" cy="43053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332980" cy="43053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134620</wp:posOffset>
            </wp:positionH>
            <wp:positionV relativeFrom="page">
              <wp:posOffset>180340</wp:posOffset>
            </wp:positionV>
            <wp:extent cx="7332980" cy="43053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332980" cy="43053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134620</wp:posOffset>
            </wp:positionH>
            <wp:positionV relativeFrom="page">
              <wp:posOffset>180340</wp:posOffset>
            </wp:positionV>
            <wp:extent cx="7332980" cy="43053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332980" cy="43053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134620</wp:posOffset>
            </wp:positionH>
            <wp:positionV relativeFrom="page">
              <wp:posOffset>180340</wp:posOffset>
            </wp:positionV>
            <wp:extent cx="7332980" cy="43053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332980" cy="43053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134620</wp:posOffset>
            </wp:positionH>
            <wp:positionV relativeFrom="page">
              <wp:posOffset>180340</wp:posOffset>
            </wp:positionV>
            <wp:extent cx="7332980" cy="43053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332980" cy="43053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134620</wp:posOffset>
            </wp:positionH>
            <wp:positionV relativeFrom="page">
              <wp:posOffset>180340</wp:posOffset>
            </wp:positionV>
            <wp:extent cx="7332980" cy="43053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332980" cy="43053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134620</wp:posOffset>
            </wp:positionH>
            <wp:positionV relativeFrom="page">
              <wp:posOffset>180340</wp:posOffset>
            </wp:positionV>
            <wp:extent cx="7332980" cy="43053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332980" cy="43053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134620</wp:posOffset>
            </wp:positionH>
            <wp:positionV relativeFrom="page">
              <wp:posOffset>180340</wp:posOffset>
            </wp:positionV>
            <wp:extent cx="7332980" cy="43053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332980" cy="43053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134620</wp:posOffset>
            </wp:positionH>
            <wp:positionV relativeFrom="page">
              <wp:posOffset>180340</wp:posOffset>
            </wp:positionV>
            <wp:extent cx="7332980" cy="43053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332980" cy="43053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134620</wp:posOffset>
            </wp:positionH>
            <wp:positionV relativeFrom="page">
              <wp:posOffset>180340</wp:posOffset>
            </wp:positionV>
            <wp:extent cx="7332980" cy="43053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332980" cy="43053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134620</wp:posOffset>
            </wp:positionH>
            <wp:positionV relativeFrom="page">
              <wp:posOffset>180340</wp:posOffset>
            </wp:positionV>
            <wp:extent cx="7332980" cy="43053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332980" cy="43053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134620</wp:posOffset>
            </wp:positionH>
            <wp:positionV relativeFrom="page">
              <wp:posOffset>180340</wp:posOffset>
            </wp:positionV>
            <wp:extent cx="7332980" cy="43053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332980" cy="43053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134620</wp:posOffset>
            </wp:positionH>
            <wp:positionV relativeFrom="page">
              <wp:posOffset>180340</wp:posOffset>
            </wp:positionV>
            <wp:extent cx="7332980" cy="43053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332980" cy="43053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134620</wp:posOffset>
            </wp:positionH>
            <wp:positionV relativeFrom="page">
              <wp:posOffset>180340</wp:posOffset>
            </wp:positionV>
            <wp:extent cx="7332980" cy="43053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332980" cy="43053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134620</wp:posOffset>
            </wp:positionH>
            <wp:positionV relativeFrom="page">
              <wp:posOffset>180340</wp:posOffset>
            </wp:positionV>
            <wp:extent cx="7332980" cy="43053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332980" cy="43053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134620</wp:posOffset>
            </wp:positionH>
            <wp:positionV relativeFrom="page">
              <wp:posOffset>180340</wp:posOffset>
            </wp:positionV>
            <wp:extent cx="7332980" cy="43053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332980" cy="43053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134620</wp:posOffset>
            </wp:positionH>
            <wp:positionV relativeFrom="page">
              <wp:posOffset>180340</wp:posOffset>
            </wp:positionV>
            <wp:extent cx="7332980" cy="43053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332980" cy="43053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2"/>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2020-01-13T07:52:33Z</dcterms:created>
  <dcterms:modified xsi:type="dcterms:W3CDTF">2020-01-13T07:52:33Z</dcterms:modified>
</cp:coreProperties>
</file>