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05/13/2022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40" w:type="dxa"/>
            <w:vAlign w:val="bottom"/>
            <w:gridSpan w:val="9"/>
          </w:tcPr>
          <w:p>
            <w:pPr>
              <w:ind w:left="8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13"/>
          </w:tcPr>
          <w:p>
            <w:pPr>
              <w:ind w:left="6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jc w:val="center"/>
              <w:ind w:left="3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jc w:val="center"/>
              <w:ind w:left="426"/>
              <w:spacing w:after="0"/>
              <w:rPr>
                <w:sz w:val="20"/>
                <w:szCs w:val="20"/>
                <w:color w:val="auto"/>
              </w:rPr>
            </w:pPr>
            <w:r>
              <w:rPr>
                <w:rFonts w:ascii="Arial" w:cs="Arial" w:eastAsia="Arial" w:hAnsi="Arial"/>
                <w:sz w:val="17"/>
                <w:szCs w:val="17"/>
                <w:color w:val="0000FF"/>
                <w:w w:val="93"/>
              </w:rPr>
              <w:t>05/13/2022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125,096</w:t>
            </w:r>
          </w:p>
        </w:tc>
        <w:tc>
          <w:tcPr>
            <w:tcW w:w="340" w:type="dxa"/>
            <w:vAlign w:val="bottom"/>
            <w:vMerge w:val="restart"/>
          </w:tcPr>
          <w:p>
            <w:pPr>
              <w:jc w:val="center"/>
              <w:ind w:left="10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00" w:type="dxa"/>
            <w:vAlign w:val="bottom"/>
            <w:vMerge w:val="restart"/>
          </w:tcPr>
          <w:p>
            <w:pPr>
              <w:jc w:val="center"/>
              <w:ind w:left="291"/>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1,218,279</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Arial" w:cs="Arial" w:eastAsia="Arial" w:hAnsi="Arial"/>
                <w:sz w:val="17"/>
                <w:szCs w:val="17"/>
                <w:color w:val="0000FF"/>
                <w:w w:val="93"/>
              </w:rPr>
              <w:t>05/13/2022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4,269</w:t>
            </w:r>
          </w:p>
        </w:tc>
        <w:tc>
          <w:tcPr>
            <w:tcW w:w="340" w:type="dxa"/>
            <w:vAlign w:val="bottom"/>
            <w:tcBorders>
              <w:top w:val="single" w:sz="8" w:color="2C2C2C"/>
            </w:tcBorders>
            <w:vMerge w:val="restart"/>
          </w:tcPr>
          <w:p>
            <w:pPr>
              <w:jc w:val="center"/>
              <w:ind w:left="10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ind w:left="291"/>
              <w:spacing w:after="0"/>
              <w:rPr>
                <w:sz w:val="20"/>
                <w:szCs w:val="20"/>
                <w:color w:val="auto"/>
              </w:rPr>
            </w:pPr>
            <w:r>
              <w:rPr>
                <w:rFonts w:ascii="Arial" w:cs="Arial" w:eastAsia="Arial" w:hAnsi="Arial"/>
                <w:sz w:val="11"/>
                <w:szCs w:val="11"/>
                <w:color w:val="008000"/>
                <w:w w:val="88"/>
              </w:rPr>
              <w:t>(1)</w:t>
            </w: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41,577</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Arial" w:cs="Arial" w:eastAsia="Arial" w:hAnsi="Arial"/>
                <w:sz w:val="17"/>
                <w:szCs w:val="17"/>
                <w:color w:val="0000FF"/>
                <w:w w:val="93"/>
              </w:rPr>
              <w:t>05/16/2022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32,072</w:t>
            </w:r>
          </w:p>
        </w:tc>
        <w:tc>
          <w:tcPr>
            <w:tcW w:w="340" w:type="dxa"/>
            <w:vAlign w:val="bottom"/>
            <w:tcBorders>
              <w:top w:val="single" w:sz="8" w:color="2C2C2C"/>
            </w:tcBorders>
            <w:vMerge w:val="restart"/>
          </w:tcPr>
          <w:p>
            <w:pPr>
              <w:jc w:val="center"/>
              <w:ind w:left="10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12.9015</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1,250,351</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Arial" w:cs="Arial" w:eastAsia="Arial" w:hAnsi="Arial"/>
                <w:sz w:val="17"/>
                <w:szCs w:val="17"/>
                <w:color w:val="0000FF"/>
                <w:w w:val="93"/>
              </w:rPr>
              <w:t>05/16/2022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1,094</w:t>
            </w:r>
          </w:p>
        </w:tc>
        <w:tc>
          <w:tcPr>
            <w:tcW w:w="340" w:type="dxa"/>
            <w:vAlign w:val="bottom"/>
            <w:tcBorders>
              <w:top w:val="single" w:sz="8" w:color="2C2C2C"/>
            </w:tcBorders>
            <w:vMerge w:val="restart"/>
          </w:tcPr>
          <w:p>
            <w:pPr>
              <w:jc w:val="center"/>
              <w:ind w:left="10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12.9015</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42,671</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858,035</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968,990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88"/>
              </w:rPr>
              <w:t>80,000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1"/>
              <w:spacing w:after="0"/>
              <w:rPr>
                <w:sz w:val="20"/>
                <w:szCs w:val="20"/>
                <w:color w:val="auto"/>
              </w:rPr>
            </w:pPr>
            <w:r>
              <w:rPr>
                <w:rFonts w:ascii="Arial" w:cs="Arial" w:eastAsia="Arial" w:hAnsi="Arial"/>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1"/>
              </w:rPr>
              <w:t>110,000</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96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5340" w:type="dxa"/>
            <w:vAlign w:val="bottom"/>
            <w:gridSpan w:val="6"/>
          </w:tcPr>
          <w:p>
            <w:pPr>
              <w:ind w:left="40"/>
              <w:spacing w:after="0" w:line="67" w:lineRule="exact"/>
              <w:rPr>
                <w:sz w:val="20"/>
                <w:szCs w:val="20"/>
                <w:color w:val="auto"/>
              </w:rPr>
            </w:pPr>
            <w:r>
              <w:rPr>
                <w:rFonts w:ascii="Arial" w:cs="Arial" w:eastAsia="Arial" w:hAnsi="Arial"/>
                <w:sz w:val="7"/>
                <w:szCs w:val="7"/>
                <w:color w:val="008000"/>
              </w:rPr>
              <w:t>1. Represents a purchase of common stock pursuant to a block trade at a price of $11.29 per share.</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40" w:type="dxa"/>
            <w:vAlign w:val="bottom"/>
          </w:tcPr>
          <w:p>
            <w:pPr>
              <w:spacing w:after="0" w:line="81" w:lineRule="exact"/>
              <w:rPr>
                <w:sz w:val="20"/>
                <w:szCs w:val="20"/>
                <w:color w:val="auto"/>
              </w:rPr>
            </w:pPr>
            <w:r>
              <w:rPr>
                <w:rFonts w:ascii="Arial" w:cs="Arial" w:eastAsia="Arial" w:hAnsi="Arial"/>
                <w:sz w:val="8"/>
                <w:szCs w:val="8"/>
                <w:b w:val="1"/>
                <w:bCs w:val="1"/>
                <w:color w:val="auto"/>
              </w:rPr>
              <w:t>Derivative</w:t>
            </w: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Acquired</w:t>
            </w: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0" w:right="160"/>
        <w:spacing w:after="0" w:line="288" w:lineRule="auto"/>
        <w:rPr>
          <w:sz w:val="20"/>
          <w:szCs w:val="20"/>
          <w:color w:val="auto"/>
        </w:rPr>
      </w:pPr>
      <w:r>
        <w:rPr>
          <w:rFonts w:ascii="Arial" w:cs="Arial" w:eastAsia="Arial" w:hAnsi="Arial"/>
          <w:sz w:val="10"/>
          <w:szCs w:val="10"/>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94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094230"/>
                    </a:xfrm>
                    <a:prstGeom prst="rect">
                      <a:avLst/>
                    </a:prstGeom>
                    <a:noFill/>
                  </pic:spPr>
                </pic:pic>
              </a:graphicData>
            </a:graphic>
          </wp:anchor>
        </w:drawing>
        <w:t>2. The securities</w:t>
      </w:r>
      <w:r>
        <w:rPr>
          <w:rFonts w:ascii="Arial" w:cs="Arial" w:eastAsia="Arial" w:hAnsi="Arial"/>
          <w:sz w:val="8"/>
          <w:szCs w:val="8"/>
          <w:b w:val="1"/>
          <w:bCs w:val="1"/>
          <w:color w:val="000000"/>
        </w:rPr>
        <w:t>Security</w:t>
      </w:r>
      <w:r>
        <w:rPr>
          <w:rFonts w:ascii="Arial" w:cs="Arial" w:eastAsia="Arial" w:hAnsi="Arial"/>
          <w:sz w:val="10"/>
          <w:szCs w:val="10"/>
          <w:color w:val="008000"/>
        </w:rPr>
        <w:t>aredirectly held by The Column Group IV, LP ("TCG IV LP"). The Column</w:t>
      </w:r>
      <w:r>
        <w:rPr>
          <w:rFonts w:ascii="Arial" w:cs="Arial" w:eastAsia="Arial" w:hAnsi="Arial"/>
          <w:sz w:val="8"/>
          <w:szCs w:val="8"/>
          <w:b w:val="1"/>
          <w:bCs w:val="1"/>
          <w:color w:val="000000"/>
        </w:rPr>
        <w:t>(A)or</w:t>
      </w:r>
      <w:r>
        <w:rPr>
          <w:rFonts w:ascii="Arial" w:cs="Arial" w:eastAsia="Arial" w:hAnsi="Arial"/>
          <w:sz w:val="10"/>
          <w:szCs w:val="10"/>
          <w:color w:val="008000"/>
        </w:rPr>
        <w:t xml:space="preserve"> Group IV GP, LP ("TCG IV GP LP")</w:t>
      </w:r>
      <w:r>
        <w:rPr>
          <w:rFonts w:ascii="Arial" w:cs="Arial" w:eastAsia="Arial" w:hAnsi="Arial"/>
          <w:sz w:val="8"/>
          <w:szCs w:val="8"/>
          <w:b w:val="1"/>
          <w:bCs w:val="1"/>
          <w:color w:val="000000"/>
        </w:rPr>
        <w:t>Security</w:t>
      </w:r>
      <w:r>
        <w:rPr>
          <w:rFonts w:ascii="Arial" w:cs="Arial" w:eastAsia="Arial" w:hAnsi="Arial"/>
          <w:sz w:val="10"/>
          <w:szCs w:val="10"/>
          <w:color w:val="008000"/>
        </w:rPr>
        <w:t>isthegeneral</w:t>
      </w:r>
      <w:r>
        <w:rPr>
          <w:rFonts w:ascii="Arial" w:cs="Arial" w:eastAsia="Arial" w:hAnsi="Arial"/>
          <w:sz w:val="8"/>
          <w:szCs w:val="8"/>
          <w:b w:val="1"/>
          <w:bCs w:val="1"/>
          <w:color w:val="000000"/>
        </w:rPr>
        <w:t>(Istr.</w:t>
      </w:r>
      <w:r>
        <w:rPr>
          <w:rFonts w:ascii="Arial" w:cs="Arial" w:eastAsia="Arial" w:hAnsi="Arial"/>
          <w:sz w:val="10"/>
          <w:szCs w:val="10"/>
          <w:color w:val="008000"/>
        </w:rPr>
        <w:t xml:space="preserve"> partner of TCG</w:t>
      </w:r>
      <w:r>
        <w:rPr>
          <w:rFonts w:ascii="Arial" w:cs="Arial" w:eastAsia="Arial" w:hAnsi="Arial"/>
          <w:sz w:val="8"/>
          <w:szCs w:val="8"/>
          <w:b w:val="1"/>
          <w:bCs w:val="1"/>
          <w:color w:val="000000"/>
        </w:rPr>
        <w:t>Following</w:t>
      </w:r>
      <w:r>
        <w:rPr>
          <w:rFonts w:ascii="Arial" w:cs="Arial" w:eastAsia="Arial" w:hAnsi="Arial"/>
          <w:sz w:val="10"/>
          <w:szCs w:val="10"/>
          <w:color w:val="008000"/>
        </w:rPr>
        <w:t>IVLPand may be</w:t>
      </w:r>
      <w:r>
        <w:rPr>
          <w:rFonts w:ascii="Arial" w:cs="Arial" w:eastAsia="Arial" w:hAnsi="Arial"/>
          <w:sz w:val="8"/>
          <w:szCs w:val="8"/>
          <w:b w:val="1"/>
          <w:bCs w:val="1"/>
          <w:color w:val="000000"/>
        </w:rPr>
        <w:t>(I)</w:t>
      </w:r>
      <w:r>
        <w:rPr>
          <w:rFonts w:ascii="Arial" w:cs="Arial" w:eastAsia="Arial" w:hAnsi="Arial"/>
          <w:sz w:val="10"/>
          <w:szCs w:val="10"/>
          <w:color w:val="008000"/>
        </w:rPr>
        <w:t>deemed</w:t>
      </w:r>
      <w:r>
        <w:rPr>
          <w:rFonts w:ascii="Arial" w:cs="Arial" w:eastAsia="Arial" w:hAnsi="Arial"/>
          <w:sz w:val="8"/>
          <w:szCs w:val="8"/>
          <w:b w:val="1"/>
          <w:bCs w:val="1"/>
          <w:color w:val="000000"/>
        </w:rPr>
        <w:t>(Instr.4)</w:t>
      </w:r>
      <w:r>
        <w:rPr>
          <w:rFonts w:ascii="Arial" w:cs="Arial" w:eastAsia="Arial" w:hAnsi="Arial"/>
          <w:sz w:val="10"/>
          <w:szCs w:val="10"/>
          <w:color w:val="008000"/>
        </w:rPr>
        <w:t>to have voting and investment power with respect to these securities. TCG IV GP LLC ("TCG IV LLC")</w:t>
      </w:r>
      <w:r>
        <w:rPr>
          <w:rFonts w:ascii="Arial" w:cs="Arial" w:eastAsia="Arial" w:hAnsi="Arial"/>
          <w:sz w:val="8"/>
          <w:szCs w:val="8"/>
          <w:b w:val="1"/>
          <w:bCs w:val="1"/>
          <w:color w:val="000000"/>
        </w:rPr>
        <w:t>Dispos</w:t>
      </w:r>
      <w:r>
        <w:rPr>
          <w:rFonts w:ascii="Arial" w:cs="Arial" w:eastAsia="Arial" w:hAnsi="Arial"/>
          <w:sz w:val="10"/>
          <w:szCs w:val="10"/>
          <w:color w:val="008000"/>
        </w:rPr>
        <w:t>isthe</w:t>
      </w:r>
      <w:r>
        <w:rPr>
          <w:rFonts w:ascii="Arial" w:cs="Arial" w:eastAsia="Arial" w:hAnsi="Arial"/>
          <w:sz w:val="8"/>
          <w:szCs w:val="8"/>
          <w:b w:val="1"/>
          <w:bCs w:val="1"/>
          <w:color w:val="000000"/>
        </w:rPr>
        <w:t>d</w:t>
      </w:r>
      <w:r>
        <w:rPr>
          <w:rFonts w:ascii="Arial" w:cs="Arial" w:eastAsia="Arial" w:hAnsi="Arial"/>
          <w:sz w:val="10"/>
          <w:szCs w:val="10"/>
          <w:color w:val="008000"/>
        </w:rPr>
        <w:t>general partner of TCG IV GP LP</w:t>
      </w:r>
      <w:r>
        <w:rPr>
          <w:rFonts w:ascii="Arial" w:cs="Arial" w:eastAsia="Arial" w:hAnsi="Arial"/>
          <w:sz w:val="8"/>
          <w:szCs w:val="8"/>
          <w:b w:val="1"/>
          <w:bCs w:val="1"/>
          <w:color w:val="000000"/>
        </w:rPr>
        <w:t>3</w:t>
      </w:r>
      <w:r>
        <w:rPr>
          <w:rFonts w:ascii="Arial" w:cs="Arial" w:eastAsia="Arial" w:hAnsi="Arial"/>
          <w:sz w:val="10"/>
          <w:szCs w:val="10"/>
          <w:color w:val="008000"/>
        </w:rPr>
        <w:t xml:space="preserve"> and</w:t>
      </w:r>
      <w:r>
        <w:rPr>
          <w:rFonts w:ascii="Arial" w:cs="Arial" w:eastAsia="Arial" w:hAnsi="Arial"/>
          <w:sz w:val="8"/>
          <w:szCs w:val="8"/>
          <w:b w:val="1"/>
          <w:bCs w:val="1"/>
          <w:color w:val="000000"/>
        </w:rPr>
        <w:t>nd</w:t>
      </w:r>
      <w:r>
        <w:rPr>
          <w:rFonts w:ascii="Arial" w:cs="Arial" w:eastAsia="Arial" w:hAnsi="Arial"/>
          <w:sz w:val="10"/>
          <w:szCs w:val="10"/>
          <w:color w:val="008000"/>
        </w:rPr>
        <w:t>the</w:t>
      </w:r>
      <w:r>
        <w:rPr>
          <w:rFonts w:ascii="Arial" w:cs="Arial" w:eastAsia="Arial" w:hAnsi="Arial"/>
          <w:sz w:val="8"/>
          <w:szCs w:val="8"/>
          <w:b w:val="1"/>
          <w:bCs w:val="1"/>
          <w:color w:val="000000"/>
        </w:rPr>
        <w:t>4)</w:t>
      </w:r>
      <w:r>
        <w:rPr>
          <w:rFonts w:ascii="Arial" w:cs="Arial" w:eastAsia="Arial" w:hAnsi="Arial"/>
          <w:sz w:val="10"/>
          <w:szCs w:val="10"/>
          <w:color w:val="008000"/>
        </w:rPr>
        <w:t xml:space="preserve"> ultimate general partner</w:t>
      </w:r>
      <w:r>
        <w:rPr>
          <w:rFonts w:ascii="Arial" w:cs="Arial" w:eastAsia="Arial" w:hAnsi="Arial"/>
          <w:sz w:val="8"/>
          <w:szCs w:val="8"/>
          <w:b w:val="1"/>
          <w:bCs w:val="1"/>
          <w:color w:val="000000"/>
        </w:rPr>
        <w:t>Reported</w:t>
      </w:r>
      <w:r>
        <w:rPr>
          <w:rFonts w:ascii="Arial" w:cs="Arial" w:eastAsia="Arial" w:hAnsi="Arial"/>
          <w:sz w:val="10"/>
          <w:szCs w:val="10"/>
          <w:color w:val="008000"/>
        </w:rPr>
        <w:t>ofTCG IV LP and may be deemed to</w:t>
      </w:r>
    </w:p>
    <w:p>
      <w:pPr>
        <w:spacing w:after="0" w:line="1" w:lineRule="exact"/>
        <w:rPr>
          <w:sz w:val="20"/>
          <w:szCs w:val="20"/>
          <w:color w:val="auto"/>
        </w:rPr>
      </w:pPr>
    </w:p>
    <w:p>
      <w:pPr>
        <w:ind w:left="4680" w:right="460" w:hanging="4636"/>
        <w:spacing w:after="0"/>
        <w:rPr>
          <w:sz w:val="20"/>
          <w:szCs w:val="20"/>
          <w:color w:val="auto"/>
        </w:rPr>
      </w:pPr>
      <w:r>
        <w:rPr>
          <w:rFonts w:ascii="Arial" w:cs="Arial" w:eastAsia="Arial" w:hAnsi="Arial"/>
          <w:sz w:val="10"/>
          <w:szCs w:val="10"/>
          <w:color w:val="008000"/>
        </w:rPr>
        <w:t>have voting and investment power with respect to these securities. The managing members</w:t>
      </w:r>
      <w:r>
        <w:rPr>
          <w:rFonts w:ascii="Arial" w:cs="Arial" w:eastAsia="Arial" w:hAnsi="Arial"/>
          <w:sz w:val="8"/>
          <w:szCs w:val="8"/>
          <w:b w:val="1"/>
          <w:bCs w:val="1"/>
          <w:color w:val="000000"/>
        </w:rPr>
        <w:t>of(D)</w:t>
      </w:r>
      <w:r>
        <w:rPr>
          <w:rFonts w:ascii="Arial" w:cs="Arial" w:eastAsia="Arial" w:hAnsi="Arial"/>
          <w:sz w:val="10"/>
          <w:szCs w:val="10"/>
          <w:color w:val="008000"/>
        </w:rPr>
        <w:t>of TCG IV LLC are David Goeddel, a member of the issuer's board of</w:t>
      </w:r>
      <w:r>
        <w:rPr>
          <w:rFonts w:ascii="Arial" w:cs="Arial" w:eastAsia="Arial" w:hAnsi="Arial"/>
          <w:sz w:val="8"/>
          <w:szCs w:val="8"/>
          <w:b w:val="1"/>
          <w:bCs w:val="1"/>
          <w:color w:val="000000"/>
        </w:rPr>
        <w:t>Transaction(s)</w:t>
      </w:r>
      <w:r>
        <w:rPr>
          <w:rFonts w:ascii="Arial" w:cs="Arial" w:eastAsia="Arial" w:hAnsi="Arial"/>
          <w:sz w:val="10"/>
          <w:szCs w:val="10"/>
          <w:color w:val="008000"/>
        </w:rPr>
        <w:t xml:space="preserve">directors,Peter Svennilson and Tim </w:t>
      </w:r>
      <w:r>
        <w:rPr>
          <w:rFonts w:ascii="Arial" w:cs="Arial" w:eastAsia="Arial" w:hAnsi="Arial"/>
          <w:sz w:val="8"/>
          <w:szCs w:val="8"/>
          <w:b w:val="1"/>
          <w:bCs w:val="1"/>
          <w:color w:val="000000"/>
        </w:rPr>
        <w:t>(Instr. 3, 4 (Instr. 4)</w:t>
      </w:r>
    </w:p>
    <w:p>
      <w:pPr>
        <w:spacing w:after="0" w:line="48" w:lineRule="exact"/>
        <w:rPr>
          <w:sz w:val="20"/>
          <w:szCs w:val="20"/>
          <w:color w:val="auto"/>
        </w:rPr>
      </w:pPr>
    </w:p>
    <w:p>
      <w:pPr>
        <w:ind w:left="4680" w:right="320" w:hanging="4636"/>
        <w:spacing w:after="0"/>
        <w:rPr>
          <w:sz w:val="20"/>
          <w:szCs w:val="20"/>
          <w:color w:val="auto"/>
        </w:rPr>
      </w:pPr>
      <w:r>
        <w:rPr>
          <w:rFonts w:ascii="Arial" w:cs="Arial" w:eastAsia="Arial" w:hAnsi="Arial"/>
          <w:sz w:val="11"/>
          <w:szCs w:val="11"/>
          <w:color w:val="008000"/>
        </w:rPr>
        <w:t xml:space="preserve">Kutzkey (collectively, the "TCG IV Managing Members"). The TCG IV Managing Members may be deemed to share voting and investment power with respect to such securities. TCG IV GP LP, TCG </w:t>
      </w:r>
      <w:r>
        <w:rPr>
          <w:rFonts w:ascii="Arial" w:cs="Arial" w:eastAsia="Arial" w:hAnsi="Arial"/>
          <w:sz w:val="9"/>
          <w:szCs w:val="9"/>
          <w:b w:val="1"/>
          <w:bCs w:val="1"/>
          <w:color w:val="000000"/>
        </w:rPr>
        <w:t>and 5)</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IV LLC and each of the TCG IV Managing Members disclaim beneficial ownership of these securities, except to the extent of their respective pecuniary interest in such securities.</w:t>
      </w:r>
    </w:p>
    <w:p>
      <w:pPr>
        <w:spacing w:after="0" w:line="40" w:lineRule="exact"/>
        <w:rPr>
          <w:sz w:val="20"/>
          <w:szCs w:val="20"/>
          <w:color w:val="auto"/>
        </w:rPr>
      </w:pPr>
    </w:p>
    <w:p>
      <w:pPr>
        <w:jc w:val="both"/>
        <w:ind w:left="40" w:right="400" w:firstLine="7"/>
        <w:spacing w:after="0" w:line="26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w:t>
      </w:r>
    </w:p>
    <w:tbl>
      <w:tblPr>
        <w:tblLayout w:type="fixed"/>
        <w:tblInd w:w="40" w:type="dxa"/>
        <w:tblCellMar>
          <w:top w:w="0" w:type="dxa"/>
          <w:left w:w="0" w:type="dxa"/>
          <w:bottom w:w="0" w:type="dxa"/>
          <w:right w:w="0" w:type="dxa"/>
        </w:tblCellMar>
      </w:tblPr>
      <w:tr>
        <w:trPr>
          <w:trHeight w:val="120"/>
        </w:trPr>
        <w:tc>
          <w:tcPr>
            <w:tcW w:w="10900" w:type="dxa"/>
            <w:vAlign w:val="bottom"/>
            <w:gridSpan w:val="5"/>
          </w:tcPr>
          <w:p>
            <w:pPr>
              <w:spacing w:after="0" w:line="120" w:lineRule="exact"/>
              <w:rPr>
                <w:sz w:val="20"/>
                <w:szCs w:val="20"/>
                <w:color w:val="auto"/>
              </w:rPr>
            </w:pPr>
            <w:r>
              <w:rPr>
                <w:rFonts w:ascii="Arial" w:cs="Arial" w:eastAsia="Arial" w:hAnsi="Arial"/>
                <w:sz w:val="13"/>
                <w:szCs w:val="13"/>
                <w:color w:val="008000"/>
                <w:w w:val="95"/>
              </w:rPr>
              <w:t>respect to such securities. TCG IV GP LP, TCG IV LLC and each of the TCG IV Managing Members disclaim beneficial ownership of these securities, except to the extent of their respective pecuniary</w:t>
            </w:r>
          </w:p>
        </w:tc>
        <w:tc>
          <w:tcPr>
            <w:tcW w:w="0" w:type="dxa"/>
            <w:vAlign w:val="bottom"/>
          </w:tcPr>
          <w:p>
            <w:pPr>
              <w:spacing w:after="0"/>
              <w:rPr>
                <w:sz w:val="1"/>
                <w:szCs w:val="1"/>
                <w:color w:val="auto"/>
              </w:rPr>
            </w:pPr>
          </w:p>
        </w:tc>
      </w:tr>
      <w:tr>
        <w:trPr>
          <w:trHeight w:val="64"/>
        </w:trPr>
        <w:tc>
          <w:tcPr>
            <w:tcW w:w="3680" w:type="dxa"/>
            <w:vAlign w:val="bottom"/>
            <w:vMerge w:val="restart"/>
          </w:tcPr>
          <w:p>
            <w:pPr>
              <w:spacing w:after="0"/>
              <w:rPr>
                <w:sz w:val="20"/>
                <w:szCs w:val="20"/>
                <w:color w:val="auto"/>
              </w:rPr>
            </w:pPr>
            <w:r>
              <w:rPr>
                <w:rFonts w:ascii="Arial" w:cs="Arial" w:eastAsia="Arial" w:hAnsi="Arial"/>
                <w:sz w:val="13"/>
                <w:szCs w:val="13"/>
                <w:color w:val="008000"/>
              </w:rPr>
              <w:t>interest in such securities.</w:t>
            </w:r>
          </w:p>
        </w:tc>
        <w:tc>
          <w:tcPr>
            <w:tcW w:w="8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60" w:type="dxa"/>
            <w:vAlign w:val="bottom"/>
          </w:tcPr>
          <w:p>
            <w:pPr>
              <w:ind w:left="460"/>
              <w:spacing w:after="0" w:line="64"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133"/>
        </w:trPr>
        <w:tc>
          <w:tcPr>
            <w:tcW w:w="36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23"/>
        </w:trPr>
        <w:tc>
          <w:tcPr>
            <w:tcW w:w="3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60" w:type="dxa"/>
            <w:vAlign w:val="bottom"/>
          </w:tcPr>
          <w:p>
            <w:pPr>
              <w:ind w:left="460"/>
              <w:spacing w:after="0" w:line="123"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27"/>
        </w:trPr>
        <w:tc>
          <w:tcPr>
            <w:tcW w:w="10900" w:type="dxa"/>
            <w:vAlign w:val="bottom"/>
            <w:gridSpan w:val="5"/>
          </w:tcPr>
          <w:p>
            <w:pPr>
              <w:spacing w:after="0" w:line="27" w:lineRule="exact"/>
              <w:rPr>
                <w:sz w:val="20"/>
                <w:szCs w:val="20"/>
                <w:color w:val="auto"/>
              </w:rPr>
            </w:pPr>
            <w:r>
              <w:rPr>
                <w:rFonts w:ascii="Arial" w:cs="Arial" w:eastAsia="Arial" w:hAnsi="Arial"/>
                <w:sz w:val="3"/>
                <w:szCs w:val="3"/>
                <w:color w:val="008000"/>
              </w:rPr>
              <w:t>4. The price reported in Column 4 is a weighted average price. These shares were purchased in multiple transactions at prices ranging from $12.05 to $13.00, inclusive. The Reporting Person undertakes to</w:t>
            </w:r>
          </w:p>
        </w:tc>
        <w:tc>
          <w:tcPr>
            <w:tcW w:w="0" w:type="dxa"/>
            <w:vAlign w:val="bottom"/>
          </w:tcPr>
          <w:p>
            <w:pPr>
              <w:spacing w:after="0" w:line="20" w:lineRule="exact"/>
              <w:rPr>
                <w:sz w:val="1"/>
                <w:szCs w:val="1"/>
                <w:color w:val="auto"/>
              </w:rPr>
            </w:pPr>
          </w:p>
        </w:tc>
      </w:tr>
      <w:tr>
        <w:trPr>
          <w:trHeight w:val="107"/>
        </w:trPr>
        <w:tc>
          <w:tcPr>
            <w:tcW w:w="3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20" w:type="dxa"/>
            <w:vAlign w:val="bottom"/>
          </w:tcPr>
          <w:p>
            <w:pPr>
              <w:ind w:left="880"/>
              <w:spacing w:after="0" w:line="10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Expiration</w:t>
            </w:r>
          </w:p>
        </w:tc>
        <w:tc>
          <w:tcPr>
            <w:tcW w:w="4060" w:type="dxa"/>
            <w:vAlign w:val="bottom"/>
          </w:tcPr>
          <w:p>
            <w:pPr>
              <w:ind w:left="460"/>
              <w:spacing w:after="0" w:line="107"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40"/>
        </w:trPr>
        <w:tc>
          <w:tcPr>
            <w:tcW w:w="10900" w:type="dxa"/>
            <w:vAlign w:val="bottom"/>
            <w:gridSpan w:val="5"/>
          </w:tcPr>
          <w:p>
            <w:pPr>
              <w:spacing w:after="0" w:line="40" w:lineRule="exact"/>
              <w:rPr>
                <w:sz w:val="20"/>
                <w:szCs w:val="20"/>
                <w:color w:val="auto"/>
              </w:rPr>
            </w:pPr>
            <w:r>
              <w:rPr>
                <w:rFonts w:ascii="Arial" w:cs="Arial" w:eastAsia="Arial" w:hAnsi="Arial"/>
                <w:sz w:val="4"/>
                <w:szCs w:val="4"/>
                <w:color w:val="008000"/>
              </w:rPr>
              <w:t>provide to the Issuer, any security holder of the Issuer or the staff of the Securities Exchange Commission, upon request, full information regarding the number of securities purchased at each separate</w:t>
            </w:r>
          </w:p>
        </w:tc>
        <w:tc>
          <w:tcPr>
            <w:tcW w:w="0" w:type="dxa"/>
            <w:vAlign w:val="bottom"/>
          </w:tcPr>
          <w:p>
            <w:pPr>
              <w:spacing w:after="0" w:line="20" w:lineRule="exact"/>
              <w:rPr>
                <w:sz w:val="1"/>
                <w:szCs w:val="1"/>
                <w:color w:val="auto"/>
              </w:rPr>
            </w:pPr>
          </w:p>
        </w:tc>
      </w:tr>
      <w:tr>
        <w:trPr>
          <w:trHeight w:val="147"/>
        </w:trPr>
        <w:tc>
          <w:tcPr>
            <w:tcW w:w="3680" w:type="dxa"/>
            <w:vAlign w:val="bottom"/>
            <w:vMerge w:val="restart"/>
          </w:tcPr>
          <w:p>
            <w:pPr>
              <w:spacing w:after="0"/>
              <w:rPr>
                <w:sz w:val="20"/>
                <w:szCs w:val="20"/>
                <w:color w:val="auto"/>
              </w:rPr>
            </w:pPr>
            <w:r>
              <w:rPr>
                <w:rFonts w:ascii="Arial" w:cs="Arial" w:eastAsia="Arial" w:hAnsi="Arial"/>
                <w:sz w:val="13"/>
                <w:szCs w:val="13"/>
                <w:color w:val="008000"/>
                <w:w w:val="97"/>
              </w:rPr>
              <w:t>price within the ranges set forth in this footnote (4) to this Form 4.</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160"/>
              <w:spacing w:after="0"/>
              <w:rPr>
                <w:sz w:val="20"/>
                <w:szCs w:val="20"/>
                <w:color w:val="auto"/>
              </w:rPr>
            </w:pPr>
            <w:r>
              <w:rPr>
                <w:rFonts w:ascii="Arial" w:cs="Arial" w:eastAsia="Arial" w:hAnsi="Arial"/>
                <w:sz w:val="12"/>
                <w:szCs w:val="12"/>
                <w:b w:val="1"/>
                <w:bCs w:val="1"/>
                <w:color w:val="auto"/>
              </w:rPr>
              <w:t>(A)   (D)   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6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0" w:type="dxa"/>
            <w:vAlign w:val="bottom"/>
          </w:tcPr>
          <w:p>
            <w:pPr>
              <w:spacing w:after="0"/>
              <w:rPr>
                <w:sz w:val="1"/>
                <w:szCs w:val="1"/>
                <w:color w:val="auto"/>
              </w:rPr>
            </w:pPr>
          </w:p>
        </w:tc>
      </w:tr>
      <w:tr>
        <w:trPr>
          <w:trHeight w:val="40"/>
        </w:trPr>
        <w:tc>
          <w:tcPr>
            <w:tcW w:w="368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40" w:right="240" w:firstLine="7"/>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140" w:firstLine="7"/>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320" w:firstLine="7"/>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and investment power with respect to</w:t>
      </w:r>
    </w:p>
    <w:p>
      <w:pPr>
        <w:spacing w:after="0" w:line="18" w:lineRule="exact"/>
        <w:rPr>
          <w:rFonts w:ascii="Arial" w:cs="Arial" w:eastAsia="Arial" w:hAnsi="Arial"/>
          <w:sz w:val="12"/>
          <w:szCs w:val="12"/>
          <w:color w:val="008000"/>
        </w:rPr>
      </w:pPr>
    </w:p>
    <w:p>
      <w:pPr>
        <w:ind w:left="40" w:right="240"/>
        <w:spacing w:after="0" w:line="291" w:lineRule="auto"/>
        <w:rPr>
          <w:rFonts w:ascii="Arial" w:cs="Arial" w:eastAsia="Arial" w:hAnsi="Arial"/>
          <w:sz w:val="12"/>
          <w:szCs w:val="12"/>
          <w:color w:val="008000"/>
        </w:rPr>
      </w:pPr>
      <w:r>
        <w:rPr>
          <w:rFonts w:ascii="Arial" w:cs="Arial" w:eastAsia="Arial" w:hAnsi="Arial"/>
          <w:sz w:val="12"/>
          <w:szCs w:val="12"/>
          <w:color w:val="008000"/>
        </w:rPr>
        <w:t>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1" w:lineRule="exact"/>
        <w:rPr>
          <w:rFonts w:ascii="Arial" w:cs="Arial" w:eastAsia="Arial" w:hAnsi="Arial"/>
          <w:sz w:val="12"/>
          <w:szCs w:val="12"/>
          <w:color w:val="008000"/>
        </w:rPr>
      </w:pPr>
    </w:p>
    <w:p>
      <w:pPr>
        <w:jc w:val="both"/>
        <w:ind w:left="40" w:right="160" w:firstLine="7"/>
        <w:spacing w:after="0" w:line="281"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left="40" w:right="340" w:firstLine="7"/>
        <w:spacing w:after="0" w:line="245" w:lineRule="auto"/>
        <w:tabs>
          <w:tab w:leader="none" w:pos="2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40" w:right="340" w:firstLine="7"/>
        <w:spacing w:after="0" w:line="301" w:lineRule="auto"/>
        <w:tabs>
          <w:tab w:leader="none" w:pos="2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40" w:hanging="193"/>
        <w:spacing w:after="0"/>
        <w:tabs>
          <w:tab w:leader="none" w:pos="2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left="40" w:right="22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40" w:hanging="193"/>
        <w:spacing w:after="0"/>
        <w:tabs>
          <w:tab w:leader="none" w:pos="2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the Reporting Person and Alena Z. Goeddel serve as co-trustee.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05/17/2022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2022-05-17T15:30:46Z</dcterms:created>
  <dcterms:modified xsi:type="dcterms:W3CDTF">2022-05-17T15:30:46Z</dcterms:modified>
</cp:coreProperties>
</file>