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020" w:right="12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215265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26-1679911</w:t>
      </w:r>
    </w:p>
    <w:p>
      <w:pPr>
        <w:spacing w:after="0" w:line="50" w:lineRule="exact"/>
        <w:rPr>
          <w:sz w:val="24"/>
          <w:szCs w:val="24"/>
          <w:color w:val="auto"/>
        </w:rPr>
      </w:pPr>
    </w:p>
    <w:p>
      <w:pPr>
        <w:sectPr>
          <w:pgSz w:w="11900" w:h="16838" w:orient="portrait"/>
          <w:cols w:equalWidth="0" w:num="2">
            <w:col w:w="7200" w:space="720"/>
            <w:col w:w="2360"/>
          </w:cols>
          <w:pgMar w:left="440" w:top="368" w:right="1179" w:bottom="1440" w:gutter="0" w:footer="0" w:header="0"/>
          <w:type w:val="continuous"/>
        </w:sectPr>
      </w:pPr>
    </w:p>
    <w:p>
      <w:pPr>
        <w:ind w:left="1540"/>
        <w:spacing w:after="0"/>
        <w:rPr>
          <w:sz w:val="20"/>
          <w:szCs w:val="20"/>
          <w:color w:val="auto"/>
        </w:rPr>
      </w:pPr>
      <w:r>
        <w:rPr>
          <w:rFonts w:ascii="Arial" w:cs="Arial" w:eastAsia="Arial" w:hAnsi="Arial"/>
          <w:sz w:val="13"/>
          <w:szCs w:val="13"/>
          <w:b w:val="1"/>
          <w:bCs w:val="1"/>
          <w:color w:val="auto"/>
        </w:rPr>
        <w:t>(State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2">
            <w:col w:w="6520" w:space="720"/>
            <w:col w:w="3040"/>
          </w:cols>
          <w:pgMar w:left="440" w:top="368" w:right="1179" w:bottom="1440" w:gutter="0" w:footer="0" w:header="0"/>
          <w:type w:val="continuous"/>
        </w:sectPr>
      </w:pPr>
    </w:p>
    <w:p>
      <w:pPr>
        <w:jc w:val="center"/>
        <w:ind w:right="-759"/>
        <w:spacing w:after="0"/>
        <w:rPr>
          <w:sz w:val="20"/>
          <w:szCs w:val="20"/>
          <w:color w:val="auto"/>
        </w:rPr>
      </w:pPr>
      <w:r>
        <w:rPr>
          <w:rFonts w:ascii="Arial" w:cs="Arial" w:eastAsia="Arial" w:hAnsi="Arial"/>
          <w:sz w:val="18"/>
          <w:szCs w:val="18"/>
          <w:b w:val="1"/>
          <w:bCs w:val="1"/>
          <w:color w:val="auto"/>
        </w:rPr>
        <w:t>333 Oyster Point Boulevard</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6"/>
          <w:szCs w:val="16"/>
          <w:b w:val="1"/>
          <w:bCs w:val="1"/>
          <w:color w:val="auto"/>
        </w:rPr>
        <w:t>South San Francisco, California 94080</w:t>
      </w:r>
    </w:p>
    <w:p>
      <w:pPr>
        <w:sectPr>
          <w:pgSz w:w="11900" w:h="16838" w:orient="portrait"/>
          <w:cols w:equalWidth="0" w:num="1">
            <w:col w:w="10280"/>
          </w:cols>
          <w:pgMar w:left="440" w:top="368" w:right="1179" w:bottom="1440" w:gutter="0" w:footer="0" w:header="0"/>
          <w:type w:val="continuous"/>
        </w:sectPr>
      </w:pPr>
    </w:p>
    <w:p>
      <w:pPr>
        <w:spacing w:after="0" w:line="378"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1720" w:type="dxa"/>
            <w:vAlign w:val="bottom"/>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Name of exchange on which</w:t>
            </w: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 be so registered</w:t>
            </w:r>
          </w:p>
        </w:tc>
        <w:tc>
          <w:tcPr>
            <w:tcW w:w="3800" w:type="dxa"/>
            <w:vAlign w:val="bottom"/>
            <w:gridSpan w:val="3"/>
          </w:tcPr>
          <w:p>
            <w:pPr>
              <w:jc w:val="center"/>
              <w:ind w:left="1259"/>
              <w:spacing w:after="0"/>
              <w:rPr>
                <w:sz w:val="20"/>
                <w:szCs w:val="20"/>
                <w:color w:val="auto"/>
              </w:rPr>
            </w:pPr>
            <w:r>
              <w:rPr>
                <w:rFonts w:ascii="Arial" w:cs="Arial" w:eastAsia="Arial" w:hAnsi="Arial"/>
                <w:sz w:val="14"/>
                <w:szCs w:val="14"/>
                <w:b w:val="1"/>
                <w:bCs w:val="1"/>
                <w:color w:val="auto"/>
                <w:w w:val="87"/>
              </w:rPr>
              <w:t>each class is to be registered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40" w:type="dxa"/>
            <w:vAlign w:val="bottom"/>
            <w:vMerge w:val="restart"/>
          </w:tcPr>
          <w:p>
            <w:pPr>
              <w:spacing w:after="0"/>
              <w:rPr>
                <w:sz w:val="20"/>
                <w:szCs w:val="20"/>
                <w:color w:val="auto"/>
              </w:rPr>
            </w:pPr>
            <w:r>
              <w:rPr>
                <w:rFonts w:ascii="Arial" w:cs="Arial" w:eastAsia="Arial" w:hAnsi="Arial"/>
                <w:sz w:val="18"/>
                <w:szCs w:val="18"/>
                <w:b w:val="1"/>
                <w:bCs w:val="1"/>
                <w:color w:val="auto"/>
              </w:rPr>
              <w:t>value per share</w:t>
            </w:r>
          </w:p>
        </w:tc>
        <w:tc>
          <w:tcPr>
            <w:tcW w:w="17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94"/>
              </w:rPr>
              <w:t>Common Stock, $0.001 par</w:t>
            </w:r>
          </w:p>
        </w:tc>
        <w:tc>
          <w:tcPr>
            <w:tcW w:w="2440" w:type="dxa"/>
            <w:vAlign w:val="bottom"/>
            <w:vMerge w:val="continue"/>
          </w:tcPr>
          <w:p>
            <w:pPr>
              <w:spacing w:after="0"/>
              <w:rPr>
                <w:sz w:val="19"/>
                <w:szCs w:val="19"/>
                <w:color w:val="auto"/>
              </w:rPr>
            </w:pPr>
          </w:p>
        </w:tc>
        <w:tc>
          <w:tcPr>
            <w:tcW w:w="3800" w:type="dxa"/>
            <w:vAlign w:val="bottom"/>
            <w:gridSpan w:val="3"/>
          </w:tcPr>
          <w:p>
            <w:pPr>
              <w:jc w:val="center"/>
              <w:ind w:left="1279"/>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219710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6"/>
          <w:szCs w:val="16"/>
          <w:b w:val="1"/>
          <w:bCs w:val="1"/>
          <w:color w:val="auto"/>
        </w:rPr>
        <w:t>Securities Act registration statement or Regulation A offering statement file number to which the form relates: 333-227608</w:t>
      </w:r>
    </w:p>
    <w:p>
      <w:pPr>
        <w:spacing w:after="0" w:line="2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206375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type w:val="continuous"/>
        </w:sectPr>
      </w:pPr>
    </w:p>
    <w:bookmarkStart w:id="1" w:name="page2"/>
    <w:bookmarkEnd w:id="1"/>
    <w:p>
      <w:pPr>
        <w:spacing w:after="0"/>
        <w:tabs>
          <w:tab w:leader="none" w:pos="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NGM Biopharmaceuticals,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incorporates by reference the description of its Common Stock, par value $0.001 per share, to be registered hereunder contained under the heading “Description of Capital Stock” in the Registrant’s Registration Statement on Form S-1 (File</w:t>
      </w:r>
    </w:p>
    <w:p>
      <w:pPr>
        <w:ind w:right="180"/>
        <w:spacing w:after="0" w:line="254" w:lineRule="auto"/>
        <w:rPr>
          <w:sz w:val="20"/>
          <w:szCs w:val="20"/>
          <w:color w:val="auto"/>
        </w:rPr>
      </w:pPr>
      <w:r>
        <w:rPr>
          <w:rFonts w:ascii="Arial" w:cs="Arial" w:eastAsia="Arial" w:hAnsi="Arial"/>
          <w:sz w:val="18"/>
          <w:szCs w:val="18"/>
          <w:color w:val="auto"/>
        </w:rPr>
        <w:t>No. 333-227608), as originally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September 28, 2018, as subsequently amended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3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1020"/>
          </w:cols>
          <w:pgMar w:left="440" w:top="270"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March 29, 2019</w:t>
      </w:r>
      <w:r>
        <w:rPr>
          <w:sz w:val="20"/>
          <w:szCs w:val="20"/>
          <w:color w:val="auto"/>
        </w:rPr>
        <w:tab/>
      </w:r>
      <w:r>
        <w:rPr>
          <w:rFonts w:ascii="Arial" w:cs="Arial" w:eastAsia="Arial" w:hAnsi="Arial"/>
          <w:sz w:val="16"/>
          <w:szCs w:val="16"/>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J. Woodhouse, Ph.D.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2019-12-03T19:02:45Z</dcterms:created>
  <dcterms:modified xsi:type="dcterms:W3CDTF">2019-12-03T19:02:45Z</dcterms:modified>
</cp:coreProperties>
</file>