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As filed with the Securities and Exchange Commission on June 8, 2023</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NGM Biopharmaceuticals, Inc.</w:t>
      </w:r>
    </w:p>
    <w:p>
      <w:pPr>
        <w:spacing w:after="0" w:line="53" w:lineRule="exact"/>
        <w:rPr>
          <w:sz w:val="24"/>
          <w:szCs w:val="24"/>
          <w:color w:val="auto"/>
        </w:rPr>
      </w:pPr>
    </w:p>
    <w:tbl>
      <w:tblPr>
        <w:tblLayout w:type="fixed"/>
        <w:tblInd w:w="208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5300" w:type="dxa"/>
            <w:vAlign w:val="bottom"/>
            <w:gridSpan w:val="3"/>
          </w:tcPr>
          <w:p>
            <w:pPr>
              <w:ind w:left="6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163"/>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r>
      <w:tr>
        <w:trPr>
          <w:trHeight w:val="272"/>
        </w:trPr>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300" w:type="dxa"/>
            <w:vAlign w:val="bottom"/>
            <w:gridSpan w:val="3"/>
          </w:tcPr>
          <w:p>
            <w:pPr>
              <w:jc w:val="center"/>
              <w:ind w:left="3979"/>
              <w:spacing w:after="0"/>
              <w:rPr>
                <w:sz w:val="20"/>
                <w:szCs w:val="20"/>
                <w:color w:val="auto"/>
              </w:rPr>
            </w:pPr>
            <w:r>
              <w:rPr>
                <w:rFonts w:ascii="Arial" w:cs="Arial" w:eastAsia="Arial" w:hAnsi="Arial"/>
                <w:sz w:val="16"/>
                <w:szCs w:val="16"/>
                <w:b w:val="1"/>
                <w:bCs w:val="1"/>
                <w:color w:val="auto"/>
                <w:w w:val="88"/>
              </w:rPr>
              <w:t>26-1679911</w:t>
            </w:r>
          </w:p>
        </w:tc>
      </w:tr>
      <w:tr>
        <w:trPr>
          <w:trHeight w:val="135"/>
        </w:trPr>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7"/>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5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Oyster Point Boulevard</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 243-5555</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David J. Woodhouse, Ph.D.</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NGM Biopharmaceuticals, Inc.</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Oyster Point Boulevard</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 243-5555</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tbl>
      <w:tblPr>
        <w:tblLayout w:type="fixed"/>
        <w:tblInd w:w="1180" w:type="dxa"/>
        <w:tblCellMar>
          <w:top w:w="0" w:type="dxa"/>
          <w:left w:w="0" w:type="dxa"/>
          <w:bottom w:w="0" w:type="dxa"/>
          <w:right w:w="0" w:type="dxa"/>
        </w:tblCellMar>
      </w:tblPr>
      <w:tr>
        <w:trPr>
          <w:trHeight w:val="206"/>
        </w:trPr>
        <w:tc>
          <w:tcPr>
            <w:tcW w:w="378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6"/>
                <w:szCs w:val="16"/>
                <w:b w:val="1"/>
                <w:bCs w:val="1"/>
                <w:i w:val="1"/>
                <w:iCs w:val="1"/>
                <w:color w:val="auto"/>
              </w:rPr>
              <w:t>Copies to:</w:t>
            </w:r>
          </w:p>
        </w:tc>
      </w:tr>
      <w:tr>
        <w:trPr>
          <w:trHeight w:val="262"/>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Valerie Pierce</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5"/>
              </w:rPr>
              <w:t>Chadwick L. Mills</w:t>
            </w:r>
          </w:p>
        </w:tc>
      </w:tr>
      <w:tr>
        <w:trPr>
          <w:trHeight w:val="203"/>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Senior Vice President, General Counsel and Chief</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2"/>
              </w:rPr>
              <w:t>Christina T. Roupas</w:t>
            </w:r>
          </w:p>
        </w:tc>
      </w:tr>
      <w:tr>
        <w:trPr>
          <w:trHeight w:val="203"/>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Compliance Officer</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5"/>
              </w:rPr>
              <w:t>Cooley LLP</w:t>
            </w:r>
          </w:p>
        </w:tc>
      </w:tr>
      <w:tr>
        <w:trPr>
          <w:trHeight w:val="202"/>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NGM Biopharmaceuticals, Inc.</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3"/>
              </w:rPr>
              <w:t>9 Embarcadero Center</w:t>
            </w:r>
          </w:p>
        </w:tc>
      </w:tr>
      <w:tr>
        <w:trPr>
          <w:trHeight w:val="203"/>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333 Oyster Point Boulevard</w:t>
            </w:r>
          </w:p>
        </w:tc>
        <w:tc>
          <w:tcPr>
            <w:tcW w:w="4600" w:type="dxa"/>
            <w:vAlign w:val="bottom"/>
          </w:tcPr>
          <w:p>
            <w:pPr>
              <w:jc w:val="center"/>
              <w:ind w:left="2323"/>
              <w:spacing w:after="0" w:line="203" w:lineRule="exact"/>
              <w:rPr>
                <w:sz w:val="20"/>
                <w:szCs w:val="20"/>
                <w:color w:val="auto"/>
              </w:rPr>
            </w:pPr>
            <w:r>
              <w:rPr>
                <w:rFonts w:ascii="Arial" w:cs="Arial" w:eastAsia="Arial" w:hAnsi="Arial"/>
                <w:sz w:val="23"/>
                <w:szCs w:val="23"/>
                <w:b w:val="1"/>
                <w:bCs w:val="1"/>
                <w:color w:val="auto"/>
                <w:vertAlign w:val="subscript"/>
              </w:rPr>
              <w:t>20</w:t>
            </w:r>
            <w:r>
              <w:rPr>
                <w:rFonts w:ascii="Arial" w:cs="Arial" w:eastAsia="Arial" w:hAnsi="Arial"/>
                <w:sz w:val="10"/>
                <w:szCs w:val="10"/>
                <w:b w:val="1"/>
                <w:bCs w:val="1"/>
                <w:color w:val="auto"/>
              </w:rPr>
              <w:t>th Floor</w:t>
            </w:r>
          </w:p>
        </w:tc>
      </w:tr>
      <w:tr>
        <w:trPr>
          <w:trHeight w:val="203"/>
        </w:trPr>
        <w:tc>
          <w:tcPr>
            <w:tcW w:w="3780" w:type="dxa"/>
            <w:vAlign w:val="bottom"/>
          </w:tcPr>
          <w:p>
            <w:pPr>
              <w:jc w:val="center"/>
              <w:ind w:right="279"/>
              <w:spacing w:after="0"/>
              <w:rPr>
                <w:sz w:val="20"/>
                <w:szCs w:val="20"/>
                <w:color w:val="auto"/>
              </w:rPr>
            </w:pPr>
            <w:r>
              <w:rPr>
                <w:rFonts w:ascii="Arial" w:cs="Arial" w:eastAsia="Arial" w:hAnsi="Arial"/>
                <w:sz w:val="16"/>
                <w:szCs w:val="16"/>
                <w:b w:val="1"/>
                <w:bCs w:val="1"/>
                <w:color w:val="auto"/>
                <w:w w:val="91"/>
              </w:rPr>
              <w:t>South San Francisco, California 94080</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1"/>
              </w:rPr>
              <w:t>San Francisco, California 94111</w:t>
            </w:r>
          </w:p>
        </w:tc>
      </w:tr>
      <w:tr>
        <w:trPr>
          <w:trHeight w:val="210"/>
        </w:trPr>
        <w:tc>
          <w:tcPr>
            <w:tcW w:w="378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(650) 243-5555</w:t>
            </w:r>
          </w:p>
        </w:tc>
        <w:tc>
          <w:tcPr>
            <w:tcW w:w="4600" w:type="dxa"/>
            <w:vAlign w:val="bottom"/>
          </w:tcPr>
          <w:p>
            <w:pPr>
              <w:jc w:val="center"/>
              <w:ind w:left="2323"/>
              <w:spacing w:after="0"/>
              <w:rPr>
                <w:sz w:val="20"/>
                <w:szCs w:val="20"/>
                <w:color w:val="auto"/>
              </w:rPr>
            </w:pPr>
            <w:r>
              <w:rPr>
                <w:rFonts w:ascii="Arial" w:cs="Arial" w:eastAsia="Arial" w:hAnsi="Arial"/>
                <w:sz w:val="16"/>
                <w:szCs w:val="16"/>
                <w:b w:val="1"/>
                <w:bCs w:val="1"/>
                <w:color w:val="auto"/>
                <w:w w:val="91"/>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37"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13" w:lineRule="exact"/>
        <w:rPr>
          <w:sz w:val="24"/>
          <w:szCs w:val="24"/>
          <w:color w:val="auto"/>
        </w:rPr>
      </w:pPr>
    </w:p>
    <w:p>
      <w:pPr>
        <w:ind w:left="120" w:right="620"/>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20"/>
        <w:spacing w:after="0" w:line="21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620"/>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580"/>
        <w:spacing w:after="0" w:line="217"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100"/>
        <w:spacing w:after="0" w:line="217"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100"/>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256"/>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3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33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340" w:type="dxa"/>
            <w:vAlign w:val="bottom"/>
          </w:tcPr>
          <w:p>
            <w:pPr>
              <w:ind w:left="33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120" w:right="3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0" w:lineRule="exact"/>
        <w:rPr>
          <w:sz w:val="24"/>
          <w:szCs w:val="24"/>
          <w:color w:val="auto"/>
        </w:rPr>
      </w:pPr>
    </w:p>
    <w:p>
      <w:pPr>
        <w:ind w:left="1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387"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100" w:right="240" w:hanging="433"/>
        <w:spacing w:after="0" w:line="259"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of such indeterminate number of shares of the registrant’s common stock and preferred stock, such indeterminate principal amount of debt securities, and such indeterminate number of warrants to purchase common stock, preferred stock and/or debt securities, which together shall have an aggregate initial offering price not to exceed $300,000,000; and</w:t>
      </w:r>
    </w:p>
    <w:p>
      <w:pPr>
        <w:spacing w:after="0" w:line="92" w:lineRule="exact"/>
        <w:rPr>
          <w:rFonts w:ascii="Arial" w:cs="Arial" w:eastAsia="Arial" w:hAnsi="Arial"/>
          <w:sz w:val="18"/>
          <w:szCs w:val="18"/>
          <w:color w:val="auto"/>
        </w:rPr>
      </w:pPr>
    </w:p>
    <w:p>
      <w:pPr>
        <w:ind w:left="1100" w:right="360" w:hanging="433"/>
        <w:spacing w:after="0" w:line="286" w:lineRule="auto"/>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sales agreement prospectus covering the offering, issuance and sale by the registrant of up to a maximum aggregate offering price of $100,000,000 of the registrant’s common stock that may be offered, issued and sold from time to time under a sales agreement, dated June 5, 2020, as amended on June 7, 2023, with Jefferies LLC, or the amended sales agreement.</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one or more prospectus supplements to the base prospectus.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sales agreement prospectus immediately follows the base prospectus. The common stock that may be offered, issued and sold by the registrant under the sales agreement prospectus is included in the $300,000,000 of securities that may be offered, issued and sold by the registrant under the base prospectus. Upon termination of the offering of the registrant’s common stock under the amended sales agreement with Jefferies LLC and the sales agreement prospectus, any portion of the $100,000,000 included in the sales agreement prospectus that is not sold pursuant to the amended sales agreement will be available for sale in other offerings pursuant to the base prospectus and a corresponding prospectus supplement, and if no shares are sold under the amended sales agreement, the full $100,000,000 of securities not sold may be sold in other offerings pursuant to the base prospectus and a corresponding prospectus supplement.</w:t>
      </w:r>
    </w:p>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JUNE 8,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171450</wp:posOffset>
            </wp:positionV>
            <wp:extent cx="139763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$300,000,000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From time to time, we may offer and sell up to an aggregate amount of $300,000,000 of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into this prospectus, before buying any of the securities being offered.</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common stock is listed on The Nasdaq Global Select Market under the symbol “NGM.” On June 6, 2023, the last reported sale price of our common stock was $3.62 per share. The applicable prospectus supplement will contain information, where applicable, as to other listings, if any, on The Nasdaq Global Select Market or other securities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firstLine="440"/>
        <w:spacing w:after="0" w:line="289" w:lineRule="auto"/>
        <w:rPr>
          <w:sz w:val="20"/>
          <w:szCs w:val="20"/>
          <w:color w:val="auto"/>
        </w:rPr>
      </w:pPr>
      <w:r>
        <w:rPr>
          <w:rFonts w:ascii="Arial" w:cs="Arial" w:eastAsia="Arial" w:hAnsi="Arial"/>
          <w:sz w:val="19"/>
          <w:szCs w:val="19"/>
          <w:b w:val="1"/>
          <w:bCs w:val="1"/>
          <w:color w:val="auto"/>
        </w:rPr>
        <w:t>Investing in our securities involves a high degree of risk. Before making an investment decision, you should review carefully the risks and uncertainties described under the heading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contained in the applicable prospectus supplement and in any free writing prospectus we have authorized for use in connection with a specific offering, and under similar headings in the documents that are incorporated by reference into this prospectus.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securities may be sold directly to investors, through agents designated from time to time or to or through underwriters or dealers, on a continuous or delayed basis. The supplements to this prospectus will provide the specific terms of the plan of distribution. If any agents, underwriters or dealers are involved in the sale of any securities with respect to which this prospectus is being delivered, the names of such agents, underwriters or dealers and any applicable fees, commissions, discounts and options to purchase additional securities will be set forth in a prospectus supplement. The price to the public of such securities and the net proceeds we expect to receive from such sale will also be set forth in a prospectus supplement.</w:t>
      </w:r>
    </w:p>
    <w:p>
      <w:pPr>
        <w:spacing w:after="0" w:line="157"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ectPr>
          <w:pgSz w:w="11900" w:h="16838" w:orient="portrait"/>
          <w:cols w:equalWidth="0" w:num="1">
            <w:col w:w="11120"/>
          </w:cols>
          <w:pgMar w:left="320" w:top="675"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ABOUT THIS PROSPECTUS</w:t>
            </w:r>
          </w:p>
        </w:tc>
        <w:tc>
          <w:tcPr>
            <w:tcW w:w="6400" w:type="dxa"/>
            <w:vAlign w:val="bottom"/>
            <w:gridSpan w:val="8"/>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PROSPECTUS SUMMARY</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65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0"/>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CAPITAL STOCK</w:t>
            </w:r>
          </w:p>
        </w:tc>
        <w:tc>
          <w:tcPr>
            <w:tcW w:w="57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56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61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LEGAL OWNERSHIP OF SECURITIES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30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PLAN OF DISTRIBUTION</w:t>
            </w:r>
          </w:p>
        </w:tc>
        <w:tc>
          <w:tcPr>
            <w:tcW w:w="562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65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438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11080"/>
          </w:cols>
          <w:pgMar w:left="320" w:top="662"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using a “shelf” registration process. Under this shelf registration process, we may, from time to time, offer and sell shares of our common stock and preferred stock, various series of debt securities and/or warrants to purchase any of such securities, either individually or in combination with other securities described in this prospectus, in one or more offerings, up to a total dollar amount of $300,000,000 of any combination of the securities described in this prospectus.</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 xml:space="preserve">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 we have authorized for use in connection with a specific offering, together with the information incorporated herein by reference as described under the heading “Incorporation of Certain Information by Reference,” before buying any of the securities being offered. </w:t>
      </w:r>
      <w:r>
        <w:rPr>
          <w:rFonts w:ascii="Arial" w:cs="Arial" w:eastAsia="Arial" w:hAnsi="Arial"/>
          <w:sz w:val="18"/>
          <w:szCs w:val="18"/>
          <w:b w:val="1"/>
          <w:bCs w:val="1"/>
          <w:color w:val="auto"/>
        </w:rPr>
        <w:t>This prospectus may not be used to consummate a sale of securities unless it is accompanied by a prospectus</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w:t>
      </w:r>
    </w:p>
    <w:p>
      <w:pPr>
        <w:spacing w:after="0" w:line="196"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Persons outside the United States who come into possession of this prospectus must inform themselves about, and observe any restrictions relating to, the offering of securities and the distribution of this prospectus outside the United States.</w:t>
      </w:r>
    </w:p>
    <w:p>
      <w:pPr>
        <w:spacing w:after="0" w:line="19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5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675"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this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other information incorporated by reference into this prospectus, including our consolidated financial statements, and the exhibits to the registration statement of which this prospectus is a part.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NGM Biopharmaceuticals, Inc.</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333 Oyster Point Blvd., South San Francisco, CA 94080-7014, and our telephone number is</w:t>
      </w:r>
    </w:p>
    <w:p>
      <w:pPr>
        <w:spacing w:after="0" w:line="46" w:lineRule="exact"/>
        <w:rPr>
          <w:sz w:val="20"/>
          <w:szCs w:val="20"/>
          <w:color w:val="auto"/>
        </w:rPr>
      </w:pPr>
    </w:p>
    <w:p>
      <w:pPr>
        <w:ind w:left="300" w:right="800" w:hanging="6"/>
        <w:spacing w:after="0" w:line="323" w:lineRule="auto"/>
        <w:tabs>
          <w:tab w:leader="none" w:pos="735" w:val="left"/>
        </w:tabs>
        <w:numPr>
          <w:ilvl w:val="0"/>
          <w:numId w:val="2"/>
        </w:numPr>
        <w:rPr>
          <w:rFonts w:ascii="Arial" w:cs="Arial" w:eastAsia="Arial" w:hAnsi="Arial"/>
          <w:sz w:val="16"/>
          <w:szCs w:val="16"/>
          <w:color w:val="auto"/>
        </w:rPr>
      </w:pPr>
      <w:r>
        <w:rPr>
          <w:rFonts w:ascii="Arial" w:cs="Arial" w:eastAsia="Arial" w:hAnsi="Arial"/>
          <w:sz w:val="16"/>
          <w:szCs w:val="16"/>
          <w:color w:val="auto"/>
        </w:rPr>
        <w:t>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38"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with other securities described in this prospectus, with a total dollar amount of up to $300,000,000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 offer a type or series of securities under this prospectus,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675"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we will provide a prospectus supplement that will describe the specific amounts, prices and other important terms of the securities, including, to the extent applicable:</w:t>
      </w:r>
    </w:p>
    <w:p>
      <w:pPr>
        <w:spacing w:after="0" w:line="76" w:lineRule="exact"/>
        <w:rPr>
          <w:sz w:val="20"/>
          <w:szCs w:val="20"/>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30" w:lineRule="exact"/>
        <w:rPr>
          <w:rFonts w:ascii="Arial" w:cs="Arial" w:eastAsia="Arial" w:hAnsi="Arial"/>
          <w:sz w:val="18"/>
          <w:szCs w:val="18"/>
          <w:color w:val="auto"/>
        </w:rPr>
      </w:pPr>
    </w:p>
    <w:p>
      <w:pPr>
        <w:ind w:left="1260" w:right="280" w:hanging="433"/>
        <w:spacing w:after="0" w:line="308"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1" w:lineRule="exact"/>
        <w:rPr>
          <w:rFonts w:ascii="Arial" w:cs="Arial" w:eastAsia="Arial" w:hAnsi="Arial"/>
          <w:sz w:val="17"/>
          <w:szCs w:val="17"/>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ind w:left="300" w:right="340" w:firstLine="426"/>
        <w:spacing w:after="0" w:line="308" w:lineRule="auto"/>
        <w:rPr>
          <w:sz w:val="20"/>
          <w:szCs w:val="20"/>
          <w:color w:val="auto"/>
        </w:rPr>
      </w:pPr>
      <w:r>
        <w:rPr>
          <w:rFonts w:ascii="Arial" w:cs="Arial" w:eastAsia="Arial" w:hAnsi="Arial"/>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46"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or underwriters, we will include in the applicable prospectus supplement:</w:t>
      </w:r>
    </w:p>
    <w:p>
      <w:pPr>
        <w:spacing w:after="0" w:line="89" w:lineRule="exact"/>
        <w:rPr>
          <w:sz w:val="20"/>
          <w:szCs w:val="20"/>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details regarding any options under which underwriters may purchase additional securities from us;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5"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holders of our common stock are entitled to one vote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share held of record on all matters submitted to a vote of stockholders. Subject to preferences that may be applicable to any outstanding preferred stock, the holders of common stock are entitled to receive ratably any dividends that our board of directors may declare out of funds legally available for that purpose. In the event of our liquidation, dissolution or winding up, holders of our common stock are entitled to share ratably in all assets remaining after payment of liabilities and the liquidation preference of any outstanding preferred stock. Holders of our common stock have no preemptive, conversion, subscription or other rights, and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may issue shares of our preferred stock from time to time, in one or more series. If we sell any series of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prospectus, our board of directors will fix the designations, voting</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675"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8" w:lineRule="auto"/>
        <w:rPr>
          <w:sz w:val="20"/>
          <w:szCs w:val="20"/>
          <w:color w:val="auto"/>
        </w:rPr>
      </w:pPr>
      <w:r>
        <w:rPr>
          <w:rFonts w:ascii="Arial" w:cs="Arial" w:eastAsia="Arial" w:hAnsi="Arial"/>
          <w:sz w:val="16"/>
          <w:szCs w:val="16"/>
          <w:color w:val="auto"/>
        </w:rPr>
        <w:t>powers, preferences and rights of the preferred stock of each series we issue under this prospectus,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in the certificate of designation relating to that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68"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6"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6"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675"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12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8129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 xml:space="preserve">Except as described in any applicable prospectus supplement or in any free writing prospectus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 See the section titled “Use of Proceeds” on 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this prospectus.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common stock is listed on The Nasdaq Global Select Market under the symbol “NGM.” The applicable prospectus supplement will contain information, where applicable, as to other listings, if any, on The Nasdaq Global Select Market or other securities exchange of the securities covered by the applicable prospectus supplement.</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675"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any applicable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and any accompanying prospectus supplement, as well as the documents incorporated by reference in this prospectus or any accompanying prospectus supplement, contain “forward-looking statements” within the meaning of Section 27A of the Securities Act of 1933, as amended (the “Securities Act”), and Section 21E of the Securities Exchange Act of 1934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may include, but are not limited to, statements about:</w:t>
      </w:r>
    </w:p>
    <w:p>
      <w:pPr>
        <w:spacing w:after="0" w:line="83" w:lineRule="exact"/>
        <w:rPr>
          <w:sz w:val="20"/>
          <w:szCs w:val="20"/>
          <w:color w:val="auto"/>
        </w:rPr>
      </w:pPr>
    </w:p>
    <w:p>
      <w:pPr>
        <w:ind w:left="1100" w:right="2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the initiation of, enrollment in, availability of data for and other events related to such clinical trials;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NGM707 has the potential to reprogram immunoglobulin-like transcript 4-, or ILT4-, and immunoglobulin-like transcript</w:t>
      </w:r>
    </w:p>
    <w:p>
      <w:pPr>
        <w:spacing w:after="0" w:line="34" w:lineRule="exact"/>
        <w:rPr>
          <w:rFonts w:ascii="Arial" w:cs="Arial" w:eastAsia="Arial" w:hAnsi="Arial"/>
          <w:sz w:val="17"/>
          <w:szCs w:val="17"/>
          <w:color w:val="auto"/>
        </w:rPr>
      </w:pPr>
    </w:p>
    <w:p>
      <w:pPr>
        <w:ind w:left="1100" w:right="220"/>
        <w:spacing w:after="0" w:line="260" w:lineRule="auto"/>
        <w:rPr>
          <w:rFonts w:ascii="Arial" w:cs="Arial" w:eastAsia="Arial" w:hAnsi="Arial"/>
          <w:sz w:val="17"/>
          <w:szCs w:val="17"/>
          <w:color w:val="auto"/>
        </w:rPr>
      </w:pPr>
      <w:r>
        <w:rPr>
          <w:rFonts w:ascii="Arial" w:cs="Arial" w:eastAsia="Arial" w:hAnsi="Arial"/>
          <w:sz w:val="18"/>
          <w:szCs w:val="18"/>
          <w:color w:val="auto"/>
        </w:rPr>
        <w:t>2-, or ILT2-, expressing myeloid cells to shift them from a suppressive state that restricts anti-tumor immunity to a stimulatory state that may promote anti-tumor immunity;</w:t>
      </w:r>
    </w:p>
    <w:p>
      <w:pPr>
        <w:spacing w:after="0" w:line="90" w:lineRule="exact"/>
        <w:rPr>
          <w:rFonts w:ascii="Arial" w:cs="Arial" w:eastAsia="Arial" w:hAnsi="Arial"/>
          <w:sz w:val="17"/>
          <w:szCs w:val="17"/>
          <w:color w:val="auto"/>
        </w:rPr>
      </w:pPr>
    </w:p>
    <w:p>
      <w:pPr>
        <w:ind w:left="1100" w:right="420" w:hanging="433"/>
        <w:spacing w:after="0" w:line="286"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NGM831 has the potential to block the interaction of the Immunoglobulin-like transcript 3, or ILT3 (also known as LILRB4), receptor with fibronectin, as well as other cognate ligands, and mobilize a patient’s own immune system to fight tumors by shifting myeloid cells from a suppressive state to a stimulatory state promoting anti-tumor activity;</w:t>
      </w:r>
    </w:p>
    <w:p>
      <w:pPr>
        <w:spacing w:after="0" w:line="70" w:lineRule="exact"/>
        <w:rPr>
          <w:rFonts w:ascii="Arial" w:cs="Arial" w:eastAsia="Arial" w:hAnsi="Arial"/>
          <w:sz w:val="17"/>
          <w:szCs w:val="17"/>
          <w:color w:val="auto"/>
        </w:rPr>
      </w:pPr>
    </w:p>
    <w:p>
      <w:pPr>
        <w:ind w:left="1100" w:right="480" w:hanging="433"/>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NGM438 has the potential to potently block the binding of all collagens to leukocyte-associated immunoglobulin-like receptor 1, or LAIR1, and to address a key resistance mechanism that limits tumor responses to current immunotherapies;</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NGM120 may reduce tumor growth and improve survival;</w:t>
      </w:r>
    </w:p>
    <w:p>
      <w:pPr>
        <w:spacing w:after="0" w:line="130" w:lineRule="exact"/>
        <w:rPr>
          <w:rFonts w:ascii="Arial" w:cs="Arial" w:eastAsia="Arial" w:hAnsi="Arial"/>
          <w:sz w:val="18"/>
          <w:szCs w:val="18"/>
          <w:color w:val="auto"/>
        </w:rPr>
      </w:pPr>
    </w:p>
    <w:p>
      <w:pPr>
        <w:ind w:left="1100" w:hanging="433"/>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aldafermin has the potential to be a treatment for patients with compensated cirrhosis due to non-alcoholic steatohepatitis, or NASH, or for patients with idiopathic bile acid malabsorption with diarrhea-predominant irritable bowel syndrome;</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NGM313 (MK-3655) has the potential to be a treatment for patients with NASH with early to moderate fibrosis;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6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key programs in active development, NGM707, NGM831, NGM438 and NGM120, and the therapeutic potential of those product candidates;</w:t>
      </w:r>
    </w:p>
    <w:p>
      <w:pPr>
        <w:spacing w:after="0" w:line="75" w:lineRule="exact"/>
        <w:rPr>
          <w:rFonts w:ascii="Arial" w:cs="Arial" w:eastAsia="Arial" w:hAnsi="Arial"/>
          <w:sz w:val="18"/>
          <w:szCs w:val="18"/>
          <w:color w:val="auto"/>
        </w:rPr>
      </w:pPr>
    </w:p>
    <w:p>
      <w:pPr>
        <w:ind w:left="1100" w:hanging="433"/>
        <w:spacing w:after="0" w:line="311"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therapeutic potential of our additional programs currently without significant resource allocation whose further development is primarily dependent on our ability to secure potential future collaboration, out licensing, partnering or other business development arrangements, or BD Arrangements, with third-party partners and our ability to secure such BD Arrangements on beneficial terms, if at all;</w:t>
      </w:r>
    </w:p>
    <w:p>
      <w:pPr>
        <w:spacing w:after="0" w:line="54" w:lineRule="exact"/>
        <w:rPr>
          <w:rFonts w:ascii="Arial" w:cs="Arial" w:eastAsia="Arial" w:hAnsi="Arial"/>
          <w:sz w:val="16"/>
          <w:szCs w:val="16"/>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30" w:lineRule="exact"/>
        <w:rPr>
          <w:rFonts w:ascii="Arial" w:cs="Arial" w:eastAsia="Arial" w:hAnsi="Arial"/>
          <w:sz w:val="18"/>
          <w:szCs w:val="18"/>
          <w:color w:val="auto"/>
        </w:rPr>
      </w:pPr>
    </w:p>
    <w:p>
      <w:pPr>
        <w:ind w:left="1100" w:right="460" w:hanging="433"/>
        <w:spacing w:after="0" w:line="308" w:lineRule="auto"/>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estimates regarding future expenses, revenue, capital requirements and needs for additional financing, particularly in light of our estimates of Merck Sharp &amp; Dohme LLC providing further decreased funding in 2023 and minimal funding thereafter;</w:t>
      </w:r>
    </w:p>
    <w:p>
      <w:pPr>
        <w:spacing w:after="0" w:line="51" w:lineRule="exact"/>
        <w:rPr>
          <w:rFonts w:ascii="Arial" w:cs="Arial" w:eastAsia="Arial" w:hAnsi="Arial"/>
          <w:sz w:val="17"/>
          <w:szCs w:val="17"/>
          <w:color w:val="auto"/>
        </w:rPr>
      </w:pPr>
    </w:p>
    <w:p>
      <w:pPr>
        <w:ind w:left="1100" w:right="82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and any of our future product candidates, and any related restrictions, limitations and/or warnings in the label of any approved product candidate;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candidates’ side effects and our ability to effectively manage these side effects;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as well as the reimbursement coverage for our product candidates;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beliefs with respect to the availability of the accelerated approval pathway for any marketing applications that we may submit to the U.S. Food and Drug Administration;</w:t>
      </w:r>
    </w:p>
    <w:p>
      <w:pPr>
        <w:spacing w:after="0" w:line="75"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75"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beliefs around the competitive landscape for our product candidates and the success of competing therapies that are or may become available;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anticipated use of the net proceeds from offerings of our securities under this prospectus and the applicable prospectus supplement.</w:t>
      </w:r>
    </w:p>
    <w:p>
      <w:pPr>
        <w:spacing w:after="0" w:line="24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assumptions, risks and uncertainties, you should not place undue reliance on these forward-looking statements. We cannot guarantee that any forward-looking statement will be realized. We discuss in greater detail many of these risks and uncertainties under the heading “Risk Factors” contained in the applicable prospectus supplement, in any free writing prospectus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675"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Except as described in any applicable prospectus supplement or in any free writing prospectus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 We will set forth in the applicable prospectus supplement our intended use for the net proceeds received from the sale of any securities in such offering. Pending the use of the net proceeds, we intend to invest the net proceeds in short-term, investment-grade, interest-bearing securities.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the date of this prospectus, our authorized capital stock consists of 400,000,000 shares of common stock, $0.001 par value per share, and 10,000,000 shares of preferred stock, $0.001 par value per share.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issue shares of common stock under this prospectus, the shares will be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82" w:lineRule="exact"/>
        <w:rPr>
          <w:sz w:val="20"/>
          <w:szCs w:val="20"/>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procedures for any auction and remarketing;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any sinking fund;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100" w:right="80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67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8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material U.S. federal income tax considerations applicable to the preferred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100" w:right="2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issue shares of preferred stock under this prospectus, the shares will be fully paid and nonassessable.</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76" w:lineRule="exact"/>
        <w:rPr>
          <w:sz w:val="20"/>
          <w:szCs w:val="20"/>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100" w:right="460" w:hanging="433"/>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party to an amended and restated investor rights agreement that provides certain registration rights to certain holders of our common stock. The requisite holders of registrable securities pursuant to the registration rights agreement have waived their registration rights in connection with the filing of the registration statement of which this prospectus forms a part and any offering of securities pursuant to such registration statement.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67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Certificate of Incorporation and Amended and Restated Bylaws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76" w:lineRule="exact"/>
        <w:rPr>
          <w:sz w:val="20"/>
          <w:szCs w:val="20"/>
          <w:color w:val="auto"/>
        </w:rPr>
      </w:pPr>
    </w:p>
    <w:p>
      <w:pPr>
        <w:ind w:left="1100" w:hanging="433"/>
        <w:spacing w:after="0" w:line="279"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76" w:lineRule="exact"/>
        <w:rPr>
          <w:rFonts w:ascii="Arial" w:cs="Arial" w:eastAsia="Arial" w:hAnsi="Arial"/>
          <w:sz w:val="17"/>
          <w:szCs w:val="17"/>
          <w:color w:val="auto"/>
        </w:rPr>
      </w:pPr>
    </w:p>
    <w:p>
      <w:pPr>
        <w:ind w:left="1100" w:hanging="433"/>
        <w:spacing w:after="0" w:line="259"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92" w:lineRule="exact"/>
        <w:rPr>
          <w:rFonts w:ascii="Arial" w:cs="Arial" w:eastAsia="Arial" w:hAnsi="Arial"/>
          <w:sz w:val="18"/>
          <w:szCs w:val="18"/>
          <w:color w:val="auto"/>
        </w:rPr>
      </w:pPr>
    </w:p>
    <w:p>
      <w:pPr>
        <w:ind w:left="1100" w:hanging="433"/>
        <w:spacing w:after="0" w:line="275"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1" w:lineRule="exact"/>
        <w:rPr>
          <w:rFonts w:ascii="Arial" w:cs="Arial" w:eastAsia="Arial" w:hAnsi="Arial"/>
          <w:sz w:val="17"/>
          <w:szCs w:val="17"/>
          <w:color w:val="auto"/>
        </w:rPr>
      </w:pPr>
    </w:p>
    <w:p>
      <w:pPr>
        <w:ind w:left="1100" w:right="40" w:hanging="433"/>
        <w:spacing w:after="0" w:line="25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93" w:lineRule="exact"/>
        <w:rPr>
          <w:rFonts w:ascii="Arial" w:cs="Arial" w:eastAsia="Arial" w:hAnsi="Arial"/>
          <w:sz w:val="18"/>
          <w:szCs w:val="18"/>
          <w:color w:val="auto"/>
        </w:rPr>
      </w:pPr>
    </w:p>
    <w:p>
      <w:pPr>
        <w:ind w:left="1100" w:right="40" w:hanging="433"/>
        <w:spacing w:after="0" w:line="275"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203 of the General Corporation Law of the State of Delaware</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subject to Section 203 of the General Corporation Law of the State of Delaware ( “Section 203”), which prohibits a Delaware corporation from engaging in a business combination with any interested stockholder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67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period of three years following the date the person became an interested stockholder, with the following exceptions:</w:t>
      </w:r>
    </w:p>
    <w:p>
      <w:pPr>
        <w:spacing w:after="0" w:line="131" w:lineRule="exact"/>
        <w:rPr>
          <w:sz w:val="20"/>
          <w:szCs w:val="20"/>
          <w:color w:val="auto"/>
        </w:rPr>
      </w:pPr>
    </w:p>
    <w:p>
      <w:pPr>
        <w:ind w:left="1100" w:right="18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75" w:lineRule="exact"/>
        <w:rPr>
          <w:rFonts w:ascii="Arial" w:cs="Arial" w:eastAsia="Arial" w:hAnsi="Arial"/>
          <w:sz w:val="18"/>
          <w:szCs w:val="18"/>
          <w:color w:val="auto"/>
        </w:rPr>
      </w:pPr>
    </w:p>
    <w:p>
      <w:pPr>
        <w:ind w:left="1100" w:hanging="433"/>
        <w:spacing w:after="0" w:line="296"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66" w:lineRule="exact"/>
        <w:rPr>
          <w:rFonts w:ascii="Arial" w:cs="Arial" w:eastAsia="Arial" w:hAnsi="Arial"/>
          <w:sz w:val="16"/>
          <w:szCs w:val="16"/>
          <w:color w:val="auto"/>
        </w:rPr>
      </w:pPr>
    </w:p>
    <w:p>
      <w:pPr>
        <w:ind w:left="1100" w:right="120" w:hanging="433"/>
        <w:spacing w:after="0" w:line="263"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10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w:t>
      </w:r>
    </w:p>
    <w:p>
      <w:pPr>
        <w:ind w:left="120" w:right="20" w:hanging="4"/>
        <w:spacing w:after="0" w:line="290" w:lineRule="auto"/>
        <w:tabs>
          <w:tab w:leader="none" w:pos="3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action asserting a breach of fiduciary duty owed by any director, officer or other employee to us or our stockholders; (iii) any action asserting a claim against us or any director or officer or other employee arising pursuant to the General Corporation Law of the State of Delaware, our amended and restated certificate of incorporation or amended and restated bylaws; (iv) any action with respect to the validity of our amended and restated certificate of incorporation or amended and restated bylaws; (v) any action as to which the General Corporation Law of the State of Delaware confers jurisdiction to the Court of Chancery of the State of Delaware; or (vi) any action asserting a claim against us or any director or officer or other employee that is governed by the internal affairs doctrine. This provision would not apply to claims brought to enforce a duty or liability created by the Exchange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675"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(as succeeded by Equiniti Trust Company, LLC as of July 1, 2023). The transfer agent for any series of preferred stock that we may offer under this prospectus will be named and described in the applicable prospectus supplement for that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675"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75" w:lineRule="exact"/>
        <w:rPr>
          <w:rFonts w:ascii="Arial" w:cs="Arial" w:eastAsia="Arial" w:hAnsi="Arial"/>
          <w:sz w:val="18"/>
          <w:szCs w:val="18"/>
          <w:color w:val="auto"/>
        </w:rPr>
      </w:pPr>
    </w:p>
    <w:p>
      <w:pPr>
        <w:ind w:left="1100" w:right="80" w:hanging="433"/>
        <w:spacing w:after="0" w:line="259"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92" w:lineRule="exact"/>
        <w:rPr>
          <w:rFonts w:ascii="Arial" w:cs="Arial" w:eastAsia="Arial" w:hAnsi="Arial"/>
          <w:sz w:val="18"/>
          <w:szCs w:val="18"/>
          <w:color w:val="auto"/>
        </w:rPr>
      </w:pPr>
    </w:p>
    <w:p>
      <w:pPr>
        <w:ind w:left="1100" w:right="140" w:hanging="433"/>
        <w:spacing w:after="0" w:line="342"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100" w:right="160" w:hanging="433"/>
        <w:spacing w:after="0" w:line="263"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ind w:left="1100" w:right="20" w:hanging="433"/>
        <w:spacing w:after="0" w:line="263"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100" w:right="420" w:hanging="433"/>
        <w:spacing w:after="0" w:line="263"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75" w:lineRule="exact"/>
        <w:rPr>
          <w:rFonts w:ascii="Arial" w:cs="Arial" w:eastAsia="Arial" w:hAnsi="Arial"/>
          <w:sz w:val="18"/>
          <w:szCs w:val="18"/>
          <w:color w:val="auto"/>
        </w:rPr>
      </w:pPr>
    </w:p>
    <w:p>
      <w:pPr>
        <w:ind w:left="1100" w:hanging="433"/>
        <w:spacing w:after="0" w:line="27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100" w:right="24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67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94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100" w:right="300" w:hanging="43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53" w:lineRule="exact"/>
        <w:rPr>
          <w:rFonts w:ascii="Arial" w:cs="Arial" w:eastAsia="Arial" w:hAnsi="Arial"/>
          <w:sz w:val="16"/>
          <w:szCs w:val="16"/>
          <w:color w:val="auto"/>
        </w:rPr>
      </w:pPr>
    </w:p>
    <w:p>
      <w:pPr>
        <w:ind w:left="1100" w:right="2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75" w:lineRule="exact"/>
        <w:rPr>
          <w:rFonts w:ascii="Arial" w:cs="Arial" w:eastAsia="Arial" w:hAnsi="Arial"/>
          <w:sz w:val="18"/>
          <w:szCs w:val="18"/>
          <w:color w:val="auto"/>
        </w:rPr>
      </w:pPr>
    </w:p>
    <w:p>
      <w:pPr>
        <w:ind w:left="1100" w:hanging="43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100" w:right="160" w:hanging="43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100" w:hanging="433"/>
        <w:spacing w:after="0" w:line="311"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675"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60" w:hanging="433"/>
        <w:spacing w:after="0" w:line="301"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2" w:lineRule="exact"/>
        <w:rPr>
          <w:rFonts w:ascii="Arial" w:cs="Arial" w:eastAsia="Arial" w:hAnsi="Arial"/>
          <w:sz w:val="16"/>
          <w:szCs w:val="16"/>
          <w:color w:val="auto"/>
        </w:rPr>
      </w:pPr>
    </w:p>
    <w:p>
      <w:pPr>
        <w:ind w:left="1100" w:hanging="433"/>
        <w:spacing w:after="0" w:line="279"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100" w:hanging="43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92"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100" w:right="160" w:hanging="43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75" w:lineRule="exact"/>
        <w:rPr>
          <w:rFonts w:ascii="Arial" w:cs="Arial" w:eastAsia="Arial" w:hAnsi="Arial"/>
          <w:sz w:val="18"/>
          <w:szCs w:val="18"/>
          <w:color w:val="auto"/>
        </w:rPr>
      </w:pPr>
    </w:p>
    <w:p>
      <w:pPr>
        <w:ind w:left="1100" w:right="460" w:hanging="433"/>
        <w:spacing w:after="0" w:line="308" w:lineRule="auto"/>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100" w:right="140" w:hanging="433"/>
        <w:spacing w:after="0" w:line="259"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92" w:lineRule="exact"/>
        <w:rPr>
          <w:rFonts w:ascii="Arial" w:cs="Arial" w:eastAsia="Arial" w:hAnsi="Arial"/>
          <w:sz w:val="18"/>
          <w:szCs w:val="18"/>
          <w:color w:val="auto"/>
        </w:rPr>
      </w:pPr>
    </w:p>
    <w:p>
      <w:pPr>
        <w:ind w:left="1100" w:right="740" w:hanging="433"/>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ind w:left="1100" w:right="120" w:hanging="433"/>
        <w:spacing w:after="0" w:line="286"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100" w:right="240" w:hanging="433"/>
        <w:spacing w:after="0" w:line="263"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26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their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675"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00" w:right="260" w:hanging="433"/>
        <w:spacing w:after="0" w:line="308"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100" w:right="40" w:hanging="433"/>
        <w:spacing w:after="0" w:line="342"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6" w:lineRule="exact"/>
        <w:rPr>
          <w:sz w:val="20"/>
          <w:szCs w:val="20"/>
          <w:color w:val="auto"/>
        </w:rPr>
      </w:pPr>
    </w:p>
    <w:p>
      <w:pPr>
        <w:ind w:left="1100" w:right="8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100" w:right="78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internal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issue securities in registered form or in the form of one or more global securities. We describe global securities in greater detail below. We refer to those persons who have securities registered in their own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675"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6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76" w:lineRule="exact"/>
        <w:rPr>
          <w:sz w:val="20"/>
          <w:szCs w:val="20"/>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675"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100" w:right="38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their name, and cannot obtain non-global certificates for their interest in the securities, except in the special situations we describe below;</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their own bank or broker for payments on the securities and protection of their legal rights relating to the securities, as we describe above;</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may not be able to pledge their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100" w:right="380" w:hanging="433"/>
        <w:spacing w:after="0" w:line="308"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100" w:right="320" w:hanging="433"/>
        <w:spacing w:after="0" w:line="308"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4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Unless we provide otherwise in the applicable prospectus supplement, the global security will terminate when the following special situations occur:</w:t>
      </w:r>
    </w:p>
    <w:p>
      <w:pPr>
        <w:spacing w:after="0" w:line="76" w:lineRule="exact"/>
        <w:rPr>
          <w:sz w:val="20"/>
          <w:szCs w:val="20"/>
          <w:color w:val="auto"/>
        </w:rPr>
      </w:pPr>
    </w:p>
    <w:p>
      <w:pPr>
        <w:ind w:left="1100" w:right="1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23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675"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“at-the-market” offerings as defined in Rule 415 under the Securities Act at negotiated prices,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92" w:lineRule="exact"/>
        <w:rPr>
          <w:sz w:val="20"/>
          <w:szCs w:val="20"/>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applicable prospectus supplement, other than securities covered by any option to purchase additional securities.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8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use underwriters, dealers or agents with whom we have a material relationship. We will describe in the prospectus supplement, naming the underwriter, dealer or agent, the nature of any such relationship.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67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applicable prospectus supplement states otherwise, the agent will act on a best-efforts basis for the period of its appointment.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Any underwriters or agents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6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GC&amp;H Investments, LLC, an entity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that includes current and former partners and associates of Cooley LLP, beneficially owns 10,400 shares of our common stock. Additional legal matters may be passed upon for us or any underwriters, dealers or agents by counsel that we will name in the applicable prospectus supplement.</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In addition, we maintain a website that contains information about us at www.ngmbio.com. The information found on, or otherwise accessible through our website is not incorporated by reference into, and does not form a part of, this prospectus or any accompanying prospectus supplement or any other document or report we file or furnish with the SEC.</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98" w:lineRule="exact"/>
        <w:rPr>
          <w:sz w:val="20"/>
          <w:szCs w:val="20"/>
          <w:color w:val="auto"/>
        </w:rPr>
      </w:pPr>
    </w:p>
    <w:p>
      <w:pPr>
        <w:ind w:left="1100" w:right="240" w:hanging="433"/>
        <w:spacing w:after="0" w:line="277" w:lineRule="auto"/>
        <w:tabs>
          <w:tab w:leader="none" w:pos="1100" w:val="left"/>
        </w:tabs>
        <w:numPr>
          <w:ilvl w:val="0"/>
          <w:numId w:val="34"/>
        </w:numPr>
        <w:rPr>
          <w:rFonts w:ascii="Arial" w:cs="Arial" w:eastAsia="Arial" w:hAnsi="Arial"/>
          <w:sz w:val="18"/>
          <w:szCs w:val="18"/>
          <w:color w:val="0000EE"/>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hyperlink>
      <w:r>
        <w:rPr>
          <w:rFonts w:ascii="Arial" w:cs="Arial" w:eastAsia="Arial" w:hAnsi="Arial"/>
          <w:sz w:val="18"/>
          <w:szCs w:val="18"/>
          <w:color w:val="auto"/>
        </w:rPr>
        <w:t xml:space="preserve">, for the year ended December 31, 2022, filed with the SEC on February 28, 2023, as amended by our </w:t>
      </w:r>
      <w:hyperlink r:id="rId56">
        <w:r>
          <w:rPr>
            <w:rFonts w:ascii="Arial" w:cs="Arial" w:eastAsia="Arial" w:hAnsi="Arial"/>
            <w:sz w:val="18"/>
            <w:szCs w:val="18"/>
            <w:u w:val="single" w:color="auto"/>
            <w:color w:val="0000EE"/>
          </w:rPr>
          <w:t>Form 10-K/A</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March 1, 2023;</w:t>
      </w:r>
    </w:p>
    <w:p>
      <w:pPr>
        <w:spacing w:after="0" w:line="75" w:lineRule="exact"/>
        <w:rPr>
          <w:rFonts w:ascii="Arial" w:cs="Arial" w:eastAsia="Arial" w:hAnsi="Arial"/>
          <w:sz w:val="18"/>
          <w:szCs w:val="18"/>
          <w:color w:val="0000EE"/>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7">
        <w:r>
          <w:rPr>
            <w:rFonts w:ascii="Arial" w:cs="Arial" w:eastAsia="Arial" w:hAnsi="Arial"/>
            <w:sz w:val="18"/>
            <w:szCs w:val="18"/>
            <w:u w:val="single" w:color="auto"/>
            <w:color w:val="0000EE"/>
          </w:rPr>
          <w:t>Form 10-Q</w:t>
        </w:r>
      </w:hyperlink>
      <w:r>
        <w:rPr>
          <w:rFonts w:ascii="Arial" w:cs="Arial" w:eastAsia="Arial" w:hAnsi="Arial"/>
          <w:sz w:val="18"/>
          <w:szCs w:val="18"/>
          <w:color w:val="auto"/>
        </w:rPr>
        <w:t>, for the quarter ended March 31, 2023, filed with the SEC on May 4, 2023;</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5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March 29, 2023 (excluding those portions that are not incorporated by reference into our Annual Report on Form 10-K for the year ended December 31, 2022);</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9">
        <w:r>
          <w:rPr>
            <w:rFonts w:ascii="Arial" w:cs="Arial" w:eastAsia="Arial" w:hAnsi="Arial"/>
            <w:sz w:val="18"/>
            <w:szCs w:val="18"/>
            <w:u w:val="single" w:color="auto"/>
            <w:color w:val="0000EE"/>
          </w:rPr>
          <w:t>April 4, 2023</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May 12,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1">
        <w:r>
          <w:rPr>
            <w:rFonts w:ascii="Arial" w:cs="Arial" w:eastAsia="Arial" w:hAnsi="Arial"/>
            <w:sz w:val="18"/>
            <w:szCs w:val="18"/>
            <w:u w:val="single" w:color="auto"/>
            <w:color w:val="0000EE"/>
          </w:rPr>
          <w:t>June 8, 2023</w:t>
        </w:r>
      </w:hyperlink>
      <w:r>
        <w:rPr>
          <w:rFonts w:ascii="Arial" w:cs="Arial" w:eastAsia="Arial" w:hAnsi="Arial"/>
          <w:sz w:val="18"/>
          <w:szCs w:val="18"/>
          <w:color w:val="auto"/>
        </w:rPr>
        <w:t>; and</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67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40" w:hanging="433"/>
        <w:spacing w:after="0" w:line="263"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3">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filed with the SEC on March 29, 2019, including any amendment or report filed for the purpose of updating such description, including </w:t>
      </w:r>
      <w:hyperlink r:id="rId64">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2019.</w:t>
      </w:r>
    </w:p>
    <w:p>
      <w:pPr>
        <w:spacing w:after="0" w:line="184" w:lineRule="exact"/>
        <w:rPr>
          <w:rFonts w:ascii="Arial" w:cs="Arial" w:eastAsia="Arial" w:hAnsi="Arial"/>
          <w:sz w:val="18"/>
          <w:szCs w:val="18"/>
          <w:color w:val="auto"/>
        </w:rPr>
      </w:pPr>
    </w:p>
    <w:p>
      <w:pPr>
        <w:ind w:left="120" w:firstLine="440"/>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NGM Biopharmaceuticals,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333 Oyster Point Boulevard</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both"/>
        <w:ind w:left="5080" w:right="4960" w:hanging="18"/>
        <w:spacing w:after="0" w:line="323" w:lineRule="auto"/>
        <w:tabs>
          <w:tab w:leader="none" w:pos="5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243-5555 Attn: Secretary</w:t>
      </w:r>
    </w:p>
    <w:p>
      <w:pPr>
        <w:spacing w:after="0" w:line="7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675"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JUNE 8,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177165</wp:posOffset>
            </wp:positionV>
            <wp:extent cx="1397635" cy="360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NGM Biopharmaceuticals, Inc.</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38"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We have entered into Amendment No. 1 to the Open Market Sale Agreement</w:t>
      </w:r>
      <w:r>
        <w:rPr>
          <w:rFonts w:ascii="Arial" w:cs="Arial" w:eastAsia="Arial" w:hAnsi="Arial"/>
          <w:sz w:val="23"/>
          <w:szCs w:val="23"/>
          <w:color w:val="auto"/>
          <w:vertAlign w:val="superscript"/>
        </w:rPr>
        <w:t>SM</w:t>
      </w:r>
      <w:r>
        <w:rPr>
          <w:rFonts w:ascii="Arial" w:cs="Arial" w:eastAsia="Arial" w:hAnsi="Arial"/>
          <w:sz w:val="16"/>
          <w:szCs w:val="16"/>
          <w:color w:val="auto"/>
        </w:rPr>
        <w:t>, or the sales agreement, with Jefferies LLC, or Jefferies, relating to the sale of shares of our common stock offered by this prospectus. The controlling provisions of the amendment to the sales agreement will become effective immediately upon the effectiveness of the registration statement of which this prospectus is a part. In accordance with the terms of the sales agreement, as amended, or the amended sales agreement, we may offer and sell shares of our common stock having an aggregate offering price of up to $100,000,000 from time to time through Jefferies, acting as our sales agent. As of immediately prior to the filing date of this prospectus, shares of our common stock having an aggregate offering price of up to $76,164,523 remained unsold under the sales agreement and the sales agreement prospectus dated June 16, 2020, or the prior prospectus. The common stock remaining available to be sold under the prior prospectus as of the date of effectiveness of the registration statement of which this prospectus is a part will no longer be offered and sold under the prior prospectus and will instead be offered and sold under this prospectus. Accordingly, this prospectus covers the offer and sale of our common stock having an aggregate offering price of up to $100,000,000 to be sold under the amended sales agreement as of the date of this prospectus.</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“NGM.” On June 6, 2023, the last reported sale price of our common stock was $3.62 per share.</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Sales of our shares, if any, under this prospectus may be made in sales deemed to be an “at-the-market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7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Jefferies will be entitled to compensation under the terms of the amended sales agreement at a fixed commission rate of up to 3.0% of the gross sales price per share sold under the amended sales agreement. See “Plan of Distribution” beginning on page 14 for additional information regarding Jefferies’ compensation. In connection with the sale of common stock on our behalf, Jefferies will be deemed to be an “underwriter” within the meaning of the Securities Act and the compensation of Jefferies will be deemed to be underwriting commissions or discounts. We have also agreed to provide indemnification to Jefferies against certain liabilities, including liabilities under the Securities Act or the Securities Exchange Act of 1934, as amended, or the Exchange Act. See section titled “Plan of Distribution” on page 14 of this prospectus.</w:t>
      </w:r>
    </w:p>
    <w:p>
      <w:pPr>
        <w:spacing w:after="0" w:line="165" w:lineRule="exact"/>
        <w:rPr>
          <w:sz w:val="20"/>
          <w:szCs w:val="20"/>
          <w:color w:val="auto"/>
        </w:rPr>
      </w:pPr>
    </w:p>
    <w:p>
      <w:pPr>
        <w:ind w:left="120" w:right="60"/>
        <w:spacing w:after="0" w:line="239" w:lineRule="auto"/>
        <w:rPr>
          <w:sz w:val="20"/>
          <w:szCs w:val="20"/>
          <w:color w:val="auto"/>
        </w:rPr>
      </w:pPr>
      <w:r>
        <w:rPr>
          <w:rFonts w:ascii="Arial" w:cs="Arial" w:eastAsia="Arial" w:hAnsi="Arial"/>
          <w:sz w:val="22"/>
          <w:szCs w:val="22"/>
          <w:b w:val="1"/>
          <w:bCs w:val="1"/>
          <w:color w:val="auto"/>
        </w:rPr>
        <w:t>Investing in our common stock involves a high degree of risk. Before making an investment decision, please read the information contained in and incorporated by reference under the heading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 and under similar headings in the other documents that we have filed or that are filed after the date hereof and incorporated by reference into this prospectus</w:t>
      </w:r>
      <w:r>
        <w:rPr>
          <w:rFonts w:ascii="Arial" w:cs="Arial" w:eastAsia="Arial" w:hAnsi="Arial"/>
          <w:sz w:val="22"/>
          <w:szCs w:val="22"/>
          <w:b w:val="1"/>
          <w:bCs w:val="1"/>
          <w:i w:val="1"/>
          <w:iCs w:val="1"/>
          <w:color w:val="auto"/>
        </w:rPr>
        <w:t>.</w:t>
      </w:r>
    </w:p>
    <w:p>
      <w:pPr>
        <w:spacing w:after="0" w:line="1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ectPr>
          <w:pgSz w:w="11900" w:h="16838" w:orient="portrait"/>
          <w:cols w:equalWidth="0" w:num="1">
            <w:col w:w="11140"/>
          </w:cols>
          <w:pgMar w:left="320" w:top="675" w:right="439" w:bottom="1440" w:gutter="0" w:footer="0" w:header="0"/>
        </w:sectPr>
      </w:pPr>
    </w:p>
    <w:p>
      <w:pPr>
        <w:spacing w:after="0" w:line="238" w:lineRule="exact"/>
        <w:rPr>
          <w:sz w:val="20"/>
          <w:szCs w:val="20"/>
          <w:color w:val="auto"/>
        </w:rPr>
      </w:pPr>
    </w:p>
    <w:p>
      <w:pPr>
        <w:jc w:val="center"/>
        <w:ind w:right="-119"/>
        <w:spacing w:after="0"/>
        <w:tabs>
          <w:tab w:leader="none" w:pos="20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2023.</w:t>
      </w:r>
    </w:p>
    <w:p>
      <w:pPr>
        <w:sectPr>
          <w:pgSz w:w="11900" w:h="16838" w:orient="portrait"/>
          <w:cols w:equalWidth="0" w:num="1">
            <w:col w:w="11140"/>
          </w:cols>
          <w:pgMar w:left="320" w:top="675" w:right="4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740" w:type="dxa"/>
            <w:vAlign w:val="bottom"/>
            <w:gridSpan w:val="14"/>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4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ABOUT THIS PROSPECTUS</w:t>
            </w:r>
          </w:p>
        </w:tc>
        <w:tc>
          <w:tcPr>
            <w:tcW w:w="64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PROSPECTUS SUMMARY</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RISK FACTORS</w:t>
            </w:r>
          </w:p>
        </w:tc>
        <w:tc>
          <w:tcPr>
            <w:tcW w:w="65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7"/>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DILUTION</w:t>
            </w:r>
          </w:p>
        </w:tc>
        <w:tc>
          <w:tcPr>
            <w:tcW w:w="77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CAPITAL STOCK</w:t>
            </w:r>
          </w:p>
        </w:tc>
        <w:tc>
          <w:tcPr>
            <w:tcW w:w="57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65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4380" w:type="dxa"/>
            <w:vAlign w:val="bottom"/>
            <w:gridSpan w:val="10"/>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Under this shelf registration process, we may offer and sell shares of our common stock and preferred stock, various series of debt securities and/or warrants to purchase any of such securities, either individually or in combination with other securities described in this prospectus, in one or more offerings, up to a total dollar amount of $300,000,000 of any combination of the securities described in this prospectus. Under this prospectus, we may offer and sell shares of our common stock having an aggregate offering price of up to $100,000,000 from time to time at prices and on terms to be determined by market conditions at the time of offering.</w:t>
      </w:r>
    </w:p>
    <w:p>
      <w:pPr>
        <w:spacing w:after="0" w:line="178"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This prospectus describes the terms of this offering of shares of our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not, and Jefferies has not, authorized anyone to provide any information other than that contained or incorporated by reference in this prospectus, any prospectus supplement relating to this offering or in any free writing prospectus that we have authorized for use in connection with this offering. We and Jefferies take no responsibility for, and can provide no assurance as to the reliability of, any other information that others may give you. This prospectus does not constitute an offer to sell, or a solicitation of an offer to purchase, the common stock offered by this prospectus in any jurisdiction to or from any person to whom or from whom it is unlawful to make such offer or solicitation of an offer in such jurisdiction. The information appearing in this prospectus, any prospectus supplement relating to this offering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related free writing prospectus, or any sale of shares of our common stock. Our business, financial condition, results of operations and prospects may have changed since those dates. It is important for you to read and consider all information contained in this prospectus, any prospectus supplement relating to this offering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Additional Information” and “Incorporation of Certain Information by Reference” in this prospectus.</w:t>
      </w:r>
    </w:p>
    <w:p>
      <w:pPr>
        <w:spacing w:after="0" w:line="18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data and industry statistics and forecasts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prospectus supplement and free writing prospectus, and under similar headings in the other documents that are incorporated by reference into this prospectus. Accordingly, investors should not place undue reliance on this information.</w:t>
      </w:r>
    </w:p>
    <w:p>
      <w:pPr>
        <w:spacing w:after="0" w:line="16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61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and any related prospectus supplement and free writing prospectus, including the risks of investing in our common stock discussed under the heading “Risk Factors” contained in this prospectus and any related prospectus supplement and free writing prospectus, and under similar headings in the other documents that are incorporated by reference into this prospectus. You should also carefully read the other information incorporated by reference into this prospectus, including our consolidated financial statements, and the exhibits to the registration statement of which this prospectus is a part.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NGM Biopharmaceuticals, Inc.</w:t>
      </w:r>
    </w:p>
    <w:p>
      <w:pPr>
        <w:spacing w:after="0" w:line="121"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spacing w:after="0" w:line="181"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Our common stock is currently listed on The Nasdaq Global Select Market under the symbol “NGM.”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87"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675" w:right="6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807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$100,000,000.</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“At-the-market” offering that may be made from time to time through our sales agent, Jefferies. See “Plan of Distribution” on page 14 of this prospectus.</w:t>
      </w:r>
    </w:p>
    <w:p>
      <w:pPr>
        <w:spacing w:after="0" w:line="19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currently expect to use the net proceeds from this offering for working capital and other general corporate purposes, which may include funding research and development, general and administrative activities and capital expenditures.</w:t>
      </w:r>
    </w:p>
    <w:p>
      <w:pPr>
        <w:spacing w:after="0" w:line="200" w:lineRule="exact"/>
        <w:rPr>
          <w:sz w:val="20"/>
          <w:szCs w:val="20"/>
          <w:color w:val="auto"/>
        </w:rPr>
      </w:pPr>
    </w:p>
    <w:p>
      <w:pPr>
        <w:sectPr>
          <w:pgSz w:w="11900" w:h="16838" w:orient="portrait"/>
          <w:cols w:equalWidth="0" w:num="2">
            <w:col w:w="3620" w:space="720"/>
            <w:col w:w="6800"/>
          </w:cols>
          <w:pgMar w:left="320" w:top="675" w:right="439" w:bottom="1440" w:gutter="0" w:footer="0" w:header="0"/>
          <w:type w:val="continuous"/>
        </w:sectPr>
      </w:pP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80" w:type="dxa"/>
            <w:vAlign w:val="bottom"/>
          </w:tcPr>
          <w:p>
            <w:pPr>
              <w:ind w:left="680"/>
              <w:spacing w:after="0"/>
              <w:rPr>
                <w:sz w:val="20"/>
                <w:szCs w:val="20"/>
                <w:color w:val="auto"/>
              </w:rPr>
            </w:pPr>
            <w:r>
              <w:rPr>
                <w:rFonts w:ascii="Arial" w:cs="Arial" w:eastAsia="Arial" w:hAnsi="Arial"/>
                <w:sz w:val="18"/>
                <w:szCs w:val="18"/>
                <w:color w:val="auto"/>
              </w:rPr>
              <w:t>Investing in our common stock involves significant risks. Please read the information</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w w:val="94"/>
              </w:rPr>
              <w:t>contained in and incorporated by reference under the heading “Risk Factors” beginning on</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w w:val="94"/>
              </w:rPr>
              <w:t>page 3 of this prospectus, and under similar headings in the other documents that are filed</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w w:val="93"/>
              </w:rPr>
              <w:t>after the date hereof and incorporated by reference into this prospectus, for a discussion of</w:t>
            </w:r>
          </w:p>
        </w:tc>
      </w:tr>
      <w:tr>
        <w:trPr>
          <w:trHeight w:val="230"/>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factors you should consider before buying shares of our common stock.</w:t>
            </w:r>
          </w:p>
        </w:tc>
      </w:tr>
      <w:tr>
        <w:trPr>
          <w:trHeight w:val="459"/>
        </w:trPr>
        <w:tc>
          <w:tcPr>
            <w:tcW w:w="3540" w:type="dxa"/>
            <w:vAlign w:val="bottom"/>
          </w:tcPr>
          <w:p>
            <w:pPr>
              <w:ind w:left="180"/>
              <w:spacing w:after="0"/>
              <w:rPr>
                <w:sz w:val="20"/>
                <w:szCs w:val="20"/>
                <w:color w:val="auto"/>
              </w:rPr>
            </w:pPr>
            <w:r>
              <w:rPr>
                <w:rFonts w:ascii="Arial" w:cs="Arial" w:eastAsia="Arial" w:hAnsi="Arial"/>
                <w:sz w:val="18"/>
                <w:szCs w:val="18"/>
                <w:color w:val="auto"/>
              </w:rPr>
              <w:t>Nasdaq Global Select Market symbol</w:t>
            </w:r>
          </w:p>
        </w:tc>
        <w:tc>
          <w:tcPr>
            <w:tcW w:w="7480" w:type="dxa"/>
            <w:vAlign w:val="bottom"/>
          </w:tcPr>
          <w:p>
            <w:pPr>
              <w:ind w:left="680"/>
              <w:spacing w:after="0"/>
              <w:rPr>
                <w:sz w:val="20"/>
                <w:szCs w:val="20"/>
                <w:color w:val="auto"/>
              </w:rPr>
            </w:pPr>
            <w:r>
              <w:rPr>
                <w:rFonts w:ascii="Arial" w:cs="Arial" w:eastAsia="Arial" w:hAnsi="Arial"/>
                <w:sz w:val="18"/>
                <w:szCs w:val="18"/>
                <w:color w:val="auto"/>
              </w:rPr>
              <w:t>“NGM”</w:t>
            </w:r>
          </w:p>
        </w:tc>
      </w:tr>
      <w:tr>
        <w:trPr>
          <w:trHeight w:val="172"/>
        </w:trPr>
        <w:tc>
          <w:tcPr>
            <w:tcW w:w="3540" w:type="dxa"/>
            <w:vAlign w:val="bottom"/>
            <w:tcBorders>
              <w:bottom w:val="single" w:sz="8" w:color="auto"/>
            </w:tcBorders>
          </w:tcPr>
          <w:p>
            <w:pPr>
              <w:spacing w:after="0"/>
              <w:rPr>
                <w:sz w:val="14"/>
                <w:szCs w:val="14"/>
                <w:color w:val="auto"/>
              </w:rPr>
            </w:pPr>
          </w:p>
        </w:tc>
        <w:tc>
          <w:tcPr>
            <w:tcW w:w="7480" w:type="dxa"/>
            <w:vAlign w:val="bottom"/>
            <w:tcBorders>
              <w:bottom w:val="single" w:sz="8" w:color="auto"/>
            </w:tcBorders>
          </w:tcPr>
          <w:p>
            <w:pPr>
              <w:spacing w:after="0"/>
              <w:rPr>
                <w:sz w:val="14"/>
                <w:szCs w:val="14"/>
                <w:color w:val="auto"/>
              </w:rPr>
            </w:pPr>
          </w:p>
        </w:tc>
      </w:tr>
      <w:tr>
        <w:trPr>
          <w:trHeight w:val="361"/>
        </w:trPr>
        <w:tc>
          <w:tcPr>
            <w:tcW w:w="3540" w:type="dxa"/>
            <w:vAlign w:val="bottom"/>
          </w:tcPr>
          <w:p>
            <w:pPr>
              <w:spacing w:after="0"/>
              <w:rPr>
                <w:sz w:val="24"/>
                <w:szCs w:val="24"/>
                <w:color w:val="auto"/>
              </w:rPr>
            </w:pPr>
          </w:p>
        </w:tc>
        <w:tc>
          <w:tcPr>
            <w:tcW w:w="7480" w:type="dxa"/>
            <w:vAlign w:val="bottom"/>
          </w:tcPr>
          <w:p>
            <w:pPr>
              <w:ind w:left="19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40"/>
          </w:cols>
          <w:pgMar w:left="320" w:top="675" w:right="4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Investing in our common stock involves a high degree of risk. Before deciding whether to invest in our common stock, you should consider carefully the risks and uncertainties described below and under the heading “Risk Factors” contained in any related prospectus supplement and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its entirety, as updated or superseded by the risks and uncertainties described under similar headings in the other documents that are filed after the date hereof and incorporated by reference into this prospectus, together with other information in this prospectus, the documents incorporated by reference, any related prospectus supplement and any free writing prospectus that we may authorize for use in connection with this offering. The risks described below and in these incorporated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incur immediate and substantial dilution as a result of this offering.</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offering price per share of our common stock in this offering may exceed the net tangible book value per share of our common stock outstanding prior to this offering. Assuming that an aggregate of 27,624,309 shares of our common stock are sold at a price of $3.62 per share, the last reported sale price of our common stock on The Nasdaq Global Select Market on June 6, 2023, for aggregate gross proceeds of $100.0 million, and after deducting commissions and estimated offering expenses payable by us, you would experience immediate dilution of $0.72 per share, representing the difference between our as adjusted net tangible book value per share as of March 31, 2023, after giving effect to this offering, and the assumed public offering price. The exercise of outstanding stock options and vesting of restricted stock units could result in further dilution of your investment. See “Dilution” beginning on page 8 of this prospectus for a more detailed description of the dilution to new investors in this offering.</w:t>
      </w:r>
    </w:p>
    <w:p>
      <w:pPr>
        <w:spacing w:after="0" w:line="27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6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products or require us to raise additional capital.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In order to raise additional capital, we may offer additional shares of our common stock or other securities convertible into or exchangeable for our common stock in the future.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675"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market price for our common stock has fluctuated significantly from time to time, for example, varying between a high of $32.12 on March 17, 2021 and a low of $2.84 on May 30, 2023. The trading price of our common stock has been and may continue to be highly volatile and subject to wide fluctuations in response to various factors, some of which we cannot control. In addition to the factors discussed herein and under the heading “Risk Factors” in the documents incorporated by reference in this prospectus, these factors include:</w:t>
      </w:r>
    </w:p>
    <w:p>
      <w:pPr>
        <w:spacing w:after="0" w:line="77" w:lineRule="exact"/>
        <w:rPr>
          <w:sz w:val="20"/>
          <w:szCs w:val="20"/>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raise adequate capital through public or private equity or debt offerings or negotiate potential future collaboration, out licensing, partnering or other business development arrangements, or BD Arrangements, with third-party partners in a timely manner or at all;</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data by our competitors;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timeline delays in our clinical trials, including delays resulting from the effects of the ongoing global COVID-19 pandemic or otherwise;</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100" w:right="72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or partners of significant acquisitions, strategic collaborations, joint ventures or capital commitments;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purchases or sales of our common stock by us, our insiders or our other stockholders;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the conflict between Russia and Ukraine and recent and potential future bank failures, which has resulted in decreased stock prices for many companies notwithstanding the lack of a fundamental change in their underlying business models or prospects. Broad market and industry factors, including worsening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675" w:right="5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economic conditions and other adverse effects or developments relating to the effects of the ongoing COVID-19 pandemic and recent and potential future bank failures, macroeconomic factors including inflation and rising interest rates, geopolitical instability, including instability resulting from the conflict between Russia and Ukraine and the related sanctions imposed against Russia, as well as adverse financial conditions affecting the banking system and financial markets that may result in the distress, insolvency or failure of additional banks and financial institutions, may negatively affect the market price of our common stock, regardless of our actual operating performance. The realization of any of the above risks or any of a broad range of other risks, including those described herein and under the heading “Risk Factors” in the documents incorporated by reference in this prospectus, could have a dramatic and material adverse impact on the market price of our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actual number of shares of common stock we will issue under the amended sales agreement, at any one time or in total, is uncertain.</w:t>
      </w:r>
    </w:p>
    <w:p>
      <w:pPr>
        <w:spacing w:after="0" w:line="14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certain limitations in the amended sales agreement and compliance with applicable law, we have the discretion to deliver an issuance notice to Jefferies at any time throughout the term of the amended sales agreement. The number of shares of common stock that are sold by Jefferies after delivering an issuance notice will fluctuate based on the market price of the shares of common stock during the sales period and limits we set with Jefferies. Because the price per share of each share of common stock sold will fluctuate based on the market price of our shares of common stock during the sales period, it is not possible to predict the number of shares of common stock that will be ultimately issued.</w:t>
      </w:r>
    </w:p>
    <w:p>
      <w:pPr>
        <w:spacing w:after="0" w:line="2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shares of common stock offered hereby are intended to be sold in “at-the-market offerings,” and investors who buy shares of common stock at different times will likely pay different prices.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Investors who purchase shares of common stock in this offering at different times will likely pay different prices, and so may experience different outcomes in their investment results. We will have discretion, subject to market demand, to vary the timing, prices, and number of shares of common stock sold. Investors may experience a decline in the value of their shares of common stock as a result of sales of shares of common stock made at prices lower than the prices they paid.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the Securities Act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100" w:right="2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the initiation of, enrollment in, availability of data for and other events related to such clinical trials;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belief that NGM707 has the potential to reprogram immunoglobulin-like transcript 4-, or ILT4-, and immunoglobulin-like transcript</w:t>
      </w:r>
    </w:p>
    <w:p>
      <w:pPr>
        <w:spacing w:after="0" w:line="34" w:lineRule="exact"/>
        <w:rPr>
          <w:rFonts w:ascii="Arial" w:cs="Arial" w:eastAsia="Arial" w:hAnsi="Arial"/>
          <w:sz w:val="17"/>
          <w:szCs w:val="17"/>
          <w:color w:val="auto"/>
        </w:rPr>
      </w:pPr>
    </w:p>
    <w:p>
      <w:pPr>
        <w:ind w:left="1100" w:right="220"/>
        <w:spacing w:after="0" w:line="260" w:lineRule="auto"/>
        <w:rPr>
          <w:rFonts w:ascii="Arial" w:cs="Arial" w:eastAsia="Arial" w:hAnsi="Arial"/>
          <w:sz w:val="17"/>
          <w:szCs w:val="17"/>
          <w:color w:val="auto"/>
        </w:rPr>
      </w:pPr>
      <w:r>
        <w:rPr>
          <w:rFonts w:ascii="Arial" w:cs="Arial" w:eastAsia="Arial" w:hAnsi="Arial"/>
          <w:sz w:val="18"/>
          <w:szCs w:val="18"/>
          <w:color w:val="auto"/>
        </w:rPr>
        <w:t>2-, or ILT2-, expressing myeloid cells to shift them from a suppressive state that restricts anti-tumor immunity to a stimulatory state that may promote anti-tumor immunity;</w:t>
      </w:r>
    </w:p>
    <w:p>
      <w:pPr>
        <w:spacing w:after="0" w:line="90" w:lineRule="exact"/>
        <w:rPr>
          <w:rFonts w:ascii="Arial" w:cs="Arial" w:eastAsia="Arial" w:hAnsi="Arial"/>
          <w:sz w:val="17"/>
          <w:szCs w:val="17"/>
          <w:color w:val="auto"/>
        </w:rPr>
      </w:pPr>
    </w:p>
    <w:p>
      <w:pPr>
        <w:ind w:left="1100" w:right="420" w:hanging="433"/>
        <w:spacing w:after="0" w:line="286"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belief that NGM831 has the potential to block the interaction of the Immunoglobulin-like transcript 3, or ILT3 (also known as LILRB4), receptor with fibronectin, as well as other cognate ligands, and mobilize a patient’s own immune system to fight tumors by shifting myeloid cells from a suppressive state to a stimulatory state promoting anti-tumor activity;</w:t>
      </w:r>
    </w:p>
    <w:p>
      <w:pPr>
        <w:spacing w:after="0" w:line="70" w:lineRule="exact"/>
        <w:rPr>
          <w:rFonts w:ascii="Arial" w:cs="Arial" w:eastAsia="Arial" w:hAnsi="Arial"/>
          <w:sz w:val="17"/>
          <w:szCs w:val="17"/>
          <w:color w:val="auto"/>
        </w:rPr>
      </w:pPr>
    </w:p>
    <w:p>
      <w:pPr>
        <w:ind w:left="1100" w:right="480" w:hanging="433"/>
        <w:spacing w:after="0" w:line="308"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belief that NGM438 has the potential to potently block the binding of all collagens to leukocyte-associated immunoglobulin-like receptor 1, or LAIR1, and to address a key resistance mechanism that limits tumor responses to current immunotherapies;</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belief that NGM120 may reduce tumor growth and improve survival;</w:t>
      </w:r>
    </w:p>
    <w:p>
      <w:pPr>
        <w:spacing w:after="0" w:line="130" w:lineRule="exact"/>
        <w:rPr>
          <w:rFonts w:ascii="Arial" w:cs="Arial" w:eastAsia="Arial" w:hAnsi="Arial"/>
          <w:sz w:val="18"/>
          <w:szCs w:val="18"/>
          <w:color w:val="auto"/>
        </w:rPr>
      </w:pPr>
    </w:p>
    <w:p>
      <w:pPr>
        <w:ind w:left="1100" w:hanging="433"/>
        <w:spacing w:after="0" w:line="308"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belief that aldafermin has the potential to be a treatment for patients with compensated cirrhosis due to non-alcoholic steatohepatitis, or NASH, or for patients with idiopathic bile acid malabsorption with diarrhea-predominant irritable bowel syndrome;</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belief that NGM313 (MK-3655) has the potential to be a treatment for patients with NASH with early to moderate fibrosis;</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key programs in active development, NGM707, NGM831, NGM438 and NGM120, and the therapeutic potential of those product candidates;</w:t>
      </w:r>
    </w:p>
    <w:p>
      <w:pPr>
        <w:spacing w:after="0" w:line="75" w:lineRule="exact"/>
        <w:rPr>
          <w:rFonts w:ascii="Arial" w:cs="Arial" w:eastAsia="Arial" w:hAnsi="Arial"/>
          <w:sz w:val="18"/>
          <w:szCs w:val="18"/>
          <w:color w:val="auto"/>
        </w:rPr>
      </w:pPr>
    </w:p>
    <w:p>
      <w:pPr>
        <w:ind w:left="1100" w:right="100" w:hanging="433"/>
        <w:spacing w:after="0" w:line="263"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therapeutic potential of our additional programs currently without significant resource allocation whose further development is primarily dependent on our ability to secure potential future BD Arrangements with third-party partners and our ability to secure such BD Arrangements on beneficial terms, if at all;</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30" w:lineRule="exact"/>
        <w:rPr>
          <w:rFonts w:ascii="Arial" w:cs="Arial" w:eastAsia="Arial" w:hAnsi="Arial"/>
          <w:sz w:val="18"/>
          <w:szCs w:val="18"/>
          <w:color w:val="auto"/>
        </w:rPr>
      </w:pPr>
    </w:p>
    <w:p>
      <w:pPr>
        <w:ind w:left="1100" w:right="480" w:hanging="433"/>
        <w:spacing w:after="0" w:line="308"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estimates regarding future expenses, revenue, capital requirements and needs for additional financing, particularly in light of our estimates of Merck Sharp &amp; Dohme LLC providing further decreased funding in 2023 and minimal funding thereafter;</w:t>
      </w:r>
    </w:p>
    <w:p>
      <w:pPr>
        <w:spacing w:after="0" w:line="51" w:lineRule="exact"/>
        <w:rPr>
          <w:rFonts w:ascii="Arial" w:cs="Arial" w:eastAsia="Arial" w:hAnsi="Arial"/>
          <w:sz w:val="17"/>
          <w:szCs w:val="17"/>
          <w:color w:val="auto"/>
        </w:rPr>
      </w:pPr>
    </w:p>
    <w:p>
      <w:pPr>
        <w:ind w:left="1100" w:right="84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and any of our future product candidates, and any related restrictions, limitations and/or warnings in the label of any approved product candidate;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candidates’ side effects and our ability to effectively manage these side effects;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675"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as well as the reimbursement coverage for our product candidates;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beliefs with respect to the availability of the accelerated approval pathway for any marketing applications that we may submit to the U.S. Food and Drug Administration;</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75"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beliefs around the competitive landscape for our product candidates and the success of competing therapies that are or may become available;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assumptions, risks and uncertainties, you should not place undue reliance on these forward-looking statements. We cannot guarantee that any forward-looking statement will be realized. We discuss in greater detail, and incorporate by reference into this prospectus in their entirety, many of these risks and uncertainties under the heading “Risk Factors” contained on page 3 of this prospectus and in our most recent Annual Report on Form 10-K and in our most recent Quarterly Report on Form 10-Q as well as any amendments thereto reflected in subsequent filings with the SEC, which are incorporated herein by reference, as may be updated or superseded by the risks and uncertainties described under the heading “Risk Factors” in any related prospectus supplement and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related prospectus supplement, together with the documents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currently expect to use the net proceeds from this offering for working capital and other general corporate purposes, which may include funding research and development,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net tangible book value at March 31, 2023 was approximately $220.9 million, or approximately $2.69 per share of common stock. Net tangible book value per share is determined by dividing our total tangible assets, less total liabilities, by the number of shares of our common stock outstanding as of March 31, 2023.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After giving effect to the assumed sale of 27,624,309 shares of our common stock by us in this offering at an assumed public offering price of $3.62 per share, which was the last reported sale price of our common stock on The Nasdaq Global Select Market on June 6, 2023, after deducting commissions and estimated offering expenses payable by us, our as adjusted net tangible book value as of March 31, 2023 would have been $317.8 million, or $2.90 per share. This would represent an immediate increase in net tangible book value per share of $0.21 to existing stockholders and immediate dilution of $0.72 in net tangible book value per share to new investors purchasing common stock in this offering at the assumed public offering price.</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$100.0 million is sold at the assumed public offering price of $3.62 per share, the last reported sale price of our common stock on The Nasdaq Global Select Market on June 6, 2023. The shares sold in this offering, if any, will be sold from time to time at various prices.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tangible book value per share as of March 31, 2023</w:t>
            </w: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520" w:type="dxa"/>
            <w:vAlign w:val="bottom"/>
            <w:tcBorders>
              <w:top w:val="single" w:sz="8" w:color="auto"/>
            </w:tcBorders>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the offering</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An increase of $1.00 per share in the price at which the shares are sold from the assumed public offering price of $3.62 per share shown in the table above, assuming that the aggregate dollar amount of shares sold by us remains at $100.0 million, would increase our as adjusted net tangible book value per share after this offering to $3.07 per share and would increase the dilution in net tangible book value per share to new investors to $1.55 per share, after deducting commissions and estimated aggregate offering expenses payable by us. A decrease of $1.00 per share in the price at which the shares are sold from the assumed public offering price of $3.62 per share shown in the table above, assuming that the aggregate dollar amount of shares sold by us remains at $100.0 million, would decrease our as adjusted net tangible book value per share after this offering to $2.64 per share resulting in no dilution in net tangible book value per share, after deducting commissions and estimated aggregate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8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foregoing discussion and table are based on 82,056,499 shares of our common stock outstanding as of March 31, 2023. The number of shares of our common stock outstanding as used throughout this prospectus, unless otherwise indicated, is as of March 31, 2023 and excludes the following:</w:t>
      </w:r>
    </w:p>
    <w:p>
      <w:pPr>
        <w:spacing w:after="0" w:line="29" w:lineRule="exact"/>
        <w:rPr>
          <w:sz w:val="20"/>
          <w:szCs w:val="20"/>
          <w:color w:val="auto"/>
        </w:rPr>
      </w:pPr>
    </w:p>
    <w:p>
      <w:pPr>
        <w:ind w:left="1100" w:right="26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17,986,090 shares of our common stock issuable upon the exercise of outstanding stock options as of March 31, 2023 with a weighted-average exercise price of $12.44 per share;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675"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989,250 shares of our common stock underlying restricted stock units as of March 31, 2023;</w:t>
      </w:r>
    </w:p>
    <w:p>
      <w:pPr>
        <w:spacing w:after="0" w:line="130" w:lineRule="exact"/>
        <w:rPr>
          <w:rFonts w:ascii="Arial" w:cs="Arial" w:eastAsia="Arial" w:hAnsi="Arial"/>
          <w:sz w:val="18"/>
          <w:szCs w:val="18"/>
          <w:color w:val="auto"/>
        </w:rPr>
      </w:pPr>
    </w:p>
    <w:p>
      <w:pPr>
        <w:jc w:val="both"/>
        <w:ind w:left="1100" w:right="80" w:hanging="433"/>
        <w:spacing w:after="0" w:line="263"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4,004,881 shares of our common stock available for issuance or future grant under our Amended and Restated 2018 Equity Incentive Plan as of March 31, 2023, as well as any automatic increases in the number of shares of common stock reserved for future issuance under this benefit plan;</w:t>
      </w:r>
    </w:p>
    <w:p>
      <w:pPr>
        <w:spacing w:after="0" w:line="89" w:lineRule="exact"/>
        <w:rPr>
          <w:rFonts w:ascii="Arial" w:cs="Arial" w:eastAsia="Arial" w:hAnsi="Arial"/>
          <w:sz w:val="18"/>
          <w:szCs w:val="18"/>
          <w:color w:val="auto"/>
        </w:rPr>
      </w:pPr>
    </w:p>
    <w:p>
      <w:pPr>
        <w:ind w:left="1100" w:hanging="433"/>
        <w:spacing w:after="0" w:line="342" w:lineRule="auto"/>
        <w:tabs>
          <w:tab w:leader="none" w:pos="11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1,082,684 shares of our common stock available for issuance under our 2019 Employee Stock Purchase Plan as of March 31, 2023, as well as any automatic increases in the number of shares of common stock reserved for future issuance under this benefit plan; and</w:t>
      </w:r>
    </w:p>
    <w:p>
      <w:pPr>
        <w:spacing w:after="0" w:line="29" w:lineRule="exact"/>
        <w:rPr>
          <w:rFonts w:ascii="Arial" w:cs="Arial" w:eastAsia="Arial" w:hAnsi="Arial"/>
          <w:sz w:val="16"/>
          <w:szCs w:val="16"/>
          <w:color w:val="auto"/>
        </w:rPr>
      </w:pPr>
    </w:p>
    <w:p>
      <w:pPr>
        <w:ind w:left="1100" w:right="62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192,385 shares of our common stock reserved for future issuance under our NGM Biopharmaceuticals 401(k) Matching Plan as of March 31, 2023.</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In addition, the number of shares of common stock outstanding as of March 31, 2023 as shown above also does not include up to $76,164,523 of our common stock that remained available for sale at March 31, 2023 under the sales agreement and the prior prospectus, which may continue to be offered and sold until the effectiveness of the registration statement of which this prospectus forms a part.</w:t>
      </w:r>
    </w:p>
    <w:p>
      <w:pPr>
        <w:spacing w:after="0" w:line="165"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To the extent that any of the outstanding options are exercised, restricted stock units vest or common stock is sold pursuant to the amended sales agreement and the prior prospectus prior to the effectiveness of the registration statement of which this prospectus forms a part, there could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or equity-linked securities, the issuance of such securities could result in further dilution to our stockholders.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As of the date of this prospectus, our authorized capital stock consists of 400,000,000 shares of common stock, $0.001 par value per share, and 10,000,000 shares of preferred stock, $0.001 par value per share.</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Fully Paid and Nonassessable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issue shares of common stock under this prospectus, the shares will be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number, rights, preferences, privileges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67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are party to an amended and restated investor rights agreement that provides certain registration rights to certain holders of our common stock. The requisite holders of registrable securities pursuant to the registration rights agreement have waived their registration rights in connection with the filing of the registration statement of which this prospectus forms a part and this offering.</w:t>
      </w:r>
    </w:p>
    <w:p>
      <w:pPr>
        <w:spacing w:after="0" w:line="288"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Amended and Restated Bylaws and Delaware Law</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Certificate of Incorporation and Amended and Restated Bylaws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72" w:lineRule="exact"/>
        <w:rPr>
          <w:sz w:val="20"/>
          <w:szCs w:val="20"/>
          <w:color w:val="auto"/>
        </w:rPr>
      </w:pPr>
    </w:p>
    <w:p>
      <w:pPr>
        <w:ind w:left="1100" w:hanging="433"/>
        <w:spacing w:after="0" w:line="281"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Issuance of Undesignated Preferred Stock</w:t>
      </w:r>
      <w:r>
        <w:rPr>
          <w:rFonts w:ascii="Arial" w:cs="Arial" w:eastAsia="Arial" w:hAnsi="Arial"/>
          <w:sz w:val="17"/>
          <w:szCs w:val="17"/>
          <w:color w:val="auto"/>
        </w:rPr>
        <w:t>: Our board of directors has the authority, without further action by the stockholders, to issue</w:t>
      </w:r>
      <w:r>
        <w:rPr>
          <w:rFonts w:ascii="Arial" w:cs="Arial" w:eastAsia="Arial" w:hAnsi="Arial"/>
          <w:sz w:val="17"/>
          <w:szCs w:val="17"/>
          <w:b w:val="1"/>
          <w:bCs w:val="1"/>
          <w:color w:val="auto"/>
        </w:rPr>
        <w:t xml:space="preserve"> </w:t>
      </w:r>
      <w:r>
        <w:rPr>
          <w:rFonts w:ascii="Arial" w:cs="Arial" w:eastAsia="Arial" w:hAnsi="Arial"/>
          <w:sz w:val="17"/>
          <w:szCs w:val="17"/>
          <w:color w:val="auto"/>
        </w:rPr>
        <w:t>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70" w:lineRule="exact"/>
        <w:rPr>
          <w:rFonts w:ascii="Arial" w:cs="Arial" w:eastAsia="Arial" w:hAnsi="Arial"/>
          <w:sz w:val="17"/>
          <w:szCs w:val="17"/>
          <w:color w:val="auto"/>
        </w:rPr>
      </w:pPr>
    </w:p>
    <w:p>
      <w:pPr>
        <w:ind w:left="1100" w:hanging="433"/>
        <w:spacing w:after="0" w:line="261"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Classified Board</w:t>
      </w:r>
      <w:r>
        <w:rPr>
          <w:rFonts w:ascii="Arial" w:cs="Arial" w:eastAsia="Arial" w:hAnsi="Arial"/>
          <w:sz w:val="18"/>
          <w:szCs w:val="18"/>
          <w:color w:val="auto"/>
        </w:rPr>
        <w:t>: Our amended and restated certificate of incorporation provides for a classified board of directors consisting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8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Board of Directors Vacancies</w:t>
      </w:r>
      <w:r>
        <w:rPr>
          <w:rFonts w:ascii="Arial" w:cs="Arial" w:eastAsia="Arial" w:hAnsi="Arial"/>
          <w:sz w:val="17"/>
          <w:szCs w:val="17"/>
          <w:color w:val="auto"/>
        </w:rPr>
        <w:t>: Our amended and restated certificate of incorporation and amended and restated bylaws authorize only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73" w:lineRule="exact"/>
        <w:rPr>
          <w:rFonts w:ascii="Arial" w:cs="Arial" w:eastAsia="Arial" w:hAnsi="Arial"/>
          <w:sz w:val="17"/>
          <w:szCs w:val="17"/>
          <w:color w:val="auto"/>
        </w:rPr>
      </w:pPr>
    </w:p>
    <w:p>
      <w:pPr>
        <w:ind w:left="1100" w:right="40" w:hanging="433"/>
        <w:spacing w:after="0" w:line="258"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Stockholder Action; Special Meetings of Stockholders</w:t>
      </w:r>
      <w:r>
        <w:rPr>
          <w:rFonts w:ascii="Arial" w:cs="Arial" w:eastAsia="Arial" w:hAnsi="Arial"/>
          <w:sz w:val="18"/>
          <w:szCs w:val="18"/>
          <w:color w:val="auto"/>
        </w:rPr>
        <w:t>: Our amended and restated certificate of incorporation provides that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88" w:lineRule="exact"/>
        <w:rPr>
          <w:rFonts w:ascii="Arial" w:cs="Arial" w:eastAsia="Arial" w:hAnsi="Arial"/>
          <w:sz w:val="18"/>
          <w:szCs w:val="18"/>
          <w:color w:val="auto"/>
        </w:rPr>
      </w:pPr>
    </w:p>
    <w:p>
      <w:pPr>
        <w:ind w:left="1100" w:hanging="433"/>
        <w:spacing w:after="0" w:line="266"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Advance Notice Requirements for Stockholder Proposals and Director Nominations</w:t>
      </w:r>
      <w:r>
        <w:rPr>
          <w:rFonts w:ascii="Arial" w:cs="Arial" w:eastAsia="Arial" w:hAnsi="Arial"/>
          <w:sz w:val="18"/>
          <w:szCs w:val="18"/>
          <w:color w:val="auto"/>
        </w:rPr>
        <w:t>: Our amended and restated bylaws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procedures for stockholders seeking to bring business before our annual meeting of stockholders, or to nominate candidates for election as directors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203 of the General Corporation Law of the State of Delaware</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are subject to Section 203 of the General Corporation Law of the State of Delaware (“Section 203”), which prohibits a Delaware corporation from engaging in a business combination with any interested stockholder for a period of three years following the date the person became an interested stockholder, with the following exceptions:</w:t>
      </w:r>
    </w:p>
    <w:p>
      <w:pPr>
        <w:spacing w:after="0" w:line="89" w:lineRule="exact"/>
        <w:rPr>
          <w:sz w:val="20"/>
          <w:szCs w:val="20"/>
          <w:color w:val="auto"/>
        </w:rPr>
      </w:pPr>
    </w:p>
    <w:p>
      <w:pPr>
        <w:ind w:left="1100" w:right="18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75" w:lineRule="exact"/>
        <w:rPr>
          <w:rFonts w:ascii="Arial" w:cs="Arial" w:eastAsia="Arial" w:hAnsi="Arial"/>
          <w:sz w:val="18"/>
          <w:szCs w:val="18"/>
          <w:color w:val="auto"/>
        </w:rPr>
      </w:pPr>
    </w:p>
    <w:p>
      <w:pPr>
        <w:ind w:left="1100" w:hanging="433"/>
        <w:spacing w:after="0" w:line="296" w:lineRule="auto"/>
        <w:tabs>
          <w:tab w:leader="none" w:pos="11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66" w:lineRule="exact"/>
        <w:rPr>
          <w:rFonts w:ascii="Arial" w:cs="Arial" w:eastAsia="Arial" w:hAnsi="Arial"/>
          <w:sz w:val="16"/>
          <w:szCs w:val="16"/>
          <w:color w:val="auto"/>
        </w:rPr>
      </w:pPr>
    </w:p>
    <w:p>
      <w:pPr>
        <w:ind w:left="1100" w:right="120" w:hanging="433"/>
        <w:spacing w:after="0" w:line="263"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10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675"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w:t>
      </w:r>
    </w:p>
    <w:p>
      <w:pPr>
        <w:ind w:left="120" w:hanging="4"/>
        <w:spacing w:after="0" w:line="268" w:lineRule="auto"/>
        <w:tabs>
          <w:tab w:leader="none" w:pos="3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action asserting a breach of fiduciary duty owed by any director, officer or other employee to us or our stockholders; (iii) any action asserting a claim against us or any director or officer or other employee arising pursuant to the General Corporation Law of the State of Delaware, our amended and restated certificate of incorporation or amended and restated bylaws; (iv) any action with respect to the validity of our amended and restated certificate of incorporation or amended and restated bylaws; (v) any action as to which the General Corporation Law of the State of Delaware confers jurisdiction to the Court of Chancery of the State of Delaware; or (vi)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(as succeeded by Equiniti Trust Company, LLC as of July 1, 2023).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We have entered into Amendment No. 1 to the Open Market Sale Agreement</w:t>
      </w:r>
      <w:r>
        <w:rPr>
          <w:rFonts w:ascii="Arial" w:cs="Arial" w:eastAsia="Arial" w:hAnsi="Arial"/>
          <w:sz w:val="23"/>
          <w:szCs w:val="23"/>
          <w:color w:val="auto"/>
          <w:vertAlign w:val="superscript"/>
        </w:rPr>
        <w:t>SM</w:t>
      </w:r>
      <w:r>
        <w:rPr>
          <w:rFonts w:ascii="Arial" w:cs="Arial" w:eastAsia="Arial" w:hAnsi="Arial"/>
          <w:sz w:val="16"/>
          <w:szCs w:val="16"/>
          <w:color w:val="auto"/>
        </w:rPr>
        <w:t>, or the sales agreement, with Jefferies LLC, or Jefferies, relating to the sale of shares of our common stock offered by this prospectus. The controlling provisions of the amendment to the sales agreement will become effective immediately upon the effectiveness of the registration statement of which this prospectus is a part. In accordance with the terms of the sales agreement, as amended, or the amended sales agreement, we may offer and sell shares of our common stock having an aggregate offering price of up to $100,000,000 from time to time through Jefferies, acting as our sales agent. As of immediately prior to the filing date of this prospectus, shares of our common stock having an aggregate offering price of up to $76,164,523 remained unsold under the sales agreement and the sales agreement prospectus dated June 16, 2020, or the prior prospectus. The common stock remaining available to be sold under the prior prospectus as of the date of effectiveness of the registration statement of which this prospectus is a part will no longer be offered and sold under the prior prospectus and will instead be offered and sold under this prospectus. Accordingly, this prospectus covers the offer and sale of our common stock having an aggregate offering price of up to $100,000,000 to be sold under the amended sales agreement as of the date of this prospectus. Sales of our shares, if any, under this prospectus may be made in sales deemed to be an “at-the-market offering” as defined in Rule 415(a)(4) promulgated under the Securities Act.</w:t>
      </w:r>
    </w:p>
    <w:p>
      <w:pPr>
        <w:spacing w:after="0" w:line="18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amended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amended sales agreement to sell our shares of common stock are subject to a number of conditions that we must meet.</w:t>
      </w:r>
    </w:p>
    <w:p>
      <w:pPr>
        <w:spacing w:after="0" w:line="192"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amended sales agreement, will be approximately $87,958. The remaining sale proceeds, after deducting any other transaction fees, will equal our net proceeds from the sale of such shares.</w:t>
      </w:r>
    </w:p>
    <w:p>
      <w:pPr>
        <w:spacing w:after="0" w:line="195"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our shares of common stock are sold under the amended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675"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offering of our shares of common stock pursuant to the amended sales agreement will terminate upon the earlier of (i) the sale of all shares of common stock subject to the amended sales agreement and (ii) the termination of the amended sales agreement as permitted therein. We and Jefferies may each terminate the amended sales agreement at any time upon ten trading days’ prior notice.</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This summary of the material provisions of the amended sales agreement does not purport to be a complete statement of its terms and conditions. A copy of the amended sales agreement is filed as an exhibit to the registration statement of which this prospectus forms a part.</w:t>
      </w:r>
    </w:p>
    <w:p>
      <w:pPr>
        <w:spacing w:after="0" w:line="14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9" w:lineRule="exact"/>
        <w:rPr>
          <w:sz w:val="20"/>
          <w:szCs w:val="20"/>
          <w:color w:val="auto"/>
        </w:rPr>
      </w:pPr>
    </w:p>
    <w:p>
      <w:pPr>
        <w:jc w:val="center"/>
        <w:ind w:left="420" w:right="20"/>
        <w:spacing w:after="0" w:line="449" w:lineRule="auto"/>
        <w:rPr>
          <w:sz w:val="20"/>
          <w:szCs w:val="20"/>
          <w:color w:val="auto"/>
        </w:rPr>
      </w:pPr>
      <w:r>
        <w:rPr>
          <w:rFonts w:ascii="Arial" w:cs="Arial" w:eastAsia="Arial" w:hAnsi="Arial"/>
          <w:sz w:val="18"/>
          <w:szCs w:val="18"/>
          <w:color w:val="auto"/>
        </w:rPr>
        <w:t>A prospectus in electronic format may be made available on a website maintained by Jefferies, and Jefferies may distribute the prospectus electronically. 15</w:t>
      </w:r>
    </w:p>
    <w:p>
      <w:pPr>
        <w:sectPr>
          <w:pgSz w:w="11900" w:h="16838" w:orient="portrait"/>
          <w:cols w:equalWidth="0" w:num="1">
            <w:col w:w="11120"/>
          </w:cols>
          <w:pgMar w:left="320" w:top="675"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Cooley LLP is serving as our counsel in this offering. Davis Polk &amp; Wardwell LLP is acting as counsel for Jefferies in connection with certain legal matters relating to the shares of common stock offered by this prospectus. GC&amp;H Investments, LLC, an entity that includes current and former partners and associates of Cooley LLP, beneficially owns 10,400 shares of our common stock.</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In addition, we maintain a website that contains information about us at www.ngmbio.com. The information found on, or otherwise accessible through our website is not incorporated by reference into, and does not form a part of, this prospectus, any accompanying prospectus supplement or any other document or report we file or furnish with the SEC.</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98" w:lineRule="exact"/>
        <w:rPr>
          <w:sz w:val="20"/>
          <w:szCs w:val="20"/>
          <w:color w:val="auto"/>
        </w:rPr>
      </w:pPr>
    </w:p>
    <w:p>
      <w:pPr>
        <w:ind w:left="1100" w:right="240" w:hanging="433"/>
        <w:spacing w:after="0" w:line="277" w:lineRule="auto"/>
        <w:tabs>
          <w:tab w:leader="none" w:pos="1100" w:val="left"/>
        </w:tabs>
        <w:numPr>
          <w:ilvl w:val="0"/>
          <w:numId w:val="46"/>
        </w:numPr>
        <w:rPr>
          <w:rFonts w:ascii="Arial" w:cs="Arial" w:eastAsia="Arial" w:hAnsi="Arial"/>
          <w:sz w:val="18"/>
          <w:szCs w:val="18"/>
          <w:color w:val="0000EE"/>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hyperlink>
      <w:r>
        <w:rPr>
          <w:rFonts w:ascii="Arial" w:cs="Arial" w:eastAsia="Arial" w:hAnsi="Arial"/>
          <w:sz w:val="18"/>
          <w:szCs w:val="18"/>
          <w:color w:val="auto"/>
        </w:rPr>
        <w:t xml:space="preserve">, for the year ended December 31, 2022, filed with the SEC on February 28, 2023, as amended by our </w:t>
      </w:r>
      <w:hyperlink r:id="rId56">
        <w:r>
          <w:rPr>
            <w:rFonts w:ascii="Arial" w:cs="Arial" w:eastAsia="Arial" w:hAnsi="Arial"/>
            <w:sz w:val="18"/>
            <w:szCs w:val="18"/>
            <w:u w:val="single" w:color="auto"/>
            <w:color w:val="0000EE"/>
          </w:rPr>
          <w:t>Form 10-K/A</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March 1, 2023;</w:t>
      </w:r>
    </w:p>
    <w:p>
      <w:pPr>
        <w:spacing w:after="0" w:line="75" w:lineRule="exact"/>
        <w:rPr>
          <w:rFonts w:ascii="Arial" w:cs="Arial" w:eastAsia="Arial" w:hAnsi="Arial"/>
          <w:sz w:val="18"/>
          <w:szCs w:val="18"/>
          <w:color w:val="0000EE"/>
        </w:rPr>
      </w:pPr>
    </w:p>
    <w:p>
      <w:pPr>
        <w:ind w:left="1100" w:hanging="433"/>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Quarterly Reports on </w:t>
      </w:r>
      <w:hyperlink r:id="rId57">
        <w:r>
          <w:rPr>
            <w:rFonts w:ascii="Arial" w:cs="Arial" w:eastAsia="Arial" w:hAnsi="Arial"/>
            <w:sz w:val="18"/>
            <w:szCs w:val="18"/>
            <w:u w:val="single" w:color="auto"/>
            <w:color w:val="0000EE"/>
          </w:rPr>
          <w:t>Form 10-Q</w:t>
        </w:r>
      </w:hyperlink>
      <w:r>
        <w:rPr>
          <w:rFonts w:ascii="Arial" w:cs="Arial" w:eastAsia="Arial" w:hAnsi="Arial"/>
          <w:sz w:val="18"/>
          <w:szCs w:val="18"/>
          <w:color w:val="auto"/>
        </w:rPr>
        <w:t>, for the quarter ended March 31, 2023, filed with the SEC on May 4, 2023;</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5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March 29, 2023 (excluding those portions that are not incorporated by reference into our Annual Report on Form 10-K for the year ended December 31, 2022);</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9">
        <w:r>
          <w:rPr>
            <w:rFonts w:ascii="Arial" w:cs="Arial" w:eastAsia="Arial" w:hAnsi="Arial"/>
            <w:sz w:val="18"/>
            <w:szCs w:val="18"/>
            <w:u w:val="single" w:color="auto"/>
            <w:color w:val="0000EE"/>
          </w:rPr>
          <w:t>April 4, 2023</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May 12,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1">
        <w:r>
          <w:rPr>
            <w:rFonts w:ascii="Arial" w:cs="Arial" w:eastAsia="Arial" w:hAnsi="Arial"/>
            <w:sz w:val="18"/>
            <w:szCs w:val="18"/>
            <w:u w:val="single" w:color="auto"/>
            <w:color w:val="0000EE"/>
          </w:rPr>
          <w:t>June 8, 2023</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jc w:val="both"/>
        <w:ind w:left="1100" w:right="20" w:hanging="433"/>
        <w:spacing w:after="0" w:line="263"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3">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filed with the SEC on March 29, 2019, including any amendment or report filed for the purpose of updating such description, including </w:t>
      </w:r>
      <w:hyperlink r:id="rId64">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2019.</w:t>
      </w:r>
    </w:p>
    <w:p>
      <w:pPr>
        <w:spacing w:after="0" w:line="184" w:lineRule="exact"/>
        <w:rPr>
          <w:rFonts w:ascii="Arial" w:cs="Arial" w:eastAsia="Arial" w:hAnsi="Arial"/>
          <w:sz w:val="18"/>
          <w:szCs w:val="18"/>
          <w:color w:val="auto"/>
        </w:rPr>
      </w:pPr>
    </w:p>
    <w:p>
      <w:pPr>
        <w:ind w:left="120"/>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the termination of the offering of the common stock covered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2"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NGM Biopharmaceuticals,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333 Oyster Point Boulevard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both"/>
        <w:ind w:left="5080" w:right="4940" w:hanging="18"/>
        <w:spacing w:after="0" w:line="323" w:lineRule="auto"/>
        <w:tabs>
          <w:tab w:leader="none" w:pos="5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243-5555 Attn: Secretary</w:t>
      </w:r>
    </w:p>
    <w:p>
      <w:pPr>
        <w:spacing w:after="0" w:line="7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426085</wp:posOffset>
            </wp:positionV>
            <wp:extent cx="1397635" cy="360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40"/>
        <w:spacing w:after="0"/>
        <w:rPr>
          <w:sz w:val="20"/>
          <w:szCs w:val="20"/>
          <w:color w:val="auto"/>
        </w:rPr>
      </w:pPr>
      <w:r>
        <w:rPr>
          <w:rFonts w:ascii="Arial" w:cs="Arial" w:eastAsia="Arial" w:hAnsi="Arial"/>
          <w:sz w:val="40"/>
          <w:szCs w:val="40"/>
          <w:b w:val="1"/>
          <w:bCs w:val="1"/>
          <w:color w:val="auto"/>
        </w:rPr>
        <w:t>NGM Biopharmaceuticals, Inc.</w:t>
      </w:r>
    </w:p>
    <w:p>
      <w:pPr>
        <w:spacing w:after="0" w:line="200" w:lineRule="exact"/>
        <w:rPr>
          <w:sz w:val="20"/>
          <w:szCs w:val="20"/>
          <w:color w:val="auto"/>
        </w:rPr>
      </w:pPr>
    </w:p>
    <w:p>
      <w:pPr>
        <w:spacing w:after="0" w:line="292"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sets forth an estimate of the fees and expenses, other than the underwriting discounts and commissions, payable by the registrant in connection with the issuance and distribution of the securities being registered.</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12,958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The Nasdaq Global Select Market listing fee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60" w:right="500" w:hanging="444"/>
        <w:spacing w:after="0" w:line="263"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or prospectus supplement.</w:t>
      </w:r>
    </w:p>
    <w:p>
      <w:pPr>
        <w:spacing w:after="0" w:line="32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Section 145 of the General Corporation Law of the State of Delaware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as currently in effect provides for indemnification of our directors, officers, employees and other agents to the maximum extent permitted by the General Corporation Law of the State of Delaware, and our amended and restated bylaws provide for indemnification of our directors, officers, employees and other agents to the maximum extent permitted by the General Corporation Law of the State of Delaware.</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capacity as such.</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an underwriting agreement we may enter into in connection with the sale of our securities being registered hereby, the underwriters will agree to indemnify, under certain circumstances, us, our officers, our directors, and our controlling persons within the meaning of the Securities Act, against certain liabilities.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675"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88"/>
              </w:rPr>
              <w:t>Table of Contents</w:t>
            </w:r>
          </w:p>
        </w:tc>
        <w:tc>
          <w:tcPr>
            <w:tcW w:w="508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340" w:type="dxa"/>
            <w:vAlign w:val="bottom"/>
          </w:tcPr>
          <w:p>
            <w:pPr>
              <w:spacing w:after="0"/>
              <w:rPr>
                <w:sz w:val="24"/>
                <w:szCs w:val="24"/>
                <w:color w:val="auto"/>
              </w:rPr>
            </w:pPr>
          </w:p>
        </w:tc>
        <w:tc>
          <w:tcPr>
            <w:tcW w:w="5280" w:type="dxa"/>
            <w:vAlign w:val="bottom"/>
            <w:gridSpan w:val="17"/>
          </w:tcPr>
          <w:p>
            <w:pPr>
              <w:ind w:left="6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ind w:left="36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bottom w:val="single" w:sz="8" w:color="auto"/>
            </w:tcBorders>
            <w:gridSpan w:val="5"/>
          </w:tcPr>
          <w:p>
            <w:pPr>
              <w:jc w:val="center"/>
              <w:ind w:left="795"/>
              <w:spacing w:after="0"/>
              <w:rPr>
                <w:sz w:val="20"/>
                <w:szCs w:val="20"/>
                <w:color w:val="auto"/>
              </w:rPr>
            </w:pPr>
            <w:r>
              <w:rPr>
                <w:rFonts w:ascii="Arial" w:cs="Arial" w:eastAsia="Arial" w:hAnsi="Arial"/>
                <w:sz w:val="14"/>
                <w:szCs w:val="14"/>
                <w:b w:val="1"/>
                <w:bCs w:val="1"/>
                <w:color w:val="auto"/>
                <w:w w:val="93"/>
              </w:rPr>
              <w:t>Incorporation by Reference</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Filing</w:t>
            </w:r>
          </w:p>
        </w:tc>
        <w:tc>
          <w:tcPr>
            <w:tcW w:w="220" w:type="dxa"/>
            <w:vAlign w:val="bottom"/>
          </w:tcPr>
          <w:p>
            <w:pPr>
              <w:spacing w:after="0"/>
              <w:rPr>
                <w:sz w:val="10"/>
                <w:szCs w:val="10"/>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gridSpan w:val="12"/>
            <w:vMerge w:val="restart"/>
          </w:tcPr>
          <w:p>
            <w:pPr>
              <w:ind w:left="4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Appendix</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562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560" w:type="dxa"/>
            <w:vAlign w:val="bottom"/>
            <w:tcBorders>
              <w:bottom w:val="single" w:sz="8" w:color="0000EE"/>
            </w:tcBorders>
            <w:gridSpan w:val="17"/>
          </w:tcPr>
          <w:p>
            <w:pPr>
              <w:spacing w:after="0" w:line="283"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Open Market Sale Agreement</w:t>
              </w:r>
              <w:r>
                <w:rPr>
                  <w:rFonts w:ascii="Arial" w:cs="Arial" w:eastAsia="Arial" w:hAnsi="Arial"/>
                  <w:sz w:val="26"/>
                  <w:szCs w:val="26"/>
                  <w:color w:val="0000EE"/>
                  <w:w w:val="88"/>
                  <w:vertAlign w:val="superscript"/>
                </w:rPr>
                <w:t>SM</w:t>
              </w:r>
              <w:r>
                <w:rPr>
                  <w:rFonts w:ascii="Arial" w:cs="Arial" w:eastAsia="Arial" w:hAnsi="Arial"/>
                  <w:sz w:val="18"/>
                  <w:szCs w:val="18"/>
                  <w:color w:val="0000EE"/>
                  <w:w w:val="88"/>
                </w:rPr>
                <w:t>, dated June 5, 2020, between the Registrant</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S-3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333-238991</w:t>
            </w:r>
          </w:p>
        </w:tc>
        <w:tc>
          <w:tcPr>
            <w:tcW w:w="700" w:type="dxa"/>
            <w:vAlign w:val="bottom"/>
          </w:tcPr>
          <w:p>
            <w:pPr>
              <w:jc w:val="center"/>
              <w:ind w:left="397"/>
              <w:spacing w:after="0"/>
              <w:rPr>
                <w:sz w:val="20"/>
                <w:szCs w:val="20"/>
                <w:color w:val="auto"/>
              </w:rPr>
            </w:pPr>
            <w:r>
              <w:rPr>
                <w:rFonts w:ascii="Arial" w:cs="Arial" w:eastAsia="Arial" w:hAnsi="Arial"/>
                <w:sz w:val="18"/>
                <w:szCs w:val="18"/>
                <w:color w:val="auto"/>
                <w:w w:val="87"/>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6/5/20</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8"/>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and Jefferies LLC.</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0" w:type="dxa"/>
            <w:vAlign w:val="bottom"/>
            <w:vMerge w:val="continue"/>
          </w:tcPr>
          <w:p>
            <w:pPr>
              <w:spacing w:after="0"/>
              <w:rPr>
                <w:sz w:val="15"/>
                <w:szCs w:val="15"/>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5480" w:type="dxa"/>
            <w:vAlign w:val="bottom"/>
            <w:tcBorders>
              <w:bottom w:val="single" w:sz="8" w:color="0000EE"/>
            </w:tcBorders>
            <w:gridSpan w:val="16"/>
            <w:shd w:val="clear" w:color="auto" w:fill="CCEEFF"/>
          </w:tcPr>
          <w:p>
            <w:pPr>
              <w:spacing w:after="0" w:line="176" w:lineRule="exact"/>
              <w:rPr>
                <w:rFonts w:ascii="Arial" w:cs="Arial" w:eastAsia="Arial" w:hAnsi="Arial"/>
                <w:sz w:val="14"/>
                <w:szCs w:val="14"/>
                <w:color w:val="0000EE"/>
              </w:rPr>
            </w:pPr>
            <w:hyperlink r:id="rId99">
              <w:r>
                <w:rPr>
                  <w:rFonts w:ascii="Arial" w:cs="Arial" w:eastAsia="Arial" w:hAnsi="Arial"/>
                  <w:sz w:val="14"/>
                  <w:szCs w:val="14"/>
                  <w:color w:val="0000EE"/>
                </w:rPr>
                <w:t>Amendment No. 1. to Open Market Sale Agreement</w:t>
              </w:r>
              <w:r>
                <w:rPr>
                  <w:rFonts w:ascii="Arial" w:cs="Arial" w:eastAsia="Arial" w:hAnsi="Arial"/>
                  <w:sz w:val="20"/>
                  <w:szCs w:val="20"/>
                  <w:color w:val="0000EE"/>
                  <w:vertAlign w:val="superscript"/>
                </w:rPr>
                <w:t>SM</w:t>
              </w:r>
              <w:r>
                <w:rPr>
                  <w:rFonts w:ascii="Arial" w:cs="Arial" w:eastAsia="Arial" w:hAnsi="Arial"/>
                  <w:sz w:val="14"/>
                  <w:szCs w:val="14"/>
                  <w:color w:val="0000EE"/>
                </w:rPr>
                <w:t>, dated June 7, 2023,</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8-K</w:t>
            </w:r>
          </w:p>
        </w:tc>
        <w:tc>
          <w:tcPr>
            <w:tcW w:w="126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001-38853</w:t>
            </w:r>
          </w:p>
        </w:tc>
        <w:tc>
          <w:tcPr>
            <w:tcW w:w="700" w:type="dxa"/>
            <w:vAlign w:val="bottom"/>
            <w:tcBorders>
              <w:bottom w:val="single" w:sz="8" w:color="CCEEFF"/>
            </w:tcBorders>
            <w:shd w:val="clear" w:color="auto" w:fill="CCEEFF"/>
          </w:tcPr>
          <w:p>
            <w:pPr>
              <w:jc w:val="center"/>
              <w:ind w:left="397"/>
              <w:spacing w:after="0" w:line="176" w:lineRule="exact"/>
              <w:rPr>
                <w:sz w:val="20"/>
                <w:szCs w:val="20"/>
                <w:color w:val="auto"/>
              </w:rPr>
            </w:pPr>
            <w:r>
              <w:rPr>
                <w:rFonts w:ascii="Arial" w:cs="Arial" w:eastAsia="Arial" w:hAnsi="Arial"/>
                <w:sz w:val="18"/>
                <w:szCs w:val="18"/>
                <w:color w:val="auto"/>
                <w:w w:val="87"/>
              </w:rPr>
              <w:t>1.1</w:t>
            </w:r>
          </w:p>
        </w:tc>
        <w:tc>
          <w:tcPr>
            <w:tcW w:w="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6/8/23</w:t>
            </w: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20" w:type="dxa"/>
            <w:vAlign w:val="bottom"/>
            <w:gridSpan w:val="18"/>
            <w:shd w:val="clear" w:color="auto" w:fill="CCEEFF"/>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between the Registrant and Jefferies LLC.</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20" w:type="dxa"/>
            <w:vAlign w:val="bottom"/>
            <w:gridSpan w:val="18"/>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Amended and Restated Certificate of Incorporation.</w:t>
              </w:r>
            </w:hyperlink>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001-38853</w:t>
            </w:r>
          </w:p>
        </w:tc>
        <w:tc>
          <w:tcPr>
            <w:tcW w:w="700" w:type="dxa"/>
            <w:vAlign w:val="bottom"/>
          </w:tcPr>
          <w:p>
            <w:pPr>
              <w:jc w:val="center"/>
              <w:ind w:left="397"/>
              <w:spacing w:after="0"/>
              <w:rPr>
                <w:sz w:val="20"/>
                <w:szCs w:val="20"/>
                <w:color w:val="auto"/>
              </w:rPr>
            </w:pPr>
            <w:r>
              <w:rPr>
                <w:rFonts w:ascii="Arial" w:cs="Arial" w:eastAsia="Arial" w:hAnsi="Arial"/>
                <w:sz w:val="18"/>
                <w:szCs w:val="18"/>
                <w:color w:val="auto"/>
                <w:w w:val="87"/>
              </w:rPr>
              <w:t>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Amended and Restated Bylaws.</w:t>
              </w:r>
            </w:hyperlink>
          </w:p>
        </w:tc>
        <w:tc>
          <w:tcPr>
            <w:tcW w:w="3320" w:type="dxa"/>
            <w:vAlign w:val="bottom"/>
            <w:tcBorders>
              <w:bottom w:val="single" w:sz="8" w:color="CCEEFF"/>
            </w:tcBorders>
            <w:gridSpan w:val="11"/>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S-1</w:t>
            </w:r>
          </w:p>
        </w:tc>
        <w:tc>
          <w:tcPr>
            <w:tcW w:w="126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333-227608</w:t>
            </w:r>
          </w:p>
        </w:tc>
        <w:tc>
          <w:tcPr>
            <w:tcW w:w="700" w:type="dxa"/>
            <w:vAlign w:val="bottom"/>
            <w:tcBorders>
              <w:bottom w:val="single" w:sz="8" w:color="CCEEFF"/>
            </w:tcBorders>
            <w:shd w:val="clear" w:color="auto" w:fill="CCEEFF"/>
          </w:tcPr>
          <w:p>
            <w:pPr>
              <w:jc w:val="center"/>
              <w:ind w:left="397"/>
              <w:spacing w:after="0" w:line="176" w:lineRule="exact"/>
              <w:rPr>
                <w:sz w:val="20"/>
                <w:szCs w:val="20"/>
                <w:color w:val="auto"/>
              </w:rPr>
            </w:pPr>
            <w:r>
              <w:rPr>
                <w:rFonts w:ascii="Arial" w:cs="Arial" w:eastAsia="Arial" w:hAnsi="Arial"/>
                <w:sz w:val="18"/>
                <w:szCs w:val="18"/>
                <w:color w:val="auto"/>
                <w:w w:val="87"/>
              </w:rPr>
              <w:t>3.4</w:t>
            </w:r>
          </w:p>
        </w:tc>
        <w:tc>
          <w:tcPr>
            <w:tcW w:w="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9/28/18</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20" w:type="dxa"/>
            <w:vAlign w:val="bottom"/>
            <w:gridSpan w:val="18"/>
          </w:tcPr>
          <w:p>
            <w:pPr>
              <w:spacing w:after="0"/>
              <w:rPr>
                <w:rFonts w:ascii="Arial" w:cs="Arial" w:eastAsia="Arial" w:hAnsi="Arial"/>
                <w:sz w:val="18"/>
                <w:szCs w:val="18"/>
                <w:color w:val="0000EE"/>
              </w:rPr>
            </w:pPr>
            <w:hyperlink r:id="rId102">
              <w:r>
                <w:rPr>
                  <w:rFonts w:ascii="Arial" w:cs="Arial" w:eastAsia="Arial" w:hAnsi="Arial"/>
                  <w:sz w:val="18"/>
                  <w:szCs w:val="18"/>
                  <w:color w:val="0000EE"/>
                </w:rPr>
                <w:t>Form of Common Stock Certificate.</w:t>
              </w:r>
            </w:hyperlink>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S-1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333-227608</w:t>
            </w:r>
          </w:p>
        </w:tc>
        <w:tc>
          <w:tcPr>
            <w:tcW w:w="700" w:type="dxa"/>
            <w:vAlign w:val="bottom"/>
          </w:tcPr>
          <w:p>
            <w:pPr>
              <w:jc w:val="center"/>
              <w:ind w:left="397"/>
              <w:spacing w:after="0"/>
              <w:rPr>
                <w:sz w:val="20"/>
                <w:szCs w:val="20"/>
                <w:color w:val="auto"/>
              </w:rPr>
            </w:pPr>
            <w:r>
              <w:rPr>
                <w:rFonts w:ascii="Arial" w:cs="Arial" w:eastAsia="Arial" w:hAnsi="Arial"/>
                <w:sz w:val="18"/>
                <w:szCs w:val="18"/>
                <w:color w:val="auto"/>
                <w:w w:val="87"/>
              </w:rPr>
              <w:t>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5620" w:type="dxa"/>
            <w:vAlign w:val="bottom"/>
            <w:gridSpan w:val="18"/>
            <w:shd w:val="clear" w:color="auto" w:fill="CCEEFF"/>
          </w:tcPr>
          <w:p>
            <w:pPr>
              <w:spacing w:after="0" w:line="201" w:lineRule="exact"/>
              <w:rPr>
                <w:sz w:val="20"/>
                <w:szCs w:val="20"/>
                <w:color w:val="auto"/>
              </w:rPr>
            </w:pPr>
            <w:r>
              <w:rPr>
                <w:rFonts w:ascii="Arial" w:cs="Arial" w:eastAsia="Arial" w:hAnsi="Arial"/>
                <w:sz w:val="18"/>
                <w:szCs w:val="18"/>
                <w:color w:val="auto"/>
                <w:w w:val="92"/>
              </w:rPr>
              <w:t>Specimen Preferred Stock Certificate and Form of Certificate of Designation</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2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of Preferred Stock.</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620" w:type="dxa"/>
            <w:vAlign w:val="bottom"/>
            <w:gridSpan w:val="18"/>
          </w:tcPr>
          <w:p>
            <w:pPr>
              <w:spacing w:after="0"/>
              <w:rPr>
                <w:sz w:val="20"/>
                <w:szCs w:val="20"/>
                <w:color w:val="auto"/>
              </w:rPr>
            </w:pPr>
            <w:r>
              <w:rPr>
                <w:rFonts w:ascii="Arial" w:cs="Arial" w:eastAsia="Arial" w:hAnsi="Arial"/>
                <w:sz w:val="18"/>
                <w:szCs w:val="18"/>
                <w:color w:val="0000EE"/>
              </w:rPr>
              <w:t>Form of Debt Indenture.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8"/>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62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Form of Debt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620" w:type="dxa"/>
            <w:vAlign w:val="bottom"/>
            <w:gridSpan w:val="18"/>
          </w:tcPr>
          <w:p>
            <w:pPr>
              <w:spacing w:after="0"/>
              <w:rPr>
                <w:sz w:val="20"/>
                <w:szCs w:val="20"/>
                <w:color w:val="auto"/>
              </w:rPr>
            </w:pPr>
            <w:r>
              <w:rPr>
                <w:rFonts w:ascii="Arial" w:cs="Arial" w:eastAsia="Arial" w:hAnsi="Arial"/>
                <w:sz w:val="18"/>
                <w:szCs w:val="18"/>
                <w:color w:val="0000EE"/>
              </w:rPr>
              <w:t>Form of Common Stock Warrant Agreement and Warrant Certificate.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8"/>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562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Form of Preferred Stock Warrant Agreement and Warrant Certificate.</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5620" w:type="dxa"/>
            <w:vAlign w:val="bottom"/>
            <w:gridSpan w:val="18"/>
          </w:tcPr>
          <w:p>
            <w:pPr>
              <w:spacing w:after="0"/>
              <w:rPr>
                <w:sz w:val="20"/>
                <w:szCs w:val="20"/>
                <w:color w:val="auto"/>
              </w:rPr>
            </w:pPr>
            <w:r>
              <w:rPr>
                <w:rFonts w:ascii="Arial" w:cs="Arial" w:eastAsia="Arial" w:hAnsi="Arial"/>
                <w:sz w:val="18"/>
                <w:szCs w:val="18"/>
                <w:color w:val="0000EE"/>
              </w:rPr>
              <w:t>Form of Debt Securities Warrant Agreement and Warrant Certificate.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8"/>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2"/>
              </w:rPr>
              <w:t>Opinion of Cooley LLP.</w:t>
            </w:r>
          </w:p>
        </w:tc>
        <w:tc>
          <w:tcPr>
            <w:tcW w:w="3880" w:type="dxa"/>
            <w:vAlign w:val="bottom"/>
            <w:tcBorders>
              <w:bottom w:val="single" w:sz="8" w:color="CCEEFF"/>
            </w:tcBorders>
            <w:gridSpan w:val="1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53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Consent of Ernst &amp; Young LLP, independent registered public accounting</w:t>
            </w:r>
          </w:p>
        </w:tc>
        <w:tc>
          <w:tcPr>
            <w:tcW w:w="3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18"/>
          </w:tcPr>
          <w:p>
            <w:pPr>
              <w:spacing w:after="0" w:line="196" w:lineRule="exact"/>
              <w:rPr>
                <w:sz w:val="20"/>
                <w:szCs w:val="20"/>
                <w:color w:val="auto"/>
              </w:rPr>
            </w:pPr>
            <w:r>
              <w:rPr>
                <w:rFonts w:ascii="Arial" w:cs="Arial" w:eastAsia="Arial" w:hAnsi="Arial"/>
                <w:sz w:val="18"/>
                <w:szCs w:val="18"/>
                <w:color w:val="0000EE"/>
              </w:rPr>
              <w:t>firm.</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Consent of Cooley LLP (included in Exhibit 5.1).</w:t>
            </w:r>
          </w:p>
        </w:tc>
        <w:tc>
          <w:tcPr>
            <w:tcW w:w="2060" w:type="dxa"/>
            <w:vAlign w:val="bottom"/>
            <w:tcBorders>
              <w:bottom w:val="single" w:sz="8" w:color="CCEEFF"/>
            </w:tcBorders>
            <w:gridSpan w:val="7"/>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5620" w:type="dxa"/>
            <w:vAlign w:val="bottom"/>
            <w:gridSpan w:val="18"/>
          </w:tcPr>
          <w:p>
            <w:pPr>
              <w:spacing w:after="0"/>
              <w:rPr>
                <w:sz w:val="20"/>
                <w:szCs w:val="20"/>
                <w:color w:val="auto"/>
              </w:rPr>
            </w:pPr>
            <w:r>
              <w:rPr>
                <w:rFonts w:ascii="Arial" w:cs="Arial" w:eastAsia="Arial" w:hAnsi="Arial"/>
                <w:sz w:val="18"/>
                <w:szCs w:val="18"/>
                <w:color w:val="0000EE"/>
              </w:rPr>
              <w:t>Power of Attorney (see signature page).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9"/>
        </w:trPr>
        <w:tc>
          <w:tcPr>
            <w:tcW w:w="1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7"/>
                <w:szCs w:val="17"/>
                <w:color w:val="auto"/>
              </w:rPr>
            </w:pPr>
          </w:p>
        </w:tc>
        <w:tc>
          <w:tcPr>
            <w:tcW w:w="5620" w:type="dxa"/>
            <w:vAlign w:val="bottom"/>
            <w:gridSpan w:val="18"/>
            <w:shd w:val="clear" w:color="auto" w:fill="CCEEFF"/>
          </w:tcPr>
          <w:p>
            <w:pPr>
              <w:spacing w:after="0" w:line="201" w:lineRule="exact"/>
              <w:rPr>
                <w:sz w:val="20"/>
                <w:szCs w:val="20"/>
                <w:color w:val="auto"/>
              </w:rPr>
            </w:pPr>
            <w:r>
              <w:rPr>
                <w:rFonts w:ascii="Arial" w:cs="Arial" w:eastAsia="Arial" w:hAnsi="Arial"/>
                <w:sz w:val="18"/>
                <w:szCs w:val="18"/>
                <w:color w:val="auto"/>
              </w:rPr>
              <w:t>Statement of Eligibility of Trustee under the Debt Indenture (to be filed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2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separately under the electronic form type 305B2, if applicable).</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00" w:type="dxa"/>
            <w:vAlign w:val="bottom"/>
            <w:gridSpan w:val="2"/>
          </w:tcPr>
          <w:p>
            <w:pPr>
              <w:ind w:lef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2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Filing Fee Table.</w:t>
            </w:r>
          </w:p>
        </w:tc>
        <w:tc>
          <w:tcPr>
            <w:tcW w:w="440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80" w:right="1400" w:hanging="5364"/>
        <w:spacing w:after="0" w:line="449" w:lineRule="auto"/>
        <w:tabs>
          <w:tab w:leader="none" w:pos="5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herein by reference, if applicable. II-2</w:t>
      </w:r>
    </w:p>
    <w:p>
      <w:pPr>
        <w:sectPr>
          <w:pgSz w:w="11900" w:h="16838" w:orient="portrait"/>
          <w:cols w:equalWidth="0" w:num="1">
            <w:col w:w="11140"/>
          </w:cols>
          <w:pgMar w:left="320" w:top="662"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100" w:hanging="544"/>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hanging="433"/>
        <w:spacing w:after="0" w:line="291" w:lineRule="auto"/>
        <w:tabs>
          <w:tab w:leader="none" w:pos="15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540" w:right="80" w:hanging="433"/>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154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(l)(i), (l)(ii) and (l)(iii)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93" w:lineRule="exact"/>
        <w:rPr>
          <w:rFonts w:ascii="Arial" w:cs="Arial" w:eastAsia="Arial" w:hAnsi="Arial"/>
          <w:sz w:val="18"/>
          <w:szCs w:val="18"/>
          <w:color w:val="auto"/>
        </w:rPr>
      </w:pPr>
    </w:p>
    <w:p>
      <w:pPr>
        <w:jc w:val="both"/>
        <w:ind w:left="1100" w:right="200" w:hanging="544"/>
        <w:spacing w:after="0" w:line="263"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100" w:right="280" w:hanging="544"/>
        <w:spacing w:after="0" w:line="277"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140" w:hanging="433"/>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3"/>
        <w:spacing w:after="0" w:line="289" w:lineRule="auto"/>
        <w:tabs>
          <w:tab w:leader="none" w:pos="15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675" w:right="5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right="200"/>
        <w:spacing w:after="0" w:line="311" w:lineRule="auto"/>
        <w:rPr>
          <w:sz w:val="20"/>
          <w:szCs w:val="20"/>
          <w:color w:val="auto"/>
        </w:rPr>
      </w:pPr>
      <w:r>
        <w:rPr>
          <w:rFonts w:ascii="Arial" w:cs="Arial" w:eastAsia="Arial" w:hAnsi="Arial"/>
          <w:sz w:val="16"/>
          <w:szCs w:val="16"/>
          <w:color w:val="auto"/>
        </w:rPr>
        <w:t>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4" w:lineRule="exact"/>
        <w:rPr>
          <w:sz w:val="20"/>
          <w:szCs w:val="20"/>
          <w:color w:val="auto"/>
        </w:rPr>
      </w:pPr>
    </w:p>
    <w:p>
      <w:pPr>
        <w:ind w:left="1100" w:hanging="544"/>
        <w:spacing w:after="0" w:line="257"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540" w:right="140" w:hanging="433"/>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3"/>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3"/>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1100" w:right="140" w:hanging="544"/>
        <w:spacing w:after="0" w:line="257"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100" w:right="40" w:hanging="544"/>
        <w:spacing w:after="0" w:line="253"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jc w:val="both"/>
        <w:ind w:left="1100" w:right="100" w:hanging="544"/>
        <w:spacing w:after="0" w:line="263"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675"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8th day of June, 2023.</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06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20"/>
          </w:cols>
          <w:pgMar w:left="320" w:top="675" w:right="6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David J.</w:t>
      </w:r>
      <w:r>
        <w:rPr>
          <w:rFonts w:ascii="Arial" w:cs="Arial" w:eastAsia="Arial" w:hAnsi="Arial"/>
          <w:sz w:val="17"/>
          <w:szCs w:val="17"/>
          <w:b w:val="1"/>
          <w:bCs w:val="1"/>
          <w:color w:val="auto"/>
        </w:rPr>
        <w:t xml:space="preserve"> </w:t>
      </w:r>
      <w:r>
        <w:rPr>
          <w:rFonts w:ascii="Arial" w:cs="Arial" w:eastAsia="Arial" w:hAnsi="Arial"/>
          <w:sz w:val="17"/>
          <w:szCs w:val="17"/>
          <w:color w:val="auto"/>
        </w:rPr>
        <w:t>Woodhouse, Siobhan Nolan Mangini and Valerie Pierce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 and generally to do all such things in her or his name and behalf in her or his capacities as officers and directors to enable NGM Biopharmaceuticals, Inc. to comply with the provisions of the Securities Act of 1933, as amended,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18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tcPr>
          <w:p>
            <w:pPr>
              <w:jc w:val="center"/>
              <w:ind w:left="57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J. Woodhouse</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9"/>
              </w:rPr>
              <w:t>David J. Woodhouse, Ph.D.</w:t>
            </w: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560" w:type="dxa"/>
            <w:vAlign w:val="bottom"/>
          </w:tcPr>
          <w:p>
            <w:pPr>
              <w:spacing w:after="0"/>
              <w:rPr>
                <w:sz w:val="19"/>
                <w:szCs w:val="19"/>
                <w:color w:val="auto"/>
              </w:rPr>
            </w:pPr>
          </w:p>
        </w:tc>
      </w:tr>
      <w:tr>
        <w:trPr>
          <w:trHeight w:val="4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Siobhan Nolan Mangini</w:t>
            </w: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President and Chief Financial Officer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Siobhan Nolan Mangini</w:t>
            </w: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5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J. Rieflin</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6"/>
              </w:rPr>
              <w:t>William J. Rieflin</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V. Goeddel</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David V. Goeddel, Ph.D.</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Shelly D. Guyer</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Shelly D. Guyer</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Carole Ho</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4"/>
              </w:rPr>
              <w:t>Carole Ho, M.D.</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Sawochka Hooper</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8"/>
              </w:rPr>
              <w:t>Suzanne Sawochka Hooper</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Roger M. Perlmutter</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572"/>
              <w:spacing w:after="0"/>
              <w:rPr>
                <w:sz w:val="20"/>
                <w:szCs w:val="20"/>
                <w:color w:val="auto"/>
              </w:rPr>
            </w:pPr>
            <w:r>
              <w:rPr>
                <w:rFonts w:ascii="Arial" w:cs="Arial" w:eastAsia="Arial" w:hAnsi="Arial"/>
                <w:sz w:val="18"/>
                <w:szCs w:val="18"/>
                <w:color w:val="auto"/>
                <w:w w:val="86"/>
              </w:rPr>
              <w:t>June 8,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Roger M. Perlmutter, M.D.</w:t>
            </w: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64"/>
        </w:trPr>
        <w:tc>
          <w:tcPr>
            <w:tcW w:w="4320" w:type="dxa"/>
            <w:vAlign w:val="bottom"/>
          </w:tcPr>
          <w:p>
            <w:pPr>
              <w:spacing w:after="0"/>
              <w:rPr>
                <w:sz w:val="24"/>
                <w:szCs w:val="24"/>
                <w:color w:val="auto"/>
              </w:rPr>
            </w:pPr>
          </w:p>
        </w:tc>
        <w:tc>
          <w:tcPr>
            <w:tcW w:w="4580" w:type="dxa"/>
            <w:vAlign w:val="bottom"/>
          </w:tcPr>
          <w:p>
            <w:pPr>
              <w:ind w:left="1040"/>
              <w:spacing w:after="0"/>
              <w:rPr>
                <w:sz w:val="20"/>
                <w:szCs w:val="20"/>
                <w:color w:val="auto"/>
              </w:rPr>
            </w:pPr>
            <w:r>
              <w:rPr>
                <w:rFonts w:ascii="Arial" w:cs="Arial" w:eastAsia="Arial" w:hAnsi="Arial"/>
                <w:sz w:val="18"/>
                <w:szCs w:val="18"/>
                <w:color w:val="auto"/>
              </w:rPr>
              <w:t>II-6</w:t>
            </w:r>
          </w:p>
        </w:tc>
        <w:tc>
          <w:tcPr>
            <w:tcW w:w="1560" w:type="dxa"/>
            <w:vAlign w:val="bottom"/>
          </w:tcPr>
          <w:p>
            <w:pPr>
              <w:spacing w:after="0"/>
              <w:rPr>
                <w:sz w:val="24"/>
                <w:szCs w:val="24"/>
                <w:color w:val="auto"/>
              </w:rPr>
            </w:pPr>
          </w:p>
        </w:tc>
      </w:tr>
    </w:tbl>
    <w:p>
      <w:pPr>
        <w:sectPr>
          <w:pgSz w:w="11900" w:h="16838" w:orient="portrait"/>
          <w:cols w:equalWidth="0" w:num="1">
            <w:col w:w="11140"/>
          </w:cols>
          <w:pgMar w:left="320" w:top="675"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Issuer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020"/>
          </w:cols>
          <w:pgMar w:left="1440" w:top="121" w:right="4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66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1.01</w:t>
            </w:r>
          </w:p>
        </w:tc>
        <w:tc>
          <w:tcPr>
            <w:tcW w:w="8960" w:type="dxa"/>
            <w:vAlign w:val="bottom"/>
          </w:tcPr>
          <w:p>
            <w:pPr>
              <w:ind w:left="20"/>
              <w:spacing w:after="0"/>
              <w:rPr>
                <w:sz w:val="20"/>
                <w:szCs w:val="20"/>
                <w:color w:val="auto"/>
              </w:rPr>
            </w:pPr>
            <w:r>
              <w:rPr>
                <w:rFonts w:ascii="Arial" w:cs="Arial" w:eastAsia="Arial" w:hAnsi="Arial"/>
                <w:sz w:val="18"/>
                <w:szCs w:val="18"/>
                <w:color w:val="auto"/>
              </w:rPr>
              <w:t>Definitions of Terms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66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2.01</w:t>
            </w:r>
          </w:p>
        </w:tc>
        <w:tc>
          <w:tcPr>
            <w:tcW w:w="8960" w:type="dxa"/>
            <w:vAlign w:val="bottom"/>
          </w:tcPr>
          <w:p>
            <w:pPr>
              <w:ind w:left="20"/>
              <w:spacing w:after="0"/>
              <w:rPr>
                <w:sz w:val="20"/>
                <w:szCs w:val="20"/>
                <w:color w:val="auto"/>
              </w:rPr>
            </w:pPr>
            <w:r>
              <w:rPr>
                <w:rFonts w:ascii="Arial" w:cs="Arial" w:eastAsia="Arial" w:hAnsi="Arial"/>
                <w:sz w:val="18"/>
                <w:szCs w:val="18"/>
                <w:color w:val="auto"/>
              </w:rPr>
              <w:t>Designation and Terms of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2.02</w:t>
            </w:r>
          </w:p>
        </w:tc>
        <w:tc>
          <w:tcPr>
            <w:tcW w:w="8960" w:type="dxa"/>
            <w:vAlign w:val="bottom"/>
          </w:tcPr>
          <w:p>
            <w:pPr>
              <w:ind w:left="20"/>
              <w:spacing w:after="0"/>
              <w:rPr>
                <w:sz w:val="20"/>
                <w:szCs w:val="20"/>
                <w:color w:val="auto"/>
              </w:rPr>
            </w:pPr>
            <w:r>
              <w:rPr>
                <w:rFonts w:ascii="Arial" w:cs="Arial" w:eastAsia="Arial" w:hAnsi="Arial"/>
                <w:sz w:val="18"/>
                <w:szCs w:val="18"/>
                <w:color w:val="auto"/>
              </w:rPr>
              <w:t>Form of Securities and Trustee’s Certificate</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2.03</w:t>
            </w:r>
          </w:p>
        </w:tc>
        <w:tc>
          <w:tcPr>
            <w:tcW w:w="8960" w:type="dxa"/>
            <w:vAlign w:val="bottom"/>
          </w:tcPr>
          <w:p>
            <w:pPr>
              <w:ind w:left="20"/>
              <w:spacing w:after="0"/>
              <w:rPr>
                <w:sz w:val="20"/>
                <w:szCs w:val="20"/>
                <w:color w:val="auto"/>
              </w:rPr>
            </w:pPr>
            <w:r>
              <w:rPr>
                <w:rFonts w:ascii="Arial" w:cs="Arial" w:eastAsia="Arial" w:hAnsi="Arial"/>
                <w:sz w:val="18"/>
                <w:szCs w:val="18"/>
                <w:color w:val="auto"/>
              </w:rPr>
              <w:t>Denominations: Provisions for Payment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2.04</w:t>
            </w:r>
          </w:p>
        </w:tc>
        <w:tc>
          <w:tcPr>
            <w:tcW w:w="8960" w:type="dxa"/>
            <w:vAlign w:val="bottom"/>
          </w:tcPr>
          <w:p>
            <w:pPr>
              <w:ind w:left="20"/>
              <w:spacing w:after="0"/>
              <w:rPr>
                <w:sz w:val="20"/>
                <w:szCs w:val="20"/>
                <w:color w:val="auto"/>
              </w:rPr>
            </w:pPr>
            <w:r>
              <w:rPr>
                <w:rFonts w:ascii="Arial" w:cs="Arial" w:eastAsia="Arial" w:hAnsi="Arial"/>
                <w:sz w:val="18"/>
                <w:szCs w:val="18"/>
                <w:color w:val="auto"/>
              </w:rPr>
              <w:t>Execution and Authentications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2.05</w:t>
            </w:r>
          </w:p>
        </w:tc>
        <w:tc>
          <w:tcPr>
            <w:tcW w:w="8960" w:type="dxa"/>
            <w:vAlign w:val="bottom"/>
          </w:tcPr>
          <w:p>
            <w:pPr>
              <w:ind w:left="20"/>
              <w:spacing w:after="0"/>
              <w:rPr>
                <w:sz w:val="20"/>
                <w:szCs w:val="20"/>
                <w:color w:val="auto"/>
              </w:rPr>
            </w:pPr>
            <w:r>
              <w:rPr>
                <w:rFonts w:ascii="Arial" w:cs="Arial" w:eastAsia="Arial" w:hAnsi="Arial"/>
                <w:sz w:val="18"/>
                <w:szCs w:val="18"/>
                <w:color w:val="auto"/>
              </w:rPr>
              <w:t>Registration of Transfer and Exchange</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2.06 Temporary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2.07</w:t>
            </w:r>
          </w:p>
        </w:tc>
        <w:tc>
          <w:tcPr>
            <w:tcW w:w="8960" w:type="dxa"/>
            <w:vAlign w:val="bottom"/>
          </w:tcPr>
          <w:p>
            <w:pPr>
              <w:ind w:left="20"/>
              <w:spacing w:after="0"/>
              <w:rPr>
                <w:sz w:val="20"/>
                <w:szCs w:val="20"/>
                <w:color w:val="auto"/>
              </w:rPr>
            </w:pPr>
            <w:r>
              <w:rPr>
                <w:rFonts w:ascii="Arial" w:cs="Arial" w:eastAsia="Arial" w:hAnsi="Arial"/>
                <w:sz w:val="18"/>
                <w:szCs w:val="18"/>
                <w:color w:val="auto"/>
              </w:rPr>
              <w:t>Mutilated, Destroyed, Lost or Stolen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2.08</w:t>
            </w:r>
          </w:p>
        </w:tc>
        <w:tc>
          <w:tcPr>
            <w:tcW w:w="8960" w:type="dxa"/>
            <w:vAlign w:val="bottom"/>
          </w:tcPr>
          <w:p>
            <w:pPr>
              <w:ind w:left="20"/>
              <w:spacing w:after="0"/>
              <w:rPr>
                <w:sz w:val="20"/>
                <w:szCs w:val="20"/>
                <w:color w:val="auto"/>
              </w:rPr>
            </w:pPr>
            <w:r>
              <w:rPr>
                <w:rFonts w:ascii="Arial" w:cs="Arial" w:eastAsia="Arial" w:hAnsi="Arial"/>
                <w:sz w:val="18"/>
                <w:szCs w:val="18"/>
                <w:color w:val="auto"/>
              </w:rPr>
              <w:t>Cancellation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2.09</w:t>
            </w:r>
          </w:p>
        </w:tc>
        <w:tc>
          <w:tcPr>
            <w:tcW w:w="8960" w:type="dxa"/>
            <w:vAlign w:val="bottom"/>
          </w:tcPr>
          <w:p>
            <w:pPr>
              <w:ind w:left="20"/>
              <w:spacing w:after="0"/>
              <w:rPr>
                <w:sz w:val="20"/>
                <w:szCs w:val="20"/>
                <w:color w:val="auto"/>
              </w:rPr>
            </w:pPr>
            <w:r>
              <w:rPr>
                <w:rFonts w:ascii="Arial" w:cs="Arial" w:eastAsia="Arial" w:hAnsi="Arial"/>
                <w:sz w:val="18"/>
                <w:szCs w:val="18"/>
                <w:color w:val="auto"/>
              </w:rPr>
              <w:t>Benefits of Indenture</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2.10 Authenticating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2.11 Global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2.12 CUSIP Numbers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66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3.01</w:t>
            </w:r>
          </w:p>
        </w:tc>
        <w:tc>
          <w:tcPr>
            <w:tcW w:w="896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3.02</w:t>
            </w:r>
          </w:p>
        </w:tc>
        <w:tc>
          <w:tcPr>
            <w:tcW w:w="896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3.03</w:t>
            </w:r>
          </w:p>
        </w:tc>
        <w:tc>
          <w:tcPr>
            <w:tcW w:w="8960" w:type="dxa"/>
            <w:vAlign w:val="bottom"/>
          </w:tcPr>
          <w:p>
            <w:pPr>
              <w:ind w:left="20"/>
              <w:spacing w:after="0"/>
              <w:rPr>
                <w:sz w:val="20"/>
                <w:szCs w:val="20"/>
                <w:color w:val="auto"/>
              </w:rPr>
            </w:pPr>
            <w:r>
              <w:rPr>
                <w:rFonts w:ascii="Arial" w:cs="Arial" w:eastAsia="Arial" w:hAnsi="Arial"/>
                <w:sz w:val="18"/>
                <w:szCs w:val="18"/>
                <w:color w:val="auto"/>
              </w:rPr>
              <w:t>Payment Upon Redemption</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3.04</w:t>
            </w:r>
          </w:p>
        </w:tc>
        <w:tc>
          <w:tcPr>
            <w:tcW w:w="8960" w:type="dxa"/>
            <w:vAlign w:val="bottom"/>
          </w:tcPr>
          <w:p>
            <w:pPr>
              <w:ind w:left="20"/>
              <w:spacing w:after="0"/>
              <w:rPr>
                <w:sz w:val="20"/>
                <w:szCs w:val="20"/>
                <w:color w:val="auto"/>
              </w:rPr>
            </w:pPr>
            <w:r>
              <w:rPr>
                <w:rFonts w:ascii="Arial" w:cs="Arial" w:eastAsia="Arial" w:hAnsi="Arial"/>
                <w:sz w:val="18"/>
                <w:szCs w:val="18"/>
                <w:color w:val="auto"/>
              </w:rPr>
              <w:t>Sinking Fund</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3.05</w:t>
            </w:r>
          </w:p>
        </w:tc>
        <w:tc>
          <w:tcPr>
            <w:tcW w:w="8960" w:type="dxa"/>
            <w:vAlign w:val="bottom"/>
          </w:tcPr>
          <w:p>
            <w:pPr>
              <w:ind w:left="20"/>
              <w:spacing w:after="0"/>
              <w:rPr>
                <w:sz w:val="20"/>
                <w:szCs w:val="20"/>
                <w:color w:val="auto"/>
              </w:rPr>
            </w:pPr>
            <w:r>
              <w:rPr>
                <w:rFonts w:ascii="Arial" w:cs="Arial" w:eastAsia="Arial" w:hAnsi="Arial"/>
                <w:sz w:val="18"/>
                <w:szCs w:val="18"/>
                <w:color w:val="auto"/>
              </w:rPr>
              <w:t>Satisfaction of Sinking Fund Payments with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3.06</w:t>
            </w:r>
          </w:p>
        </w:tc>
        <w:tc>
          <w:tcPr>
            <w:tcW w:w="8960" w:type="dxa"/>
            <w:vAlign w:val="bottom"/>
          </w:tcPr>
          <w:p>
            <w:pPr>
              <w:ind w:left="20"/>
              <w:spacing w:after="0"/>
              <w:rPr>
                <w:sz w:val="20"/>
                <w:szCs w:val="20"/>
                <w:color w:val="auto"/>
              </w:rPr>
            </w:pPr>
            <w:r>
              <w:rPr>
                <w:rFonts w:ascii="Arial" w:cs="Arial" w:eastAsia="Arial" w:hAnsi="Arial"/>
                <w:sz w:val="18"/>
                <w:szCs w:val="18"/>
                <w:color w:val="auto"/>
              </w:rPr>
              <w:t>Redemption of Securities for Sinking Fund</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66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4.01</w:t>
            </w:r>
          </w:p>
        </w:tc>
        <w:tc>
          <w:tcPr>
            <w:tcW w:w="8960" w:type="dxa"/>
            <w:vAlign w:val="bottom"/>
          </w:tcPr>
          <w:p>
            <w:pPr>
              <w:ind w:left="20"/>
              <w:spacing w:after="0"/>
              <w:rPr>
                <w:sz w:val="20"/>
                <w:szCs w:val="20"/>
                <w:color w:val="auto"/>
              </w:rPr>
            </w:pPr>
            <w:r>
              <w:rPr>
                <w:rFonts w:ascii="Arial" w:cs="Arial" w:eastAsia="Arial" w:hAnsi="Arial"/>
                <w:sz w:val="18"/>
                <w:szCs w:val="18"/>
                <w:color w:val="auto"/>
              </w:rPr>
              <w:t>Payment of Principal, Premium and Interest</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4.02</w:t>
            </w:r>
          </w:p>
        </w:tc>
        <w:tc>
          <w:tcPr>
            <w:tcW w:w="8960" w:type="dxa"/>
            <w:vAlign w:val="bottom"/>
          </w:tcPr>
          <w:p>
            <w:pPr>
              <w:ind w:left="20"/>
              <w:spacing w:after="0"/>
              <w:rPr>
                <w:sz w:val="20"/>
                <w:szCs w:val="20"/>
                <w:color w:val="auto"/>
              </w:rPr>
            </w:pPr>
            <w:r>
              <w:rPr>
                <w:rFonts w:ascii="Arial" w:cs="Arial" w:eastAsia="Arial" w:hAnsi="Arial"/>
                <w:sz w:val="18"/>
                <w:szCs w:val="18"/>
                <w:color w:val="auto"/>
              </w:rPr>
              <w:t>Maintenance of Office or Agency</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4.03</w:t>
            </w:r>
          </w:p>
        </w:tc>
        <w:tc>
          <w:tcPr>
            <w:tcW w:w="8960" w:type="dxa"/>
            <w:vAlign w:val="bottom"/>
          </w:tcPr>
          <w:p>
            <w:pPr>
              <w:ind w:left="20"/>
              <w:spacing w:after="0"/>
              <w:rPr>
                <w:sz w:val="20"/>
                <w:szCs w:val="20"/>
                <w:color w:val="auto"/>
              </w:rPr>
            </w:pPr>
            <w:r>
              <w:rPr>
                <w:rFonts w:ascii="Arial" w:cs="Arial" w:eastAsia="Arial" w:hAnsi="Arial"/>
                <w:sz w:val="18"/>
                <w:szCs w:val="18"/>
                <w:color w:val="auto"/>
              </w:rPr>
              <w:t>Paying Agents</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4.04 Appointment to Fill Vacancy in Office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66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5.01</w:t>
            </w:r>
          </w:p>
        </w:tc>
        <w:tc>
          <w:tcPr>
            <w:tcW w:w="8960" w:type="dxa"/>
            <w:vAlign w:val="bottom"/>
          </w:tcPr>
          <w:p>
            <w:pPr>
              <w:ind w:left="2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5.02</w:t>
            </w:r>
          </w:p>
        </w:tc>
        <w:tc>
          <w:tcPr>
            <w:tcW w:w="8960" w:type="dxa"/>
            <w:vAlign w:val="bottom"/>
          </w:tcPr>
          <w:p>
            <w:pPr>
              <w:ind w:left="20"/>
              <w:spacing w:after="0"/>
              <w:rPr>
                <w:sz w:val="20"/>
                <w:szCs w:val="20"/>
                <w:color w:val="auto"/>
              </w:rPr>
            </w:pPr>
            <w:r>
              <w:rPr>
                <w:rFonts w:ascii="Arial" w:cs="Arial" w:eastAsia="Arial" w:hAnsi="Arial"/>
                <w:sz w:val="18"/>
                <w:szCs w:val="18"/>
                <w:color w:val="auto"/>
              </w:rPr>
              <w:t>Preservation Of Information; Communications With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5.03</w:t>
            </w:r>
          </w:p>
        </w:tc>
        <w:tc>
          <w:tcPr>
            <w:tcW w:w="8960" w:type="dxa"/>
            <w:vAlign w:val="bottom"/>
          </w:tcPr>
          <w:p>
            <w:pPr>
              <w:ind w:left="20"/>
              <w:spacing w:after="0"/>
              <w:rPr>
                <w:sz w:val="20"/>
                <w:szCs w:val="20"/>
                <w:color w:val="auto"/>
              </w:rPr>
            </w:pPr>
            <w:r>
              <w:rPr>
                <w:rFonts w:ascii="Arial" w:cs="Arial" w:eastAsia="Arial" w:hAnsi="Arial"/>
                <w:sz w:val="18"/>
                <w:szCs w:val="18"/>
                <w:color w:val="auto"/>
              </w:rPr>
              <w:t>Reports by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5.04</w:t>
            </w:r>
          </w:p>
        </w:tc>
        <w:tc>
          <w:tcPr>
            <w:tcW w:w="8960" w:type="dxa"/>
            <w:vAlign w:val="bottom"/>
          </w:tcPr>
          <w:p>
            <w:pPr>
              <w:ind w:left="20"/>
              <w:spacing w:after="0"/>
              <w:rPr>
                <w:sz w:val="20"/>
                <w:szCs w:val="20"/>
                <w:color w:val="auto"/>
              </w:rPr>
            </w:pPr>
            <w:r>
              <w:rPr>
                <w:rFonts w:ascii="Arial" w:cs="Arial" w:eastAsia="Arial" w:hAnsi="Arial"/>
                <w:sz w:val="18"/>
                <w:szCs w:val="18"/>
                <w:color w:val="auto"/>
              </w:rPr>
              <w:t>Reports by the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4"/>
        </w:trPr>
        <w:tc>
          <w:tcPr>
            <w:tcW w:w="700" w:type="dxa"/>
            <w:vAlign w:val="bottom"/>
          </w:tcPr>
          <w:p>
            <w:pPr>
              <w:spacing w:after="0"/>
              <w:rPr>
                <w:sz w:val="24"/>
                <w:szCs w:val="24"/>
                <w:color w:val="auto"/>
              </w:rPr>
            </w:pPr>
          </w:p>
        </w:tc>
        <w:tc>
          <w:tcPr>
            <w:tcW w:w="8960" w:type="dxa"/>
            <w:vAlign w:val="bottom"/>
          </w:tcPr>
          <w:p>
            <w:pPr>
              <w:ind w:left="4780"/>
              <w:spacing w:after="0"/>
              <w:rPr>
                <w:sz w:val="20"/>
                <w:szCs w:val="20"/>
                <w:color w:val="auto"/>
              </w:rPr>
            </w:pPr>
            <w:r>
              <w:rPr>
                <w:rFonts w:ascii="Arial" w:cs="Arial" w:eastAsia="Arial" w:hAnsi="Arial"/>
                <w:sz w:val="18"/>
                <w:szCs w:val="18"/>
                <w:color w:val="auto"/>
              </w:rPr>
              <w:t>i</w:t>
            </w:r>
          </w:p>
        </w:tc>
        <w:tc>
          <w:tcPr>
            <w:tcW w:w="1300" w:type="dxa"/>
            <w:vAlign w:val="bottom"/>
          </w:tcPr>
          <w:p>
            <w:pPr>
              <w:spacing w:after="0"/>
              <w:rPr>
                <w:sz w:val="24"/>
                <w:szCs w:val="24"/>
                <w:color w:val="auto"/>
              </w:rPr>
            </w:pPr>
          </w:p>
        </w:tc>
      </w:tr>
    </w:tbl>
    <w:p>
      <w:pPr>
        <w:sectPr>
          <w:pgSz w:w="11900" w:h="16838" w:orient="portrait"/>
          <w:cols w:equalWidth="0" w:num="1">
            <w:col w:w="10960"/>
          </w:cols>
          <w:pgMar w:left="440" w:top="486" w:right="4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10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6.01</w:t>
            </w:r>
          </w:p>
        </w:tc>
        <w:tc>
          <w:tcPr>
            <w:tcW w:w="840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6.02</w:t>
            </w:r>
          </w:p>
        </w:tc>
        <w:tc>
          <w:tcPr>
            <w:tcW w:w="8400" w:type="dxa"/>
            <w:vAlign w:val="bottom"/>
          </w:tcPr>
          <w:p>
            <w:pPr>
              <w:ind w:left="20"/>
              <w:spacing w:after="0"/>
              <w:rPr>
                <w:sz w:val="20"/>
                <w:szCs w:val="20"/>
                <w:color w:val="auto"/>
              </w:rPr>
            </w:pPr>
            <w:r>
              <w:rPr>
                <w:rFonts w:ascii="Arial" w:cs="Arial" w:eastAsia="Arial" w:hAnsi="Arial"/>
                <w:sz w:val="18"/>
                <w:szCs w:val="18"/>
                <w:color w:val="auto"/>
              </w:rPr>
              <w:t>Collection of Indebtedness and Suits for Enforcement by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6.03 Application of Moneys Collected</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6.04</w:t>
            </w:r>
          </w:p>
        </w:tc>
        <w:tc>
          <w:tcPr>
            <w:tcW w:w="8400" w:type="dxa"/>
            <w:vAlign w:val="bottom"/>
          </w:tcPr>
          <w:p>
            <w:pPr>
              <w:ind w:left="20"/>
              <w:spacing w:after="0"/>
              <w:rPr>
                <w:sz w:val="20"/>
                <w:szCs w:val="20"/>
                <w:color w:val="auto"/>
              </w:rPr>
            </w:pPr>
            <w:r>
              <w:rPr>
                <w:rFonts w:ascii="Arial" w:cs="Arial" w:eastAsia="Arial" w:hAnsi="Arial"/>
                <w:sz w:val="18"/>
                <w:szCs w:val="18"/>
                <w:color w:val="auto"/>
              </w:rPr>
              <w:t>Limitation on Suits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6.05</w:t>
            </w:r>
          </w:p>
        </w:tc>
        <w:tc>
          <w:tcPr>
            <w:tcW w:w="8400" w:type="dxa"/>
            <w:vAlign w:val="bottom"/>
          </w:tcPr>
          <w:p>
            <w:pPr>
              <w:ind w:left="20"/>
              <w:spacing w:after="0"/>
              <w:rPr>
                <w:sz w:val="20"/>
                <w:szCs w:val="20"/>
                <w:color w:val="auto"/>
              </w:rPr>
            </w:pPr>
            <w:r>
              <w:rPr>
                <w:rFonts w:ascii="Arial" w:cs="Arial" w:eastAsia="Arial" w:hAnsi="Arial"/>
                <w:sz w:val="18"/>
                <w:szCs w:val="18"/>
                <w:color w:val="auto"/>
              </w:rPr>
              <w:t>Rights and Remedies Cumulative; Delay or Omission Not Waiver</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6.06</w:t>
            </w:r>
          </w:p>
        </w:tc>
        <w:tc>
          <w:tcPr>
            <w:tcW w:w="8400" w:type="dxa"/>
            <w:vAlign w:val="bottom"/>
          </w:tcPr>
          <w:p>
            <w:pPr>
              <w:ind w:left="20"/>
              <w:spacing w:after="0"/>
              <w:rPr>
                <w:sz w:val="20"/>
                <w:szCs w:val="20"/>
                <w:color w:val="auto"/>
              </w:rPr>
            </w:pPr>
            <w:r>
              <w:rPr>
                <w:rFonts w:ascii="Arial" w:cs="Arial" w:eastAsia="Arial" w:hAnsi="Arial"/>
                <w:sz w:val="18"/>
                <w:szCs w:val="18"/>
                <w:color w:val="auto"/>
              </w:rPr>
              <w:t>Control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6.07</w:t>
            </w:r>
          </w:p>
        </w:tc>
        <w:tc>
          <w:tcPr>
            <w:tcW w:w="8400" w:type="dxa"/>
            <w:vAlign w:val="bottom"/>
          </w:tcPr>
          <w:p>
            <w:pPr>
              <w:ind w:left="20"/>
              <w:spacing w:after="0"/>
              <w:rPr>
                <w:sz w:val="20"/>
                <w:szCs w:val="20"/>
                <w:color w:val="auto"/>
              </w:rPr>
            </w:pPr>
            <w:r>
              <w:rPr>
                <w:rFonts w:ascii="Arial" w:cs="Arial" w:eastAsia="Arial" w:hAnsi="Arial"/>
                <w:sz w:val="18"/>
                <w:szCs w:val="18"/>
                <w:color w:val="auto"/>
              </w:rPr>
              <w:t>Undertaking to Pay Costs</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7.01</w:t>
            </w:r>
          </w:p>
        </w:tc>
        <w:tc>
          <w:tcPr>
            <w:tcW w:w="8400" w:type="dxa"/>
            <w:vAlign w:val="bottom"/>
          </w:tcPr>
          <w:p>
            <w:pPr>
              <w:ind w:left="20"/>
              <w:spacing w:after="0"/>
              <w:rPr>
                <w:sz w:val="20"/>
                <w:szCs w:val="20"/>
                <w:color w:val="auto"/>
              </w:rPr>
            </w:pPr>
            <w:r>
              <w:rPr>
                <w:rFonts w:ascii="Arial" w:cs="Arial" w:eastAsia="Arial" w:hAnsi="Arial"/>
                <w:sz w:val="18"/>
                <w:szCs w:val="18"/>
                <w:color w:val="auto"/>
              </w:rPr>
              <w:t>Certain Duties and Responsibilities of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7.02</w:t>
            </w:r>
          </w:p>
        </w:tc>
        <w:tc>
          <w:tcPr>
            <w:tcW w:w="8400" w:type="dxa"/>
            <w:vAlign w:val="bottom"/>
          </w:tcPr>
          <w:p>
            <w:pPr>
              <w:ind w:left="20"/>
              <w:spacing w:after="0"/>
              <w:rPr>
                <w:sz w:val="20"/>
                <w:szCs w:val="20"/>
                <w:color w:val="auto"/>
              </w:rPr>
            </w:pPr>
            <w:r>
              <w:rPr>
                <w:rFonts w:ascii="Arial" w:cs="Arial" w:eastAsia="Arial" w:hAnsi="Arial"/>
                <w:sz w:val="18"/>
                <w:szCs w:val="18"/>
                <w:color w:val="auto"/>
              </w:rPr>
              <w:t>Certain Rights of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7.03 Trustee Not Responsible for Recitals or Issuance or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7.04</w:t>
            </w:r>
          </w:p>
        </w:tc>
        <w:tc>
          <w:tcPr>
            <w:tcW w:w="8400" w:type="dxa"/>
            <w:vAlign w:val="bottom"/>
          </w:tcPr>
          <w:p>
            <w:pPr>
              <w:ind w:left="20"/>
              <w:spacing w:after="0"/>
              <w:rPr>
                <w:sz w:val="20"/>
                <w:szCs w:val="20"/>
                <w:color w:val="auto"/>
              </w:rPr>
            </w:pPr>
            <w:r>
              <w:rPr>
                <w:rFonts w:ascii="Arial" w:cs="Arial" w:eastAsia="Arial" w:hAnsi="Arial"/>
                <w:sz w:val="18"/>
                <w:szCs w:val="18"/>
                <w:color w:val="auto"/>
              </w:rPr>
              <w:t>May Hold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7.05</w:t>
            </w:r>
          </w:p>
        </w:tc>
        <w:tc>
          <w:tcPr>
            <w:tcW w:w="8400" w:type="dxa"/>
            <w:vAlign w:val="bottom"/>
          </w:tcPr>
          <w:p>
            <w:pPr>
              <w:ind w:left="20"/>
              <w:spacing w:after="0"/>
              <w:rPr>
                <w:sz w:val="20"/>
                <w:szCs w:val="20"/>
                <w:color w:val="auto"/>
              </w:rPr>
            </w:pPr>
            <w:r>
              <w:rPr>
                <w:rFonts w:ascii="Arial" w:cs="Arial" w:eastAsia="Arial" w:hAnsi="Arial"/>
                <w:sz w:val="18"/>
                <w:szCs w:val="18"/>
                <w:color w:val="auto"/>
              </w:rPr>
              <w:t>Moneys Held in Trust</w:t>
            </w: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7.06</w:t>
            </w:r>
          </w:p>
        </w:tc>
        <w:tc>
          <w:tcPr>
            <w:tcW w:w="8400" w:type="dxa"/>
            <w:vAlign w:val="bottom"/>
          </w:tcPr>
          <w:p>
            <w:pPr>
              <w:ind w:left="20"/>
              <w:spacing w:after="0"/>
              <w:rPr>
                <w:sz w:val="20"/>
                <w:szCs w:val="20"/>
                <w:color w:val="auto"/>
              </w:rPr>
            </w:pPr>
            <w:r>
              <w:rPr>
                <w:rFonts w:ascii="Arial" w:cs="Arial" w:eastAsia="Arial" w:hAnsi="Arial"/>
                <w:sz w:val="18"/>
                <w:szCs w:val="18"/>
                <w:color w:val="auto"/>
              </w:rPr>
              <w:t>Compensation and Reimbursement</w:t>
            </w: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7.07</w:t>
            </w:r>
          </w:p>
        </w:tc>
        <w:tc>
          <w:tcPr>
            <w:tcW w:w="8400" w:type="dxa"/>
            <w:vAlign w:val="bottom"/>
          </w:tcPr>
          <w:p>
            <w:pPr>
              <w:ind w:left="20"/>
              <w:spacing w:after="0"/>
              <w:rPr>
                <w:sz w:val="20"/>
                <w:szCs w:val="20"/>
                <w:color w:val="auto"/>
              </w:rPr>
            </w:pPr>
            <w:r>
              <w:rPr>
                <w:rFonts w:ascii="Arial" w:cs="Arial" w:eastAsia="Arial" w:hAnsi="Arial"/>
                <w:sz w:val="18"/>
                <w:szCs w:val="18"/>
                <w:color w:val="auto"/>
              </w:rPr>
              <w:t>Reliance on Officer’s Certificate</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7.08</w:t>
            </w:r>
          </w:p>
        </w:tc>
        <w:tc>
          <w:tcPr>
            <w:tcW w:w="8400" w:type="dxa"/>
            <w:vAlign w:val="bottom"/>
          </w:tcPr>
          <w:p>
            <w:pPr>
              <w:ind w:left="20"/>
              <w:spacing w:after="0"/>
              <w:rPr>
                <w:sz w:val="20"/>
                <w:szCs w:val="20"/>
                <w:color w:val="auto"/>
              </w:rPr>
            </w:pPr>
            <w:r>
              <w:rPr>
                <w:rFonts w:ascii="Arial" w:cs="Arial" w:eastAsia="Arial" w:hAnsi="Arial"/>
                <w:sz w:val="18"/>
                <w:szCs w:val="18"/>
                <w:color w:val="auto"/>
              </w:rPr>
              <w:t>Disqualification; Conflicting Interests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7.09</w:t>
            </w:r>
          </w:p>
        </w:tc>
        <w:tc>
          <w:tcPr>
            <w:tcW w:w="8400" w:type="dxa"/>
            <w:vAlign w:val="bottom"/>
          </w:tcPr>
          <w:p>
            <w:pPr>
              <w:ind w:left="20"/>
              <w:spacing w:after="0"/>
              <w:rPr>
                <w:sz w:val="20"/>
                <w:szCs w:val="20"/>
                <w:color w:val="auto"/>
              </w:rPr>
            </w:pPr>
            <w:r>
              <w:rPr>
                <w:rFonts w:ascii="Arial" w:cs="Arial" w:eastAsia="Arial" w:hAnsi="Arial"/>
                <w:sz w:val="18"/>
                <w:szCs w:val="18"/>
                <w:color w:val="auto"/>
              </w:rPr>
              <w:t>Corporate Trustee Required; Eligibility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7.10</w:t>
            </w:r>
          </w:p>
        </w:tc>
        <w:tc>
          <w:tcPr>
            <w:tcW w:w="8400" w:type="dxa"/>
            <w:vAlign w:val="bottom"/>
          </w:tcPr>
          <w:p>
            <w:pPr>
              <w:ind w:left="20"/>
              <w:spacing w:after="0"/>
              <w:rPr>
                <w:sz w:val="20"/>
                <w:szCs w:val="20"/>
                <w:color w:val="auto"/>
              </w:rPr>
            </w:pPr>
            <w:r>
              <w:rPr>
                <w:rFonts w:ascii="Arial" w:cs="Arial" w:eastAsia="Arial" w:hAnsi="Arial"/>
                <w:sz w:val="18"/>
                <w:szCs w:val="18"/>
                <w:color w:val="auto"/>
              </w:rPr>
              <w:t>Resignation and Removal; Appointment of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7.11 Acceptance of Appointment By Successor</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7.12</w:t>
            </w:r>
          </w:p>
        </w:tc>
        <w:tc>
          <w:tcPr>
            <w:tcW w:w="8400" w:type="dxa"/>
            <w:vAlign w:val="bottom"/>
          </w:tcPr>
          <w:p>
            <w:pPr>
              <w:ind w:left="20"/>
              <w:spacing w:after="0"/>
              <w:rPr>
                <w:sz w:val="20"/>
                <w:szCs w:val="20"/>
                <w:color w:val="auto"/>
              </w:rPr>
            </w:pPr>
            <w:r>
              <w:rPr>
                <w:rFonts w:ascii="Arial" w:cs="Arial" w:eastAsia="Arial" w:hAnsi="Arial"/>
                <w:sz w:val="18"/>
                <w:szCs w:val="18"/>
                <w:color w:val="auto"/>
              </w:rPr>
              <w:t>Merger, Conversion, Consolidation or Succession to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7.13</w:t>
            </w:r>
          </w:p>
        </w:tc>
        <w:tc>
          <w:tcPr>
            <w:tcW w:w="8400" w:type="dxa"/>
            <w:vAlign w:val="bottom"/>
          </w:tcPr>
          <w:p>
            <w:pPr>
              <w:ind w:left="20"/>
              <w:spacing w:after="0"/>
              <w:rPr>
                <w:sz w:val="20"/>
                <w:szCs w:val="20"/>
                <w:color w:val="auto"/>
              </w:rPr>
            </w:pPr>
            <w:r>
              <w:rPr>
                <w:rFonts w:ascii="Arial" w:cs="Arial" w:eastAsia="Arial" w:hAnsi="Arial"/>
                <w:sz w:val="18"/>
                <w:szCs w:val="18"/>
                <w:color w:val="auto"/>
              </w:rPr>
              <w:t>Preferential Collection of Claims Against the Company</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7.14</w:t>
            </w:r>
          </w:p>
        </w:tc>
        <w:tc>
          <w:tcPr>
            <w:tcW w:w="840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8 CONCERNING THE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8.01</w:t>
            </w:r>
          </w:p>
        </w:tc>
        <w:tc>
          <w:tcPr>
            <w:tcW w:w="8400" w:type="dxa"/>
            <w:vAlign w:val="bottom"/>
          </w:tcPr>
          <w:p>
            <w:pPr>
              <w:ind w:left="20"/>
              <w:spacing w:after="0"/>
              <w:rPr>
                <w:sz w:val="20"/>
                <w:szCs w:val="20"/>
                <w:color w:val="auto"/>
              </w:rPr>
            </w:pPr>
            <w:r>
              <w:rPr>
                <w:rFonts w:ascii="Arial" w:cs="Arial" w:eastAsia="Arial" w:hAnsi="Arial"/>
                <w:sz w:val="18"/>
                <w:szCs w:val="18"/>
                <w:color w:val="auto"/>
              </w:rPr>
              <w:t>Evidence of Action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8.02</w:t>
            </w:r>
          </w:p>
        </w:tc>
        <w:tc>
          <w:tcPr>
            <w:tcW w:w="8400" w:type="dxa"/>
            <w:vAlign w:val="bottom"/>
          </w:tcPr>
          <w:p>
            <w:pPr>
              <w:ind w:left="20"/>
              <w:spacing w:after="0"/>
              <w:rPr>
                <w:sz w:val="20"/>
                <w:szCs w:val="20"/>
                <w:color w:val="auto"/>
              </w:rPr>
            </w:pPr>
            <w:r>
              <w:rPr>
                <w:rFonts w:ascii="Arial" w:cs="Arial" w:eastAsia="Arial" w:hAnsi="Arial"/>
                <w:sz w:val="18"/>
                <w:szCs w:val="18"/>
                <w:color w:val="auto"/>
              </w:rPr>
              <w:t>Proof of Execution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8.03 Who May be Deemed Owners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8.04</w:t>
            </w:r>
          </w:p>
        </w:tc>
        <w:tc>
          <w:tcPr>
            <w:tcW w:w="8400" w:type="dxa"/>
            <w:vAlign w:val="bottom"/>
          </w:tcPr>
          <w:p>
            <w:pPr>
              <w:ind w:left="20"/>
              <w:spacing w:after="0"/>
              <w:rPr>
                <w:sz w:val="20"/>
                <w:szCs w:val="20"/>
                <w:color w:val="auto"/>
              </w:rPr>
            </w:pPr>
            <w:r>
              <w:rPr>
                <w:rFonts w:ascii="Arial" w:cs="Arial" w:eastAsia="Arial" w:hAnsi="Arial"/>
                <w:sz w:val="18"/>
                <w:szCs w:val="18"/>
                <w:color w:val="auto"/>
              </w:rPr>
              <w:t>Certain Securities Owned by Company Disregarded</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8.05 Actions Binding on Future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9.01</w:t>
            </w:r>
          </w:p>
        </w:tc>
        <w:tc>
          <w:tcPr>
            <w:tcW w:w="8400" w:type="dxa"/>
            <w:vAlign w:val="bottom"/>
          </w:tcPr>
          <w:p>
            <w:pPr>
              <w:ind w:left="20"/>
              <w:spacing w:after="0"/>
              <w:rPr>
                <w:sz w:val="20"/>
                <w:szCs w:val="20"/>
                <w:color w:val="auto"/>
              </w:rPr>
            </w:pPr>
            <w:r>
              <w:rPr>
                <w:rFonts w:ascii="Arial" w:cs="Arial" w:eastAsia="Arial" w:hAnsi="Arial"/>
                <w:sz w:val="18"/>
                <w:szCs w:val="18"/>
                <w:color w:val="auto"/>
              </w:rPr>
              <w:t>Supplemental Indentures Without the Consent of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9.02</w:t>
            </w:r>
          </w:p>
        </w:tc>
        <w:tc>
          <w:tcPr>
            <w:tcW w:w="8400" w:type="dxa"/>
            <w:vAlign w:val="bottom"/>
          </w:tcPr>
          <w:p>
            <w:pPr>
              <w:ind w:left="20"/>
              <w:spacing w:after="0"/>
              <w:rPr>
                <w:sz w:val="20"/>
                <w:szCs w:val="20"/>
                <w:color w:val="auto"/>
              </w:rPr>
            </w:pPr>
            <w:r>
              <w:rPr>
                <w:rFonts w:ascii="Arial" w:cs="Arial" w:eastAsia="Arial" w:hAnsi="Arial"/>
                <w:sz w:val="18"/>
                <w:szCs w:val="18"/>
                <w:color w:val="auto"/>
              </w:rPr>
              <w:t>Supplemental Indentures With Consent of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9.03</w:t>
            </w:r>
          </w:p>
        </w:tc>
        <w:tc>
          <w:tcPr>
            <w:tcW w:w="8400" w:type="dxa"/>
            <w:vAlign w:val="bottom"/>
          </w:tcPr>
          <w:p>
            <w:pPr>
              <w:ind w:left="20"/>
              <w:spacing w:after="0"/>
              <w:rPr>
                <w:sz w:val="20"/>
                <w:szCs w:val="20"/>
                <w:color w:val="auto"/>
              </w:rPr>
            </w:pPr>
            <w:r>
              <w:rPr>
                <w:rFonts w:ascii="Arial" w:cs="Arial" w:eastAsia="Arial" w:hAnsi="Arial"/>
                <w:sz w:val="18"/>
                <w:szCs w:val="18"/>
                <w:color w:val="auto"/>
              </w:rPr>
              <w:t>Effect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9.04</w:t>
            </w:r>
          </w:p>
        </w:tc>
        <w:tc>
          <w:tcPr>
            <w:tcW w:w="8400" w:type="dxa"/>
            <w:vAlign w:val="bottom"/>
          </w:tcPr>
          <w:p>
            <w:pPr>
              <w:ind w:left="20"/>
              <w:spacing w:after="0"/>
              <w:rPr>
                <w:sz w:val="20"/>
                <w:szCs w:val="20"/>
                <w:color w:val="auto"/>
              </w:rPr>
            </w:pPr>
            <w:r>
              <w:rPr>
                <w:rFonts w:ascii="Arial" w:cs="Arial" w:eastAsia="Arial" w:hAnsi="Arial"/>
                <w:sz w:val="18"/>
                <w:szCs w:val="18"/>
                <w:color w:val="auto"/>
              </w:rPr>
              <w:t>Securities Affected by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00" w:type="dxa"/>
            <w:vAlign w:val="bottom"/>
          </w:tcPr>
          <w:p>
            <w:pPr>
              <w:ind w:left="360"/>
              <w:spacing w:after="0"/>
              <w:rPr>
                <w:sz w:val="20"/>
                <w:szCs w:val="20"/>
                <w:color w:val="auto"/>
              </w:rPr>
            </w:pPr>
            <w:r>
              <w:rPr>
                <w:rFonts w:ascii="Arial" w:cs="Arial" w:eastAsia="Arial" w:hAnsi="Arial"/>
                <w:sz w:val="18"/>
                <w:szCs w:val="18"/>
                <w:color w:val="auto"/>
                <w:w w:val="91"/>
              </w:rPr>
              <w:t>9.05</w:t>
            </w:r>
          </w:p>
        </w:tc>
        <w:tc>
          <w:tcPr>
            <w:tcW w:w="8400" w:type="dxa"/>
            <w:vAlign w:val="bottom"/>
          </w:tcPr>
          <w:p>
            <w:pPr>
              <w:ind w:left="20"/>
              <w:spacing w:after="0"/>
              <w:rPr>
                <w:sz w:val="20"/>
                <w:szCs w:val="20"/>
                <w:color w:val="auto"/>
              </w:rPr>
            </w:pPr>
            <w:r>
              <w:rPr>
                <w:rFonts w:ascii="Arial" w:cs="Arial" w:eastAsia="Arial" w:hAnsi="Arial"/>
                <w:sz w:val="18"/>
                <w:szCs w:val="18"/>
                <w:color w:val="auto"/>
              </w:rPr>
              <w:t>Execution of Supplemental Indentures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4"/>
        </w:trPr>
        <w:tc>
          <w:tcPr>
            <w:tcW w:w="700" w:type="dxa"/>
            <w:vAlign w:val="bottom"/>
          </w:tcPr>
          <w:p>
            <w:pPr>
              <w:spacing w:after="0"/>
              <w:rPr>
                <w:sz w:val="24"/>
                <w:szCs w:val="24"/>
                <w:color w:val="auto"/>
              </w:rPr>
            </w:pPr>
          </w:p>
        </w:tc>
        <w:tc>
          <w:tcPr>
            <w:tcW w:w="8400" w:type="dxa"/>
            <w:vAlign w:val="bottom"/>
          </w:tcPr>
          <w:p>
            <w:pPr>
              <w:ind w:left="4760"/>
              <w:spacing w:after="0"/>
              <w:rPr>
                <w:sz w:val="20"/>
                <w:szCs w:val="20"/>
                <w:color w:val="auto"/>
              </w:rPr>
            </w:pPr>
            <w:r>
              <w:rPr>
                <w:rFonts w:ascii="Arial" w:cs="Arial" w:eastAsia="Arial" w:hAnsi="Arial"/>
                <w:sz w:val="18"/>
                <w:szCs w:val="18"/>
                <w:color w:val="auto"/>
              </w:rPr>
              <w:t>ii</w:t>
            </w:r>
          </w:p>
        </w:tc>
        <w:tc>
          <w:tcPr>
            <w:tcW w:w="1860" w:type="dxa"/>
            <w:vAlign w:val="bottom"/>
          </w:tcPr>
          <w:p>
            <w:pPr>
              <w:spacing w:after="0"/>
              <w:rPr>
                <w:sz w:val="24"/>
                <w:szCs w:val="24"/>
                <w:color w:val="auto"/>
              </w:rPr>
            </w:pPr>
          </w:p>
        </w:tc>
      </w:tr>
    </w:tbl>
    <w:p>
      <w:pPr>
        <w:sectPr>
          <w:pgSz w:w="11900" w:h="16838" w:orient="portrait"/>
          <w:cols w:equalWidth="0" w:num="1">
            <w:col w:w="10960"/>
          </w:cols>
          <w:pgMar w:left="440" w:top="486" w:right="49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380" w:type="dxa"/>
            <w:vAlign w:val="bottom"/>
          </w:tcPr>
          <w:p>
            <w:pPr>
              <w:jc w:val="center"/>
              <w:ind w:left="97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8380" w:type="dxa"/>
            <w:vAlign w:val="bottom"/>
          </w:tcPr>
          <w:p>
            <w:pPr>
              <w:jc w:val="center"/>
              <w:ind w:left="970"/>
              <w:spacing w:after="0"/>
              <w:rPr>
                <w:sz w:val="20"/>
                <w:szCs w:val="20"/>
                <w:color w:val="auto"/>
              </w:rPr>
            </w:pPr>
            <w:r>
              <w:rPr>
                <w:rFonts w:ascii="Arial" w:cs="Arial" w:eastAsia="Arial" w:hAnsi="Arial"/>
                <w:sz w:val="18"/>
                <w:szCs w:val="18"/>
                <w:color w:val="auto"/>
                <w:w w:val="93"/>
              </w:rPr>
              <w:t>(continued)</w:t>
            </w:r>
          </w:p>
        </w:tc>
        <w:tc>
          <w:tcPr>
            <w:tcW w:w="1800" w:type="dxa"/>
            <w:vAlign w:val="bottom"/>
          </w:tcPr>
          <w:p>
            <w:pPr>
              <w:spacing w:after="0"/>
              <w:rPr>
                <w:sz w:val="20"/>
                <w:szCs w:val="20"/>
                <w:color w:val="auto"/>
              </w:rPr>
            </w:pPr>
          </w:p>
        </w:tc>
      </w:tr>
      <w:tr>
        <w:trPr>
          <w:trHeight w:val="312"/>
        </w:trPr>
        <w:tc>
          <w:tcPr>
            <w:tcW w:w="7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160" w:type="dxa"/>
            <w:vAlign w:val="bottom"/>
            <w:gridSpan w:val="2"/>
          </w:tcPr>
          <w:p>
            <w:pPr>
              <w:spacing w:after="0"/>
              <w:rPr>
                <w:sz w:val="20"/>
                <w:szCs w:val="20"/>
                <w:color w:val="auto"/>
              </w:rPr>
            </w:pPr>
            <w:r>
              <w:rPr>
                <w:rFonts w:ascii="Arial" w:cs="Arial" w:eastAsia="Arial" w:hAnsi="Arial"/>
                <w:sz w:val="18"/>
                <w:szCs w:val="18"/>
                <w:color w:val="auto"/>
              </w:rPr>
              <w:t>ARTICLE 10 SUCCESSOR ENTITY</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10.01</w:t>
            </w:r>
          </w:p>
        </w:tc>
        <w:tc>
          <w:tcPr>
            <w:tcW w:w="8380" w:type="dxa"/>
            <w:vAlign w:val="bottom"/>
          </w:tcPr>
          <w:p>
            <w:pPr>
              <w:ind w:left="20"/>
              <w:spacing w:after="0"/>
              <w:rPr>
                <w:sz w:val="20"/>
                <w:szCs w:val="20"/>
                <w:color w:val="auto"/>
              </w:rPr>
            </w:pPr>
            <w:r>
              <w:rPr>
                <w:rFonts w:ascii="Arial" w:cs="Arial" w:eastAsia="Arial" w:hAnsi="Arial"/>
                <w:sz w:val="18"/>
                <w:szCs w:val="18"/>
                <w:color w:val="auto"/>
              </w:rPr>
              <w:t>Company May Consolidate, Etc.</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10.02</w:t>
            </w:r>
          </w:p>
        </w:tc>
        <w:tc>
          <w:tcPr>
            <w:tcW w:w="8380" w:type="dxa"/>
            <w:vAlign w:val="bottom"/>
          </w:tcPr>
          <w:p>
            <w:pPr>
              <w:ind w:left="20"/>
              <w:spacing w:after="0"/>
              <w:rPr>
                <w:sz w:val="20"/>
                <w:szCs w:val="20"/>
                <w:color w:val="auto"/>
              </w:rPr>
            </w:pPr>
            <w:r>
              <w:rPr>
                <w:rFonts w:ascii="Arial" w:cs="Arial" w:eastAsia="Arial" w:hAnsi="Arial"/>
                <w:sz w:val="18"/>
                <w:szCs w:val="18"/>
                <w:color w:val="auto"/>
              </w:rPr>
              <w:t>Successor Entity Substituted</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11.01 Satisfaction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11.02 Discharge of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11.03 Deposited Moneys to be Held in Trust</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11.04 Payment of Moneys Held by Paying 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11.05 Repayment to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12.01</w:t>
            </w:r>
          </w:p>
        </w:tc>
        <w:tc>
          <w:tcPr>
            <w:tcW w:w="8380" w:type="dxa"/>
            <w:vAlign w:val="bottom"/>
          </w:tcPr>
          <w:p>
            <w:pPr>
              <w:ind w:left="20"/>
              <w:spacing w:after="0"/>
              <w:rPr>
                <w:sz w:val="20"/>
                <w:szCs w:val="20"/>
                <w:color w:val="auto"/>
              </w:rPr>
            </w:pPr>
            <w:r>
              <w:rPr>
                <w:rFonts w:ascii="Arial" w:cs="Arial" w:eastAsia="Arial" w:hAnsi="Arial"/>
                <w:sz w:val="18"/>
                <w:szCs w:val="18"/>
                <w:color w:val="auto"/>
              </w:rPr>
              <w:t>No Recourse</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13.01</w:t>
            </w:r>
          </w:p>
        </w:tc>
        <w:tc>
          <w:tcPr>
            <w:tcW w:w="8380" w:type="dxa"/>
            <w:vAlign w:val="bottom"/>
          </w:tcPr>
          <w:p>
            <w:pPr>
              <w:ind w:left="20"/>
              <w:spacing w:after="0"/>
              <w:rPr>
                <w:sz w:val="20"/>
                <w:szCs w:val="20"/>
                <w:color w:val="auto"/>
              </w:rPr>
            </w:pPr>
            <w:r>
              <w:rPr>
                <w:rFonts w:ascii="Arial" w:cs="Arial" w:eastAsia="Arial" w:hAnsi="Arial"/>
                <w:sz w:val="18"/>
                <w:szCs w:val="18"/>
                <w:color w:val="auto"/>
              </w:rPr>
              <w:t>Effect on Successors and Assigns</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13.02 Actions by Successor</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13.03</w:t>
            </w:r>
          </w:p>
        </w:tc>
        <w:tc>
          <w:tcPr>
            <w:tcW w:w="8380" w:type="dxa"/>
            <w:vAlign w:val="bottom"/>
          </w:tcPr>
          <w:p>
            <w:pPr>
              <w:ind w:left="20"/>
              <w:spacing w:after="0"/>
              <w:rPr>
                <w:sz w:val="20"/>
                <w:szCs w:val="20"/>
                <w:color w:val="auto"/>
              </w:rPr>
            </w:pPr>
            <w:r>
              <w:rPr>
                <w:rFonts w:ascii="Arial" w:cs="Arial" w:eastAsia="Arial" w:hAnsi="Arial"/>
                <w:sz w:val="18"/>
                <w:szCs w:val="18"/>
                <w:color w:val="auto"/>
              </w:rPr>
              <w:t>Surrender of Company Powers</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13.04</w:t>
            </w:r>
          </w:p>
        </w:tc>
        <w:tc>
          <w:tcPr>
            <w:tcW w:w="8380" w:type="dxa"/>
            <w:vAlign w:val="bottom"/>
          </w:tcPr>
          <w:p>
            <w:pPr>
              <w:ind w:left="2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13.05</w:t>
            </w:r>
          </w:p>
        </w:tc>
        <w:tc>
          <w:tcPr>
            <w:tcW w:w="8380" w:type="dxa"/>
            <w:vAlign w:val="bottom"/>
          </w:tcPr>
          <w:p>
            <w:pPr>
              <w:ind w:left="20"/>
              <w:spacing w:after="0"/>
              <w:rPr>
                <w:sz w:val="20"/>
                <w:szCs w:val="20"/>
                <w:color w:val="auto"/>
              </w:rPr>
            </w:pPr>
            <w:r>
              <w:rPr>
                <w:rFonts w:ascii="Arial" w:cs="Arial" w:eastAsia="Arial" w:hAnsi="Arial"/>
                <w:sz w:val="18"/>
                <w:szCs w:val="18"/>
                <w:color w:val="auto"/>
              </w:rPr>
              <w:t>Governing Law; Jury Trial Waiver</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13.06</w:t>
            </w:r>
          </w:p>
        </w:tc>
        <w:tc>
          <w:tcPr>
            <w:tcW w:w="8380" w:type="dxa"/>
            <w:vAlign w:val="bottom"/>
          </w:tcPr>
          <w:p>
            <w:pPr>
              <w:ind w:left="20"/>
              <w:spacing w:after="0"/>
              <w:rPr>
                <w:sz w:val="20"/>
                <w:szCs w:val="20"/>
                <w:color w:val="auto"/>
              </w:rPr>
            </w:pPr>
            <w:r>
              <w:rPr>
                <w:rFonts w:ascii="Arial" w:cs="Arial" w:eastAsia="Arial" w:hAnsi="Arial"/>
                <w:sz w:val="18"/>
                <w:szCs w:val="18"/>
                <w:color w:val="auto"/>
              </w:rPr>
              <w:t>Treatment of Securities as Debt</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13.07</w:t>
            </w:r>
          </w:p>
        </w:tc>
        <w:tc>
          <w:tcPr>
            <w:tcW w:w="8380" w:type="dxa"/>
            <w:vAlign w:val="bottom"/>
          </w:tcPr>
          <w:p>
            <w:pPr>
              <w:ind w:left="20"/>
              <w:spacing w:after="0"/>
              <w:rPr>
                <w:sz w:val="20"/>
                <w:szCs w:val="20"/>
                <w:color w:val="auto"/>
              </w:rPr>
            </w:pPr>
            <w:r>
              <w:rPr>
                <w:rFonts w:ascii="Arial" w:cs="Arial" w:eastAsia="Arial" w:hAnsi="Arial"/>
                <w:sz w:val="18"/>
                <w:szCs w:val="18"/>
                <w:color w:val="auto"/>
              </w:rPr>
              <w:t>Certificates and Opinions as to Conditions Precedent</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13.08</w:t>
            </w:r>
          </w:p>
        </w:tc>
        <w:tc>
          <w:tcPr>
            <w:tcW w:w="8380" w:type="dxa"/>
            <w:vAlign w:val="bottom"/>
          </w:tcPr>
          <w:p>
            <w:pPr>
              <w:ind w:left="20"/>
              <w:spacing w:after="0"/>
              <w:rPr>
                <w:sz w:val="20"/>
                <w:szCs w:val="20"/>
                <w:color w:val="auto"/>
              </w:rPr>
            </w:pPr>
            <w:r>
              <w:rPr>
                <w:rFonts w:ascii="Arial" w:cs="Arial" w:eastAsia="Arial" w:hAnsi="Arial"/>
                <w:sz w:val="18"/>
                <w:szCs w:val="18"/>
                <w:color w:val="auto"/>
              </w:rPr>
              <w:t>Payments on Business Days</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13.09</w:t>
            </w:r>
          </w:p>
        </w:tc>
        <w:tc>
          <w:tcPr>
            <w:tcW w:w="8380" w:type="dxa"/>
            <w:vAlign w:val="bottom"/>
          </w:tcPr>
          <w:p>
            <w:pPr>
              <w:ind w:left="20"/>
              <w:spacing w:after="0"/>
              <w:rPr>
                <w:sz w:val="20"/>
                <w:szCs w:val="20"/>
                <w:color w:val="auto"/>
              </w:rPr>
            </w:pPr>
            <w:r>
              <w:rPr>
                <w:rFonts w:ascii="Arial" w:cs="Arial" w:eastAsia="Arial" w:hAnsi="Arial"/>
                <w:sz w:val="18"/>
                <w:szCs w:val="18"/>
                <w:color w:val="auto"/>
              </w:rPr>
              <w:t>Conflict with Trust Indenture Act</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13.10</w:t>
            </w:r>
          </w:p>
        </w:tc>
        <w:tc>
          <w:tcPr>
            <w:tcW w:w="838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13.11 Separability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13.12</w:t>
            </w:r>
          </w:p>
        </w:tc>
        <w:tc>
          <w:tcPr>
            <w:tcW w:w="8380" w:type="dxa"/>
            <w:vAlign w:val="bottom"/>
          </w:tcPr>
          <w:p>
            <w:pPr>
              <w:ind w:left="20"/>
              <w:spacing w:after="0"/>
              <w:rPr>
                <w:sz w:val="20"/>
                <w:szCs w:val="20"/>
                <w:color w:val="auto"/>
              </w:rPr>
            </w:pPr>
            <w:r>
              <w:rPr>
                <w:rFonts w:ascii="Arial" w:cs="Arial" w:eastAsia="Arial" w:hAnsi="Arial"/>
                <w:sz w:val="18"/>
                <w:szCs w:val="18"/>
                <w:color w:val="auto"/>
              </w:rPr>
              <w:t>Compliance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13.13</w:t>
            </w:r>
          </w:p>
        </w:tc>
        <w:tc>
          <w:tcPr>
            <w:tcW w:w="8380" w:type="dxa"/>
            <w:vAlign w:val="bottom"/>
          </w:tcPr>
          <w:p>
            <w:pPr>
              <w:ind w:left="20"/>
              <w:spacing w:after="0"/>
              <w:rPr>
                <w:sz w:val="20"/>
                <w:szCs w:val="20"/>
                <w:color w:val="auto"/>
              </w:rPr>
            </w:pPr>
            <w:r>
              <w:rPr>
                <w:rFonts w:ascii="Arial" w:cs="Arial" w:eastAsia="Arial" w:hAnsi="Arial"/>
                <w:sz w:val="18"/>
                <w:szCs w:val="18"/>
                <w:color w:val="auto"/>
              </w:rPr>
              <w:t>Force Majeure</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w w:val="88"/>
              </w:rPr>
              <w:t>13.14</w:t>
            </w:r>
          </w:p>
        </w:tc>
        <w:tc>
          <w:tcPr>
            <w:tcW w:w="8380" w:type="dxa"/>
            <w:vAlign w:val="bottom"/>
          </w:tcPr>
          <w:p>
            <w:pPr>
              <w:ind w:left="20"/>
              <w:spacing w:after="0"/>
              <w:rPr>
                <w:sz w:val="20"/>
                <w:szCs w:val="20"/>
                <w:color w:val="auto"/>
              </w:rPr>
            </w:pPr>
            <w:r>
              <w:rPr>
                <w:rFonts w:ascii="Arial" w:cs="Arial" w:eastAsia="Arial" w:hAnsi="Arial"/>
                <w:sz w:val="18"/>
                <w:szCs w:val="18"/>
                <w:color w:val="auto"/>
              </w:rPr>
              <w:t>Table of Contents; Headings</w:t>
            </w: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65"/>
        </w:trPr>
        <w:tc>
          <w:tcPr>
            <w:tcW w:w="780" w:type="dxa"/>
            <w:vAlign w:val="bottom"/>
          </w:tcPr>
          <w:p>
            <w:pPr>
              <w:spacing w:after="0"/>
              <w:rPr>
                <w:sz w:val="24"/>
                <w:szCs w:val="24"/>
                <w:color w:val="auto"/>
              </w:rPr>
            </w:pPr>
          </w:p>
        </w:tc>
        <w:tc>
          <w:tcPr>
            <w:tcW w:w="8380" w:type="dxa"/>
            <w:vAlign w:val="bottom"/>
          </w:tcPr>
          <w:p>
            <w:pPr>
              <w:jc w:val="center"/>
              <w:ind w:left="970"/>
              <w:spacing w:after="0"/>
              <w:rPr>
                <w:sz w:val="20"/>
                <w:szCs w:val="20"/>
                <w:color w:val="auto"/>
              </w:rPr>
            </w:pPr>
            <w:r>
              <w:rPr>
                <w:rFonts w:ascii="Arial" w:cs="Arial" w:eastAsia="Arial" w:hAnsi="Arial"/>
                <w:sz w:val="18"/>
                <w:szCs w:val="18"/>
                <w:color w:val="auto"/>
              </w:rPr>
              <w:t>iii</w:t>
            </w:r>
          </w:p>
        </w:tc>
        <w:tc>
          <w:tcPr>
            <w:tcW w:w="1800" w:type="dxa"/>
            <w:vAlign w:val="bottom"/>
          </w:tcPr>
          <w:p>
            <w:pPr>
              <w:spacing w:after="0"/>
              <w:rPr>
                <w:sz w:val="24"/>
                <w:szCs w:val="24"/>
                <w:color w:val="auto"/>
              </w:rPr>
            </w:pPr>
          </w:p>
        </w:tc>
      </w:tr>
    </w:tbl>
    <w:p>
      <w:pPr>
        <w:sectPr>
          <w:pgSz w:w="11900" w:h="16838" w:orient="portrait"/>
          <w:cols w:equalWidth="0" w:num="1">
            <w:col w:w="10960"/>
          </w:cols>
          <w:pgMar w:left="440" w:top="486" w:right="4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INDENTURE</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NDENTURE</w:t>
      </w:r>
      <w:r>
        <w:rPr>
          <w:rFonts w:ascii="Arial" w:cs="Arial" w:eastAsia="Arial" w:hAnsi="Arial"/>
          <w:sz w:val="18"/>
          <w:szCs w:val="18"/>
          <w:color w:val="auto"/>
        </w:rPr>
        <w:t>, dated as of [•], 20 , among</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[TRUSTEE],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for its lawful corporate purposes, the Company has duly authorized the execution and delivery of this Indenture to provide for the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of debt securities (hereinafter referred to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premises and the purchase of the Securities by the holders thereof, it is mutually covenanted and agreed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for the equal and ratable benefit of the holders of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Definitions of Terms.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486" w:right="459" w:bottom="1440" w:gutter="0" w:footer="0" w:header="0"/>
        </w:sectPr>
      </w:pPr>
    </w:p>
    <w:bookmarkStart w:id="65" w:name="page66"/>
    <w:bookmarkEnd w:id="65"/>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NGM Biopharmaceuticals,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left="4" w:right="2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49"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given</w:t>
      </w:r>
      <w:r>
        <w:rPr>
          <w:rFonts w:ascii="Arial" w:cs="Arial" w:eastAsia="Arial" w:hAnsi="Arial"/>
          <w:sz w:val="16"/>
          <w:szCs w:val="16"/>
          <w:color w:val="auto"/>
        </w:rPr>
        <w:t>”, “</w:t>
      </w:r>
      <w:r>
        <w:rPr>
          <w:rFonts w:ascii="Arial" w:cs="Arial" w:eastAsia="Arial" w:hAnsi="Arial"/>
          <w:sz w:val="16"/>
          <w:szCs w:val="16"/>
          <w:b w:val="1"/>
          <w:bCs w:val="1"/>
          <w:i w:val="1"/>
          <w:iCs w:val="1"/>
          <w:color w:val="auto"/>
        </w:rPr>
        <w:t>mailed</w:t>
      </w:r>
      <w:r>
        <w:rPr>
          <w:rFonts w:ascii="Arial" w:cs="Arial" w:eastAsia="Arial" w:hAnsi="Arial"/>
          <w:sz w:val="16"/>
          <w:szCs w:val="16"/>
          <w:color w:val="auto"/>
        </w:rPr>
        <w:t>”, “</w:t>
      </w:r>
      <w:r>
        <w:rPr>
          <w:rFonts w:ascii="Arial" w:cs="Arial" w:eastAsia="Arial" w:hAnsi="Arial"/>
          <w:sz w:val="16"/>
          <w:szCs w:val="16"/>
          <w:b w:val="1"/>
          <w:bCs w:val="1"/>
          <w:i w:val="1"/>
          <w:iCs w:val="1"/>
          <w:color w:val="auto"/>
        </w:rPr>
        <w:t>notify</w:t>
      </w:r>
      <w:r>
        <w:rPr>
          <w:rFonts w:ascii="Arial" w:cs="Arial" w:eastAsia="Arial" w:hAnsi="Arial"/>
          <w:sz w:val="16"/>
          <w:szCs w:val="16"/>
          <w:color w:val="auto"/>
        </w:rPr>
        <w:t>” or “</w:t>
      </w:r>
      <w:r>
        <w:rPr>
          <w:rFonts w:ascii="Arial" w:cs="Arial" w:eastAsia="Arial" w:hAnsi="Arial"/>
          <w:sz w:val="16"/>
          <w:szCs w:val="16"/>
          <w:b w:val="1"/>
          <w:bCs w:val="1"/>
          <w:i w:val="1"/>
          <w:iCs w:val="1"/>
          <w:color w:val="auto"/>
        </w:rPr>
        <w:t>sent</w:t>
      </w:r>
      <w:r>
        <w:rPr>
          <w:rFonts w:ascii="Arial" w:cs="Arial" w:eastAsia="Arial" w:hAnsi="Arial"/>
          <w:sz w:val="16"/>
          <w:szCs w:val="16"/>
          <w:color w:val="auto"/>
        </w:rPr>
        <w:t>” with respect to any notice to be given to a Securityholder pursuant to this Indenture, shall mean notice</w:t>
      </w:r>
    </w:p>
    <w:p>
      <w:pPr>
        <w:spacing w:after="0" w:line="46" w:lineRule="exact"/>
        <w:rPr>
          <w:sz w:val="20"/>
          <w:szCs w:val="20"/>
          <w:color w:val="auto"/>
        </w:rPr>
      </w:pPr>
    </w:p>
    <w:p>
      <w:pPr>
        <w:ind w:left="4" w:right="60" w:hanging="4"/>
        <w:spacing w:after="0" w:line="253"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93"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left="4" w:right="5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490" w:right="539" w:bottom="1440" w:gutter="0" w:footer="0" w:header="0"/>
        </w:sectPr>
      </w:pPr>
    </w:p>
    <w:bookmarkStart w:id="66" w:name="page67"/>
    <w:bookmarkEnd w:id="66"/>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490" w:right="439" w:bottom="1440" w:gutter="0" w:footer="0" w:header="0"/>
        </w:sectPr>
      </w:pPr>
    </w:p>
    <w:bookmarkStart w:id="67" w:name="page68"/>
    <w:bookmarkEnd w:id="67"/>
    <w:p>
      <w:pPr>
        <w:ind w:left="4"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 and, subject to the provisions of Article Seven, shall also include its successors and assigns, and, if at any time there is more than one Person acting in such capacity hereunder,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shall mean each such Person. The term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used with respect to a particular series of the Securities shall mean the trustee with respect to that series.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 L. 107-56, as amended and signed into law October 26, 2001.</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 Designation and Terms of Securities</w:t>
      </w:r>
      <w:r>
        <w:rPr>
          <w:rFonts w:ascii="Arial" w:cs="Arial" w:eastAsia="Arial" w:hAnsi="Arial"/>
          <w:sz w:val="18"/>
          <w:szCs w:val="18"/>
          <w:color w:val="auto"/>
        </w:rPr>
        <w:t>.</w:t>
      </w:r>
    </w:p>
    <w:p>
      <w:pPr>
        <w:spacing w:after="0" w:line="121" w:lineRule="exact"/>
        <w:rPr>
          <w:sz w:val="20"/>
          <w:szCs w:val="20"/>
          <w:color w:val="auto"/>
        </w:rPr>
      </w:pPr>
    </w:p>
    <w:p>
      <w:pPr>
        <w:jc w:val="both"/>
        <w:ind w:left="4" w:hanging="4"/>
        <w:spacing w:after="0" w:line="301" w:lineRule="auto"/>
        <w:tabs>
          <w:tab w:leader="none" w:pos="259"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7" w:lineRule="exact"/>
        <w:rPr>
          <w:sz w:val="20"/>
          <w:szCs w:val="20"/>
          <w:color w:val="auto"/>
        </w:rPr>
      </w:pPr>
    </w:p>
    <w:p>
      <w:pPr>
        <w:ind w:left="264" w:hanging="264"/>
        <w:spacing w:after="0"/>
        <w:tabs>
          <w:tab w:leader="none" w:pos="26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b w:val="1"/>
          <w:bCs w:val="1"/>
          <w:color w:val="auto"/>
        </w:rPr>
      </w:pPr>
    </w:p>
    <w:p>
      <w:pPr>
        <w:ind w:left="4" w:hanging="4"/>
        <w:spacing w:after="0" w:line="308" w:lineRule="auto"/>
        <w:tabs>
          <w:tab w:leader="none" w:pos="259"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46" w:lineRule="exact"/>
        <w:rPr>
          <w:rFonts w:ascii="Arial" w:cs="Arial" w:eastAsia="Arial" w:hAnsi="Arial"/>
          <w:sz w:val="17"/>
          <w:szCs w:val="17"/>
          <w:b w:val="1"/>
          <w:bCs w:val="1"/>
          <w:color w:val="auto"/>
        </w:rPr>
      </w:pPr>
    </w:p>
    <w:p>
      <w:pPr>
        <w:ind w:left="264" w:hanging="264"/>
        <w:spacing w:after="0"/>
        <w:tabs>
          <w:tab w:leader="none" w:pos="26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maturity date or dates on which the principal of the Securities of the series is payable;</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whether or not the Securities will be secured or unsecured, and the terms of any secured debt;</w:t>
      </w:r>
    </w:p>
    <w:p>
      <w:pPr>
        <w:spacing w:after="0" w:line="225" w:lineRule="exact"/>
        <w:rPr>
          <w:rFonts w:ascii="Arial" w:cs="Arial" w:eastAsia="Arial" w:hAnsi="Arial"/>
          <w:sz w:val="18"/>
          <w:szCs w:val="18"/>
          <w:b w:val="1"/>
          <w:bCs w:val="1"/>
          <w:color w:val="auto"/>
        </w:rPr>
      </w:pPr>
    </w:p>
    <w:p>
      <w:pPr>
        <w:ind w:left="4" w:right="940" w:hanging="4"/>
        <w:spacing w:after="0" w:line="277" w:lineRule="auto"/>
        <w:tabs>
          <w:tab w:leader="none" w:pos="25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whether the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b w:val="1"/>
          <w:bCs w:val="1"/>
          <w:color w:val="auto"/>
        </w:rPr>
      </w:pPr>
    </w:p>
    <w:p>
      <w:pPr>
        <w:ind w:left="4" w:right="200" w:hanging="4"/>
        <w:spacing w:after="0" w:line="259" w:lineRule="auto"/>
        <w:tabs>
          <w:tab w:leader="none" w:pos="25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490" w:right="479" w:bottom="1440" w:gutter="0" w:footer="0" w:header="0"/>
        </w:sectPr>
      </w:pPr>
    </w:p>
    <w:bookmarkStart w:id="68" w:name="page69"/>
    <w:bookmarkEnd w:id="68"/>
    <w:p>
      <w:pPr>
        <w:ind w:left="4" w:right="200" w:hanging="4"/>
        <w:spacing w:after="0" w:line="308" w:lineRule="auto"/>
        <w:tabs>
          <w:tab w:leader="none" w:pos="259"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b w:val="1"/>
          <w:bCs w:val="1"/>
          <w:color w:val="auto"/>
        </w:rPr>
      </w:pPr>
    </w:p>
    <w:p>
      <w:pPr>
        <w:ind w:left="344" w:hanging="344"/>
        <w:spacing w:after="0"/>
        <w:tabs>
          <w:tab w:leader="none" w:pos="344"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Company’s right, if any, to defer the payment of interest and the maximum length of any such deferral period;</w:t>
      </w:r>
    </w:p>
    <w:p>
      <w:pPr>
        <w:spacing w:after="0" w:line="225" w:lineRule="exact"/>
        <w:rPr>
          <w:rFonts w:ascii="Arial" w:cs="Arial" w:eastAsia="Arial" w:hAnsi="Arial"/>
          <w:sz w:val="18"/>
          <w:szCs w:val="18"/>
          <w:b w:val="1"/>
          <w:bCs w:val="1"/>
          <w:color w:val="auto"/>
        </w:rPr>
      </w:pPr>
    </w:p>
    <w:p>
      <w:pPr>
        <w:ind w:left="4" w:right="180" w:hanging="4"/>
        <w:spacing w:after="0" w:line="342" w:lineRule="auto"/>
        <w:tabs>
          <w:tab w:leader="none" w:pos="339"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23" w:lineRule="exact"/>
        <w:rPr>
          <w:rFonts w:ascii="Arial" w:cs="Arial" w:eastAsia="Arial" w:hAnsi="Arial"/>
          <w:sz w:val="16"/>
          <w:szCs w:val="16"/>
          <w:b w:val="1"/>
          <w:bCs w:val="1"/>
          <w:color w:val="auto"/>
        </w:rPr>
      </w:pPr>
    </w:p>
    <w:p>
      <w:pPr>
        <w:jc w:val="both"/>
        <w:ind w:left="4" w:right="20" w:hanging="4"/>
        <w:spacing w:after="0" w:line="263"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83" w:lineRule="exact"/>
        <w:rPr>
          <w:rFonts w:ascii="Arial" w:cs="Arial" w:eastAsia="Arial" w:hAnsi="Arial"/>
          <w:sz w:val="18"/>
          <w:szCs w:val="18"/>
          <w:b w:val="1"/>
          <w:bCs w:val="1"/>
          <w:color w:val="auto"/>
        </w:rPr>
      </w:pPr>
    </w:p>
    <w:p>
      <w:pPr>
        <w:ind w:left="4" w:right="180"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denominations in which the Securities of the series shall be issuable, if other than denominations of one thousand U.S. dollars ($1,000) or any integral multiple thereof;</w:t>
      </w:r>
    </w:p>
    <w:p>
      <w:pPr>
        <w:spacing w:after="0" w:line="170" w:lineRule="exact"/>
        <w:rPr>
          <w:rFonts w:ascii="Arial" w:cs="Arial" w:eastAsia="Arial" w:hAnsi="Arial"/>
          <w:sz w:val="18"/>
          <w:szCs w:val="18"/>
          <w:b w:val="1"/>
          <w:bCs w:val="1"/>
          <w:color w:val="auto"/>
        </w:rPr>
      </w:pPr>
    </w:p>
    <w:p>
      <w:pPr>
        <w:jc w:val="both"/>
        <w:ind w:left="4" w:right="400" w:hanging="4"/>
        <w:spacing w:after="0" w:line="342" w:lineRule="auto"/>
        <w:tabs>
          <w:tab w:leader="none" w:pos="349"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23" w:lineRule="exact"/>
        <w:rPr>
          <w:rFonts w:ascii="Arial" w:cs="Arial" w:eastAsia="Arial" w:hAnsi="Arial"/>
          <w:sz w:val="16"/>
          <w:szCs w:val="16"/>
          <w:b w:val="1"/>
          <w:bCs w:val="1"/>
          <w:color w:val="auto"/>
        </w:rPr>
      </w:pPr>
    </w:p>
    <w:p>
      <w:pPr>
        <w:jc w:val="both"/>
        <w:ind w:left="4" w:right="280" w:hanging="4"/>
        <w:spacing w:after="0" w:line="263"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b w:val="1"/>
          <w:bCs w:val="1"/>
          <w:color w:val="auto"/>
        </w:rPr>
      </w:pPr>
    </w:p>
    <w:p>
      <w:pPr>
        <w:ind w:left="4" w:hanging="4"/>
        <w:spacing w:after="0" w:line="25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7" w:lineRule="exact"/>
        <w:rPr>
          <w:rFonts w:ascii="Arial" w:cs="Arial" w:eastAsia="Arial" w:hAnsi="Arial"/>
          <w:sz w:val="18"/>
          <w:szCs w:val="18"/>
          <w:b w:val="1"/>
          <w:bCs w:val="1"/>
          <w:color w:val="auto"/>
        </w:rPr>
      </w:pPr>
    </w:p>
    <w:p>
      <w:pPr>
        <w:ind w:left="4"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b w:val="1"/>
          <w:bCs w:val="1"/>
          <w:color w:val="auto"/>
        </w:rPr>
      </w:pPr>
    </w:p>
    <w:p>
      <w:pPr>
        <w:ind w:left="4" w:right="260"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covenants applicable to the series of Securities being issued, including, among others, the consolidation, merger or sale covenant;</w:t>
      </w:r>
    </w:p>
    <w:p>
      <w:pPr>
        <w:spacing w:after="0" w:line="170" w:lineRule="exact"/>
        <w:rPr>
          <w:rFonts w:ascii="Arial" w:cs="Arial" w:eastAsia="Arial" w:hAnsi="Arial"/>
          <w:sz w:val="18"/>
          <w:szCs w:val="18"/>
          <w:b w:val="1"/>
          <w:bCs w:val="1"/>
          <w:color w:val="auto"/>
        </w:rPr>
      </w:pPr>
    </w:p>
    <w:p>
      <w:pPr>
        <w:ind w:left="4" w:right="260"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70" w:lineRule="exact"/>
        <w:rPr>
          <w:rFonts w:ascii="Arial" w:cs="Arial" w:eastAsia="Arial" w:hAnsi="Arial"/>
          <w:sz w:val="18"/>
          <w:szCs w:val="18"/>
          <w:b w:val="1"/>
          <w:bCs w:val="1"/>
          <w:color w:val="auto"/>
        </w:rPr>
      </w:pPr>
    </w:p>
    <w:p>
      <w:pPr>
        <w:ind w:left="344" w:hanging="344"/>
        <w:spacing w:after="0"/>
        <w:tabs>
          <w:tab w:leader="none" w:pos="344"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b w:val="1"/>
          <w:bCs w:val="1"/>
          <w:color w:val="auto"/>
        </w:rPr>
      </w:pPr>
    </w:p>
    <w:p>
      <w:pPr>
        <w:ind w:left="344" w:hanging="344"/>
        <w:spacing w:after="0"/>
        <w:tabs>
          <w:tab w:leader="none" w:pos="344"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satisfaction and discharge of this Indenture;</w:t>
      </w:r>
    </w:p>
    <w:p>
      <w:pPr>
        <w:spacing w:after="0" w:line="225" w:lineRule="exact"/>
        <w:rPr>
          <w:rFonts w:ascii="Arial" w:cs="Arial" w:eastAsia="Arial" w:hAnsi="Arial"/>
          <w:sz w:val="18"/>
          <w:szCs w:val="18"/>
          <w:b w:val="1"/>
          <w:bCs w:val="1"/>
          <w:color w:val="auto"/>
        </w:rPr>
      </w:pPr>
    </w:p>
    <w:p>
      <w:pPr>
        <w:ind w:left="4" w:right="460"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the modification of this Indenture both with and without the consent of Securityholders of Securities issued under this Indenture;</w:t>
      </w:r>
    </w:p>
    <w:p>
      <w:pPr>
        <w:spacing w:after="0" w:line="170" w:lineRule="exact"/>
        <w:rPr>
          <w:rFonts w:ascii="Arial" w:cs="Arial" w:eastAsia="Arial" w:hAnsi="Arial"/>
          <w:sz w:val="18"/>
          <w:szCs w:val="18"/>
          <w:b w:val="1"/>
          <w:bCs w:val="1"/>
          <w:color w:val="auto"/>
        </w:rPr>
      </w:pPr>
    </w:p>
    <w:p>
      <w:pPr>
        <w:ind w:left="344" w:hanging="344"/>
        <w:spacing w:after="0"/>
        <w:tabs>
          <w:tab w:leader="none" w:pos="344"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currency of payment of Securities if other than U.S. dollars and the manner of determining the equivalent amount in U.S. dollars;</w:t>
      </w:r>
    </w:p>
    <w:p>
      <w:pPr>
        <w:spacing w:after="0" w:line="225" w:lineRule="exact"/>
        <w:rPr>
          <w:rFonts w:ascii="Arial" w:cs="Arial" w:eastAsia="Arial" w:hAnsi="Arial"/>
          <w:sz w:val="18"/>
          <w:szCs w:val="18"/>
          <w:b w:val="1"/>
          <w:bCs w:val="1"/>
          <w:color w:val="auto"/>
        </w:rPr>
      </w:pPr>
    </w:p>
    <w:p>
      <w:pPr>
        <w:ind w:left="4" w:right="80" w:hanging="4"/>
        <w:spacing w:after="0" w:line="277" w:lineRule="auto"/>
        <w:tabs>
          <w:tab w:leader="none" w:pos="349"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69" w:name="page70"/>
    <w:bookmarkEnd w:id="69"/>
    <w:p>
      <w:pPr>
        <w:ind w:left="4" w:right="580" w:hanging="4"/>
        <w:spacing w:after="0" w:line="308" w:lineRule="auto"/>
        <w:tabs>
          <w:tab w:leader="none" w:pos="349"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terms and conditions, if any, upon which the Company shall pay amounts in addition to the stated interest, premium, if any and principal amounts of the Securities of the series to any Securityholder that is not a “</w:t>
      </w:r>
      <w:r>
        <w:rPr>
          <w:rFonts w:ascii="Arial" w:cs="Arial" w:eastAsia="Arial" w:hAnsi="Arial"/>
          <w:sz w:val="17"/>
          <w:szCs w:val="17"/>
          <w:b w:val="1"/>
          <w:bCs w:val="1"/>
          <w:i w:val="1"/>
          <w:iCs w:val="1"/>
          <w:color w:val="auto"/>
        </w:rPr>
        <w:t>United States person</w:t>
      </w:r>
      <w:r>
        <w:rPr>
          <w:rFonts w:ascii="Arial" w:cs="Arial" w:eastAsia="Arial" w:hAnsi="Arial"/>
          <w:sz w:val="17"/>
          <w:szCs w:val="17"/>
          <w:color w:val="auto"/>
        </w:rPr>
        <w:t>” for federal tax purposes;</w:t>
      </w:r>
    </w:p>
    <w:p>
      <w:pPr>
        <w:spacing w:after="0" w:line="146" w:lineRule="exact"/>
        <w:rPr>
          <w:rFonts w:ascii="Arial" w:cs="Arial" w:eastAsia="Arial" w:hAnsi="Arial"/>
          <w:sz w:val="17"/>
          <w:szCs w:val="17"/>
          <w:b w:val="1"/>
          <w:bCs w:val="1"/>
          <w:color w:val="auto"/>
        </w:rPr>
      </w:pPr>
    </w:p>
    <w:p>
      <w:pPr>
        <w:ind w:left="344" w:hanging="344"/>
        <w:spacing w:after="0"/>
        <w:tabs>
          <w:tab w:leader="none" w:pos="344"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any restrictions on transfer, sale or assignment of the Securities of the series; and</w:t>
      </w:r>
    </w:p>
    <w:p>
      <w:pPr>
        <w:spacing w:after="0" w:line="225" w:lineRule="exact"/>
        <w:rPr>
          <w:rFonts w:ascii="Arial" w:cs="Arial" w:eastAsia="Arial" w:hAnsi="Arial"/>
          <w:sz w:val="18"/>
          <w:szCs w:val="18"/>
          <w:b w:val="1"/>
          <w:bCs w:val="1"/>
          <w:color w:val="auto"/>
        </w:rPr>
      </w:pPr>
    </w:p>
    <w:p>
      <w:pPr>
        <w:ind w:left="4" w:right="220" w:hanging="4"/>
        <w:spacing w:after="0" w:line="277" w:lineRule="auto"/>
        <w:tabs>
          <w:tab w:leader="none" w:pos="349"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70"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 Form of Securities and Trustee’s Certificate.</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2.03 Denominations: Provisions for Payment.</w:t>
      </w:r>
    </w:p>
    <w:p>
      <w:pPr>
        <w:spacing w:after="0" w:line="121"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95"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sectPr>
      </w:pPr>
    </w:p>
    <w:bookmarkStart w:id="70" w:name="page71"/>
    <w:bookmarkEnd w:id="70"/>
    <w:p>
      <w:pPr>
        <w:jc w:val="both"/>
        <w:ind w:left="4"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i w:val="1"/>
          <w:i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ind w:left="4" w:right="20" w:hanging="4"/>
        <w:spacing w:after="0" w:line="286" w:lineRule="auto"/>
        <w:tabs>
          <w:tab w:leader="none" w:pos="259"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73" w:lineRule="exact"/>
        <w:rPr>
          <w:rFonts w:ascii="Arial" w:cs="Arial" w:eastAsia="Arial" w:hAnsi="Arial"/>
          <w:sz w:val="16"/>
          <w:szCs w:val="16"/>
          <w:b w:val="1"/>
          <w:bCs w:val="1"/>
          <w:color w:val="auto"/>
        </w:rPr>
      </w:pPr>
    </w:p>
    <w:p>
      <w:pPr>
        <w:ind w:left="4" w:right="60" w:hanging="4"/>
        <w:spacing w:after="0" w:line="311" w:lineRule="auto"/>
        <w:tabs>
          <w:tab w:leader="none" w:pos="259"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9"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2.04 Execution and Authentications.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Securities shall be signed on behalf of the Company by one of its Officers. Signatures may be in the form of a manual or facsimile signature.</w:t>
      </w:r>
    </w:p>
    <w:p>
      <w:pPr>
        <w:spacing w:after="0" w:line="23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71" w:name="page72"/>
    <w:bookmarkEnd w:id="71"/>
    <w:p>
      <w:pPr>
        <w:jc w:val="both"/>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7" w:lineRule="exact"/>
        <w:rPr>
          <w:sz w:val="20"/>
          <w:szCs w:val="20"/>
          <w:color w:val="auto"/>
        </w:rPr>
      </w:pPr>
    </w:p>
    <w:p>
      <w:pPr>
        <w:ind w:left="4" w:right="26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2.05 Registration of Transfer and Exchange.</w:t>
      </w:r>
    </w:p>
    <w:p>
      <w:pPr>
        <w:spacing w:after="0" w:line="121" w:lineRule="exact"/>
        <w:rPr>
          <w:sz w:val="20"/>
          <w:szCs w:val="20"/>
          <w:color w:val="auto"/>
        </w:rPr>
      </w:pPr>
    </w:p>
    <w:p>
      <w:pPr>
        <w:ind w:left="4" w:right="20" w:hanging="4"/>
        <w:spacing w:after="0" w:line="296" w:lineRule="auto"/>
        <w:tabs>
          <w:tab w:leader="none" w:pos="259"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1" w:lineRule="exact"/>
        <w:rPr>
          <w:rFonts w:ascii="Arial" w:cs="Arial" w:eastAsia="Arial" w:hAnsi="Arial"/>
          <w:sz w:val="16"/>
          <w:szCs w:val="16"/>
          <w:b w:val="1"/>
          <w:bCs w:val="1"/>
          <w:color w:val="auto"/>
        </w:rPr>
      </w:pPr>
    </w:p>
    <w:p>
      <w:pPr>
        <w:ind w:left="264" w:hanging="264"/>
        <w:spacing w:after="0"/>
        <w:tabs>
          <w:tab w:leader="none" w:pos="264"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The Company shall keep, or cause to be kept, at its office or agency designated for such purpose a register or registers (herein referred to as the</w:t>
      </w:r>
    </w:p>
    <w:p>
      <w:pPr>
        <w:spacing w:after="0" w:line="46" w:lineRule="exact"/>
        <w:rPr>
          <w:sz w:val="20"/>
          <w:szCs w:val="20"/>
          <w:color w:val="auto"/>
        </w:rPr>
      </w:pPr>
    </w:p>
    <w:p>
      <w:pPr>
        <w:ind w:left="4"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w:t>
      </w:r>
    </w:p>
    <w:p>
      <w:pPr>
        <w:spacing w:after="0" w:line="193"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initially appoints the Trustee as Security Registrar for each series of Securities.</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left="4" w:hanging="4"/>
        <w:spacing w:after="0" w:line="257" w:lineRule="auto"/>
        <w:tabs>
          <w:tab w:leader="none" w:pos="249"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7" w:lineRule="exact"/>
        <w:rPr>
          <w:rFonts w:ascii="Arial" w:cs="Arial" w:eastAsia="Arial" w:hAnsi="Arial"/>
          <w:sz w:val="18"/>
          <w:szCs w:val="18"/>
          <w:b w:val="1"/>
          <w:bCs w:val="1"/>
          <w:color w:val="auto"/>
        </w:rPr>
      </w:pPr>
    </w:p>
    <w:p>
      <w:pPr>
        <w:ind w:left="4" w:right="100" w:hanging="4"/>
        <w:spacing w:after="0" w:line="255" w:lineRule="auto"/>
        <w:tabs>
          <w:tab w:leader="none" w:pos="269"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490" w:right="479" w:bottom="1440" w:gutter="0" w:footer="0" w:header="0"/>
        </w:sectPr>
      </w:pPr>
    </w:p>
    <w:bookmarkStart w:id="72" w:name="page73"/>
    <w:bookmarkEnd w:id="7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2.06 Temporary Securities.</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2.07 Mutilated, Destroyed, Lost or Stolen Securities.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73" w:name="page74"/>
    <w:bookmarkEnd w:id="7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2.08 Cancellation.</w:t>
      </w:r>
    </w:p>
    <w:p>
      <w:pPr>
        <w:spacing w:after="0" w:line="121"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2.09 Benefits of Indenture.</w:t>
      </w:r>
    </w:p>
    <w:p>
      <w:pPr>
        <w:spacing w:after="0" w:line="121"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2.10 Authenticating Agent.</w:t>
      </w:r>
    </w:p>
    <w:p>
      <w:pPr>
        <w:spacing w:after="0" w:line="121"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2.11 Global Securities.</w:t>
      </w:r>
    </w:p>
    <w:p>
      <w:pPr>
        <w:spacing w:after="0" w:line="121" w:lineRule="exact"/>
        <w:rPr>
          <w:sz w:val="20"/>
          <w:szCs w:val="20"/>
          <w:color w:val="auto"/>
        </w:rPr>
      </w:pPr>
    </w:p>
    <w:p>
      <w:pPr>
        <w:ind w:left="4" w:hanging="4"/>
        <w:spacing w:after="0" w:line="272" w:lineRule="auto"/>
        <w:tabs>
          <w:tab w:leader="none" w:pos="259"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486" w:right="459" w:bottom="1440" w:gutter="0" w:footer="0" w:header="0"/>
        </w:sectPr>
      </w:pPr>
    </w:p>
    <w:bookmarkStart w:id="74" w:name="page75"/>
    <w:bookmarkEnd w:id="74"/>
    <w:p>
      <w:pPr>
        <w:ind w:left="4" w:right="40" w:hanging="4"/>
        <w:spacing w:after="0" w:line="263" w:lineRule="auto"/>
        <w:tabs>
          <w:tab w:leader="none" w:pos="269"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5" w:lineRule="exact"/>
        <w:rPr>
          <w:rFonts w:ascii="Arial" w:cs="Arial" w:eastAsia="Arial" w:hAnsi="Arial"/>
          <w:sz w:val="18"/>
          <w:szCs w:val="18"/>
          <w:b w:val="1"/>
          <w:bCs w:val="1"/>
          <w:color w:val="auto"/>
        </w:rPr>
      </w:pPr>
    </w:p>
    <w:p>
      <w:pPr>
        <w:ind w:left="4" w:hanging="4"/>
        <w:spacing w:after="0" w:line="285" w:lineRule="auto"/>
        <w:tabs>
          <w:tab w:leader="none" w:pos="249"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2.12 CUSIP Numbers.</w:t>
      </w:r>
    </w:p>
    <w:p>
      <w:pPr>
        <w:spacing w:after="0" w:line="121" w:lineRule="exact"/>
        <w:rPr>
          <w:sz w:val="20"/>
          <w:szCs w:val="20"/>
          <w:color w:val="auto"/>
        </w:rPr>
      </w:pPr>
    </w:p>
    <w:p>
      <w:pPr>
        <w:ind w:left="4" w:right="140"/>
        <w:spacing w:after="0" w:line="275" w:lineRule="auto"/>
        <w:rPr>
          <w:sz w:val="20"/>
          <w:szCs w:val="20"/>
          <w:color w:val="auto"/>
        </w:rPr>
      </w:pPr>
      <w:r>
        <w:rPr>
          <w:rFonts w:ascii="Arial" w:cs="Arial" w:eastAsia="Arial" w:hAnsi="Arial"/>
          <w:sz w:val="17"/>
          <w:szCs w:val="17"/>
          <w:color w:val="auto"/>
        </w:rPr>
        <w:t>The Company in issuing the Securities may use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 (if then generally in use), and, if so, the Trustee shall use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w:t>
      </w:r>
    </w:p>
    <w:p>
      <w:pPr>
        <w:spacing w:after="0" w:line="38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3.01 Redemption</w:t>
      </w:r>
      <w:r>
        <w:rPr>
          <w:rFonts w:ascii="Arial" w:cs="Arial" w:eastAsia="Arial" w:hAnsi="Arial"/>
          <w:sz w:val="18"/>
          <w:szCs w:val="18"/>
          <w:color w:val="auto"/>
        </w:rPr>
        <w:t>.</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3.02 Notice of Redemption.</w:t>
      </w:r>
    </w:p>
    <w:p>
      <w:pPr>
        <w:spacing w:after="0" w:line="121" w:lineRule="exact"/>
        <w:rPr>
          <w:sz w:val="20"/>
          <w:szCs w:val="20"/>
          <w:color w:val="auto"/>
        </w:rPr>
      </w:pPr>
    </w:p>
    <w:p>
      <w:pPr>
        <w:ind w:left="4" w:right="120" w:hanging="4"/>
        <w:spacing w:after="0" w:line="311" w:lineRule="auto"/>
        <w:tabs>
          <w:tab w:leader="none" w:pos="259"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490" w:right="479" w:bottom="1440" w:gutter="0" w:footer="0" w:header="0"/>
        </w:sectPr>
      </w:pPr>
    </w:p>
    <w:bookmarkStart w:id="75" w:name="page76"/>
    <w:bookmarkEnd w:id="75"/>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6"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left="4" w:hanging="4"/>
        <w:spacing w:after="0" w:line="287" w:lineRule="auto"/>
        <w:tabs>
          <w:tab w:leader="none" w:pos="269"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3.03 Payment Upon Redemption</w:t>
      </w:r>
      <w:r>
        <w:rPr>
          <w:rFonts w:ascii="Arial" w:cs="Arial" w:eastAsia="Arial" w:hAnsi="Arial"/>
          <w:sz w:val="18"/>
          <w:szCs w:val="18"/>
          <w:color w:val="auto"/>
        </w:rPr>
        <w:t>.</w:t>
      </w:r>
    </w:p>
    <w:p>
      <w:pPr>
        <w:spacing w:after="0" w:line="121" w:lineRule="exact"/>
        <w:rPr>
          <w:sz w:val="20"/>
          <w:szCs w:val="20"/>
          <w:color w:val="auto"/>
        </w:rPr>
      </w:pPr>
    </w:p>
    <w:p>
      <w:pPr>
        <w:ind w:left="4" w:right="20" w:hanging="4"/>
        <w:spacing w:after="0" w:line="290" w:lineRule="auto"/>
        <w:tabs>
          <w:tab w:leader="none" w:pos="259"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490" w:right="459" w:bottom="1440" w:gutter="0" w:footer="0" w:header="0"/>
        </w:sectPr>
      </w:pPr>
    </w:p>
    <w:bookmarkStart w:id="76" w:name="page77"/>
    <w:bookmarkEnd w:id="76"/>
    <w:p>
      <w:pPr>
        <w:ind w:left="264" w:hanging="264"/>
        <w:spacing w:after="0"/>
        <w:tabs>
          <w:tab w:leader="none" w:pos="264"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Upon presentation of any Security of such series that is to be redeemed in part only, the Company shall execute and the Trustee shall authenticate</w:t>
      </w:r>
    </w:p>
    <w:p>
      <w:pPr>
        <w:spacing w:after="0" w:line="46" w:lineRule="exact"/>
        <w:rPr>
          <w:rFonts w:ascii="Arial" w:cs="Arial" w:eastAsia="Arial" w:hAnsi="Arial"/>
          <w:sz w:val="16"/>
          <w:szCs w:val="16"/>
          <w:b w:val="1"/>
          <w:bCs w:val="1"/>
          <w:color w:val="auto"/>
        </w:rPr>
      </w:pPr>
    </w:p>
    <w:p>
      <w:pPr>
        <w:ind w:left="4" w:right="2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3.04 Sinking Fund.</w:t>
      </w:r>
    </w:p>
    <w:p>
      <w:pPr>
        <w:spacing w:after="0" w:line="121" w:lineRule="exact"/>
        <w:rPr>
          <w:sz w:val="20"/>
          <w:szCs w:val="20"/>
          <w:color w:val="auto"/>
        </w:rPr>
      </w:pPr>
    </w:p>
    <w:p>
      <w:pPr>
        <w:ind w:left="4" w:right="300"/>
        <w:spacing w:after="0" w:line="258"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minimum amount of any sinking fund payment provided for by the terms of Securities of any series is herein referred to as a “</w:t>
      </w:r>
      <w:r>
        <w:rPr>
          <w:rFonts w:ascii="Arial" w:cs="Arial" w:eastAsia="Arial" w:hAnsi="Arial"/>
          <w:sz w:val="16"/>
          <w:szCs w:val="16"/>
          <w:b w:val="1"/>
          <w:bCs w:val="1"/>
          <w:i w:val="1"/>
          <w:iCs w:val="1"/>
          <w:color w:val="auto"/>
        </w:rPr>
        <w:t>mandatory sinking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fund payment,</w:t>
      </w:r>
      <w:r>
        <w:rPr>
          <w:rFonts w:ascii="Arial" w:cs="Arial" w:eastAsia="Arial" w:hAnsi="Arial"/>
          <w:sz w:val="16"/>
          <w:szCs w:val="16"/>
          <w:color w:val="auto"/>
        </w:rPr>
        <w:t>” and any payment in excess of such minimum amount provided for by the terms of Securities of any series is herein referred to as 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optional sinking fund payment</w:t>
      </w:r>
      <w:r>
        <w:rPr>
          <w:rFonts w:ascii="Arial" w:cs="Arial" w:eastAsia="Arial" w:hAnsi="Arial"/>
          <w:sz w:val="16"/>
          <w:szCs w:val="16"/>
          <w:color w:val="auto"/>
        </w:rPr>
        <w:t>”. If provided for by the terms of Securities of any series, the cash amount of any sinking fund payment may be subject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reduction as provided in Section 3.05. Each sinking fund payment shall be applied to the redemption of Securities of any series as provided for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terms of Securities of such series.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3.05 Satisfaction of Sinking Fund Payments with Securities.</w:t>
      </w:r>
    </w:p>
    <w:p>
      <w:pPr>
        <w:spacing w:after="0" w:line="121"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3.06 Redemption of Securities for Sinking Fund.</w:t>
      </w:r>
    </w:p>
    <w:p>
      <w:pPr>
        <w:spacing w:after="0" w:line="12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COVENANTS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4.01 Payment of Principal, Premium and Interest.</w:t>
      </w:r>
    </w:p>
    <w:p>
      <w:pPr>
        <w:spacing w:after="0" w:line="12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490" w:right="459" w:bottom="1440" w:gutter="0" w:footer="0" w:header="0"/>
        </w:sectPr>
      </w:pPr>
    </w:p>
    <w:bookmarkStart w:id="77" w:name="page78"/>
    <w:bookmarkEnd w:id="7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4.02 Maintenance of Office or Agency</w:t>
      </w:r>
      <w:r>
        <w:rPr>
          <w:rFonts w:ascii="Arial" w:cs="Arial" w:eastAsia="Arial" w:hAnsi="Arial"/>
          <w:sz w:val="18"/>
          <w:szCs w:val="18"/>
          <w:color w:val="auto"/>
        </w:rPr>
        <w:t>.</w:t>
      </w:r>
    </w:p>
    <w:p>
      <w:pPr>
        <w:spacing w:after="0" w:line="121" w:lineRule="exact"/>
        <w:rPr>
          <w:sz w:val="20"/>
          <w:szCs w:val="20"/>
          <w:color w:val="auto"/>
        </w:rPr>
      </w:pPr>
    </w:p>
    <w:p>
      <w:pPr>
        <w:jc w:val="both"/>
        <w:ind w:left="4" w:right="12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ind w:left="4" w:right="20" w:hanging="4"/>
        <w:spacing w:after="0" w:line="288" w:lineRule="auto"/>
        <w:tabs>
          <w:tab w:leader="none" w:pos="269"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4.03 Paying Agents</w:t>
      </w:r>
      <w:r>
        <w:rPr>
          <w:rFonts w:ascii="Arial" w:cs="Arial" w:eastAsia="Arial" w:hAnsi="Arial"/>
          <w:sz w:val="18"/>
          <w:szCs w:val="18"/>
          <w:color w:val="auto"/>
        </w:rPr>
        <w:t>.</w:t>
      </w:r>
    </w:p>
    <w:p>
      <w:pPr>
        <w:spacing w:after="0" w:line="121" w:lineRule="exact"/>
        <w:rPr>
          <w:sz w:val="20"/>
          <w:szCs w:val="20"/>
          <w:color w:val="auto"/>
        </w:rPr>
      </w:pPr>
    </w:p>
    <w:p>
      <w:pPr>
        <w:jc w:val="both"/>
        <w:ind w:left="4" w:right="180" w:hanging="4"/>
        <w:spacing w:after="0" w:line="263" w:lineRule="auto"/>
        <w:tabs>
          <w:tab w:leader="none" w:pos="259"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6" w:lineRule="exact"/>
        <w:rPr>
          <w:sz w:val="20"/>
          <w:szCs w:val="20"/>
          <w:color w:val="auto"/>
        </w:rPr>
      </w:pPr>
    </w:p>
    <w:p>
      <w:pPr>
        <w:ind w:left="4" w:right="160" w:hanging="4"/>
        <w:spacing w:after="0" w:line="263" w:lineRule="auto"/>
        <w:tabs>
          <w:tab w:leader="none" w:pos="259"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5" w:lineRule="exact"/>
        <w:rPr>
          <w:rFonts w:ascii="Arial" w:cs="Arial" w:eastAsia="Arial" w:hAnsi="Arial"/>
          <w:sz w:val="18"/>
          <w:szCs w:val="18"/>
          <w:b w:val="1"/>
          <w:bCs w:val="1"/>
          <w:color w:val="auto"/>
        </w:rPr>
      </w:pPr>
    </w:p>
    <w:p>
      <w:pPr>
        <w:ind w:left="4" w:hanging="4"/>
        <w:spacing w:after="0" w:line="277" w:lineRule="auto"/>
        <w:tabs>
          <w:tab w:leader="none" w:pos="259"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b w:val="1"/>
          <w:bCs w:val="1"/>
          <w:color w:val="auto"/>
        </w:rPr>
      </w:pPr>
    </w:p>
    <w:p>
      <w:pPr>
        <w:ind w:left="4" w:right="420" w:hanging="4"/>
        <w:spacing w:after="0" w:line="277" w:lineRule="auto"/>
        <w:tabs>
          <w:tab w:leader="none" w:pos="259"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62" w:lineRule="exact"/>
        <w:rPr>
          <w:rFonts w:ascii="Arial" w:cs="Arial" w:eastAsia="Arial" w:hAnsi="Arial"/>
          <w:sz w:val="18"/>
          <w:szCs w:val="18"/>
          <w:b w:val="1"/>
          <w:bCs w:val="1"/>
          <w:color w:val="auto"/>
        </w:rPr>
      </w:pPr>
    </w:p>
    <w:p>
      <w:pPr>
        <w:ind w:left="264" w:hanging="264"/>
        <w:spacing w:after="0"/>
        <w:tabs>
          <w:tab w:leader="none" w:pos="264"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sz w:val="20"/>
          <w:szCs w:val="20"/>
          <w:color w:val="auto"/>
        </w:rPr>
      </w:pPr>
    </w:p>
    <w:p>
      <w:pPr>
        <w:ind w:left="4" w:hanging="4"/>
        <w:spacing w:after="0" w:line="290" w:lineRule="auto"/>
        <w:tabs>
          <w:tab w:leader="none" w:pos="269"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57" w:lineRule="exact"/>
        <w:rPr>
          <w:rFonts w:ascii="Arial" w:cs="Arial" w:eastAsia="Arial" w:hAnsi="Arial"/>
          <w:sz w:val="16"/>
          <w:szCs w:val="16"/>
          <w:b w:val="1"/>
          <w:bCs w:val="1"/>
          <w:color w:val="auto"/>
        </w:rPr>
      </w:pPr>
    </w:p>
    <w:p>
      <w:pPr>
        <w:ind w:left="4" w:hanging="4"/>
        <w:spacing w:after="0" w:line="255" w:lineRule="auto"/>
        <w:tabs>
          <w:tab w:leader="none" w:pos="249"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486" w:right="45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4.04 Appointment to Fill Vacancy in Office of Trustee</w:t>
      </w:r>
      <w:r>
        <w:rPr>
          <w:rFonts w:ascii="Arial" w:cs="Arial" w:eastAsia="Arial" w:hAnsi="Arial"/>
          <w:sz w:val="18"/>
          <w:szCs w:val="18"/>
          <w:color w:val="auto"/>
        </w:rPr>
        <w:t>.</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SECURITYHOLDERS’ LISTS AND REPORTS BY THE COMPANY AND</w:t>
      </w:r>
    </w:p>
    <w:p>
      <w:pPr>
        <w:spacing w:after="0" w:line="225" w:lineRule="exact"/>
        <w:rPr>
          <w:sz w:val="20"/>
          <w:szCs w:val="20"/>
          <w:color w:val="auto"/>
        </w:rPr>
      </w:pPr>
    </w:p>
    <w:p>
      <w:pPr>
        <w:ind w:left="4884"/>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5.01 Company to Furnish Trustee Names and Addresses of Securityholders.</w:t>
      </w:r>
    </w:p>
    <w:p>
      <w:pPr>
        <w:spacing w:after="0" w:line="229" w:lineRule="exact"/>
        <w:rPr>
          <w:sz w:val="20"/>
          <w:szCs w:val="20"/>
          <w:color w:val="auto"/>
        </w:rPr>
      </w:pPr>
    </w:p>
    <w:p>
      <w:pPr>
        <w:ind w:left="4" w:right="100"/>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5.02 Preservation Of Information; Communications With Securityholders.</w:t>
      </w:r>
    </w:p>
    <w:p>
      <w:pPr>
        <w:spacing w:after="0" w:line="121" w:lineRule="exact"/>
        <w:rPr>
          <w:sz w:val="20"/>
          <w:szCs w:val="20"/>
          <w:color w:val="auto"/>
        </w:rPr>
      </w:pPr>
    </w:p>
    <w:p>
      <w:pPr>
        <w:ind w:left="4" w:hanging="4"/>
        <w:spacing w:after="0" w:line="263" w:lineRule="auto"/>
        <w:tabs>
          <w:tab w:leader="none" w:pos="259"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75" w:lineRule="exact"/>
        <w:rPr>
          <w:rFonts w:ascii="Arial" w:cs="Arial" w:eastAsia="Arial" w:hAnsi="Arial"/>
          <w:sz w:val="18"/>
          <w:szCs w:val="18"/>
          <w:b w:val="1"/>
          <w:bCs w:val="1"/>
          <w:color w:val="auto"/>
        </w:rPr>
      </w:pPr>
    </w:p>
    <w:p>
      <w:pPr>
        <w:ind w:left="264" w:hanging="264"/>
        <w:spacing w:after="0"/>
        <w:tabs>
          <w:tab w:leader="none" w:pos="264"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117" w:lineRule="exact"/>
        <w:rPr>
          <w:rFonts w:ascii="Arial" w:cs="Arial" w:eastAsia="Arial" w:hAnsi="Arial"/>
          <w:sz w:val="18"/>
          <w:szCs w:val="18"/>
          <w:b w:val="1"/>
          <w:bCs w:val="1"/>
          <w:color w:val="auto"/>
        </w:rPr>
      </w:pPr>
    </w:p>
    <w:p>
      <w:pPr>
        <w:ind w:left="4" w:right="300" w:hanging="4"/>
        <w:spacing w:after="0" w:line="286" w:lineRule="auto"/>
        <w:tabs>
          <w:tab w:leader="none" w:pos="249"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5.03 Reports by the Company.</w:t>
      </w:r>
    </w:p>
    <w:p>
      <w:pPr>
        <w:spacing w:after="0" w:line="121" w:lineRule="exact"/>
        <w:rPr>
          <w:sz w:val="20"/>
          <w:szCs w:val="20"/>
          <w:color w:val="auto"/>
        </w:rPr>
      </w:pPr>
    </w:p>
    <w:p>
      <w:pPr>
        <w:ind w:left="4" w:hanging="4"/>
        <w:spacing w:after="0" w:line="269" w:lineRule="auto"/>
        <w:tabs>
          <w:tab w:leader="none" w:pos="259"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 however</w:t>
      </w:r>
      <w:r>
        <w:rPr>
          <w:rFonts w:ascii="Arial" w:cs="Arial" w:eastAsia="Arial" w:hAnsi="Arial"/>
          <w:sz w:val="17"/>
          <w:szCs w:val="17"/>
          <w:color w:val="auto"/>
        </w:rPr>
        <w:t>, the Company shall not be required to deliver to the Trustee any correspondence filed with the Commission or any materials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486" w:right="459" w:bottom="1440" w:gutter="0" w:footer="0" w:header="0"/>
        </w:sectPr>
      </w:pPr>
    </w:p>
    <w:bookmarkStart w:id="79" w:name="page80"/>
    <w:bookmarkEnd w:id="79"/>
    <w:p>
      <w:pPr>
        <w:ind w:left="4" w:right="40" w:hanging="4"/>
        <w:spacing w:after="0" w:line="272" w:lineRule="auto"/>
        <w:tabs>
          <w:tab w:leader="none" w:pos="269"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5.04 Reports by the Trustee.</w:t>
      </w:r>
    </w:p>
    <w:p>
      <w:pPr>
        <w:spacing w:after="0" w:line="121" w:lineRule="exact"/>
        <w:rPr>
          <w:sz w:val="20"/>
          <w:szCs w:val="20"/>
          <w:color w:val="auto"/>
        </w:rPr>
      </w:pPr>
    </w:p>
    <w:p>
      <w:pPr>
        <w:ind w:left="4" w:hanging="4"/>
        <w:spacing w:after="0" w:line="277" w:lineRule="auto"/>
        <w:tabs>
          <w:tab w:leader="none" w:pos="259"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62" w:lineRule="exact"/>
        <w:rPr>
          <w:rFonts w:ascii="Arial" w:cs="Arial" w:eastAsia="Arial" w:hAnsi="Arial"/>
          <w:sz w:val="18"/>
          <w:szCs w:val="18"/>
          <w:b w:val="1"/>
          <w:bCs w:val="1"/>
          <w:color w:val="auto"/>
        </w:rPr>
      </w:pPr>
    </w:p>
    <w:p>
      <w:pPr>
        <w:ind w:left="264" w:hanging="264"/>
        <w:spacing w:after="0"/>
        <w:tabs>
          <w:tab w:leader="none" w:pos="264"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Trustee shall comply with Section 313(b) and 313(c) of the Trust Indenture Act.</w:t>
      </w:r>
    </w:p>
    <w:p>
      <w:pPr>
        <w:spacing w:after="0" w:line="117" w:lineRule="exact"/>
        <w:rPr>
          <w:rFonts w:ascii="Arial" w:cs="Arial" w:eastAsia="Arial" w:hAnsi="Arial"/>
          <w:sz w:val="18"/>
          <w:szCs w:val="18"/>
          <w:b w:val="1"/>
          <w:bCs w:val="1"/>
          <w:color w:val="auto"/>
        </w:rPr>
      </w:pPr>
    </w:p>
    <w:p>
      <w:pPr>
        <w:ind w:left="4" w:right="120" w:hanging="4"/>
        <w:spacing w:after="0" w:line="263" w:lineRule="auto"/>
        <w:tabs>
          <w:tab w:leader="none" w:pos="239"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6.01 Events of Default.</w:t>
      </w:r>
    </w:p>
    <w:p>
      <w:pPr>
        <w:spacing w:after="0" w:line="121" w:lineRule="exact"/>
        <w:rPr>
          <w:sz w:val="20"/>
          <w:szCs w:val="20"/>
          <w:color w:val="auto"/>
        </w:rPr>
      </w:pPr>
    </w:p>
    <w:p>
      <w:pPr>
        <w:ind w:left="4" w:right="240" w:hanging="4"/>
        <w:spacing w:after="0" w:line="277" w:lineRule="auto"/>
        <w:tabs>
          <w:tab w:leader="none" w:pos="259"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62" w:lineRule="exact"/>
        <w:rPr>
          <w:sz w:val="20"/>
          <w:szCs w:val="20"/>
          <w:color w:val="auto"/>
        </w:rPr>
      </w:pPr>
    </w:p>
    <w:p>
      <w:pPr>
        <w:ind w:left="4" w:hanging="4"/>
        <w:spacing w:after="0" w:line="311" w:lineRule="auto"/>
        <w:tabs>
          <w:tab w:leader="none" w:pos="259"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valid extension of an interest payment period by the Company in accordance with the terms of any indenture supplemental hereto shall not constitute a default in the payment of interest for this purpose;</w:t>
      </w:r>
    </w:p>
    <w:p>
      <w:pPr>
        <w:spacing w:after="0" w:line="40" w:lineRule="exact"/>
        <w:rPr>
          <w:rFonts w:ascii="Arial" w:cs="Arial" w:eastAsia="Arial" w:hAnsi="Arial"/>
          <w:sz w:val="16"/>
          <w:szCs w:val="16"/>
          <w:b w:val="1"/>
          <w:bCs w:val="1"/>
          <w:color w:val="auto"/>
        </w:rPr>
      </w:pPr>
    </w:p>
    <w:p>
      <w:pPr>
        <w:ind w:left="4" w:right="140" w:hanging="4"/>
        <w:spacing w:after="0" w:line="279" w:lineRule="auto"/>
        <w:tabs>
          <w:tab w:leader="none" w:pos="259"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a valid extension of the maturity of such Securities in accordance with the terms of any indenture supplemental hereto shall not constitute a default in the payment of principal or premium, if any;</w:t>
      </w:r>
    </w:p>
    <w:p>
      <w:pPr>
        <w:spacing w:after="0" w:line="63" w:lineRule="exact"/>
        <w:rPr>
          <w:rFonts w:ascii="Arial" w:cs="Arial" w:eastAsia="Arial" w:hAnsi="Arial"/>
          <w:sz w:val="17"/>
          <w:szCs w:val="17"/>
          <w:b w:val="1"/>
          <w:bCs w:val="1"/>
          <w:color w:val="auto"/>
        </w:rPr>
      </w:pPr>
    </w:p>
    <w:p>
      <w:pPr>
        <w:ind w:left="4" w:right="60" w:hanging="4"/>
        <w:spacing w:after="0" w:line="273" w:lineRule="auto"/>
        <w:tabs>
          <w:tab w:leader="none" w:pos="259"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i w:val="1"/>
          <w:iCs w:val="1"/>
          <w:color w:val="auto"/>
        </w:rPr>
        <w:t>Notice of Default</w:t>
      </w:r>
      <w:r>
        <w:rPr>
          <w:rFonts w:ascii="Arial" w:cs="Arial" w:eastAsia="Arial" w:hAnsi="Arial"/>
          <w:sz w:val="17"/>
          <w:szCs w:val="17"/>
          <w:color w:val="auto"/>
        </w:rPr>
        <w:t>” hereunder, shall have been given to the Company by the Trustee, by registered or certified mail, or to the Company and the Trustee by the holders of at least 25% in principal amount of the Securities of that series at the time Outstanding;</w:t>
      </w:r>
    </w:p>
    <w:p>
      <w:pPr>
        <w:spacing w:after="0" w:line="69" w:lineRule="exact"/>
        <w:rPr>
          <w:rFonts w:ascii="Arial" w:cs="Arial" w:eastAsia="Arial" w:hAnsi="Arial"/>
          <w:sz w:val="17"/>
          <w:szCs w:val="17"/>
          <w:b w:val="1"/>
          <w:bCs w:val="1"/>
          <w:color w:val="auto"/>
        </w:rPr>
      </w:pPr>
    </w:p>
    <w:p>
      <w:pPr>
        <w:ind w:left="4" w:right="180" w:hanging="4"/>
        <w:spacing w:after="0" w:line="263" w:lineRule="auto"/>
        <w:tabs>
          <w:tab w:leader="none" w:pos="259"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490" w:right="479" w:bottom="1440" w:gutter="0" w:footer="0" w:header="0"/>
        </w:sectPr>
      </w:pPr>
    </w:p>
    <w:bookmarkStart w:id="80" w:name="page81"/>
    <w:bookmarkEnd w:id="80"/>
    <w:p>
      <w:pPr>
        <w:ind w:left="264" w:hanging="264"/>
        <w:spacing w:after="0"/>
        <w:tabs>
          <w:tab w:leader="none" w:pos="264"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court of competent jurisdiction enters an order under any Bankruptcy Law that (i) is for relief against the Company in an involuntary case,</w:t>
      </w:r>
    </w:p>
    <w:p>
      <w:pPr>
        <w:spacing w:after="0" w:line="35" w:lineRule="exact"/>
        <w:rPr>
          <w:sz w:val="20"/>
          <w:szCs w:val="20"/>
          <w:color w:val="auto"/>
        </w:rPr>
      </w:pPr>
    </w:p>
    <w:p>
      <w:pPr>
        <w:ind w:left="4" w:right="80" w:hanging="4"/>
        <w:spacing w:after="0" w:line="260" w:lineRule="auto"/>
        <w:tabs>
          <w:tab w:leader="none" w:pos="2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appoints a Custodian of the Company for all or substantially all of its property or (iii) orders the liquidation of the Company, and the order or decree remains unstayed and in effect for 90 days.</w:t>
      </w:r>
    </w:p>
    <w:p>
      <w:pPr>
        <w:spacing w:after="0" w:line="77" w:lineRule="exact"/>
        <w:rPr>
          <w:sz w:val="20"/>
          <w:szCs w:val="20"/>
          <w:color w:val="auto"/>
        </w:rPr>
      </w:pPr>
    </w:p>
    <w:p>
      <w:pPr>
        <w:ind w:left="4" w:right="100" w:hanging="4"/>
        <w:spacing w:after="0" w:line="285" w:lineRule="auto"/>
        <w:tabs>
          <w:tab w:leader="none" w:pos="269"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w:t>
      </w:r>
    </w:p>
    <w:p>
      <w:pPr>
        <w:spacing w:after="0" w:line="1" w:lineRule="exact"/>
        <w:rPr>
          <w:rFonts w:ascii="Arial" w:cs="Arial" w:eastAsia="Arial" w:hAnsi="Arial"/>
          <w:sz w:val="16"/>
          <w:szCs w:val="16"/>
          <w:b w:val="1"/>
          <w:bCs w:val="1"/>
          <w:color w:val="auto"/>
        </w:rPr>
      </w:pPr>
    </w:p>
    <w:p>
      <w:pPr>
        <w:ind w:left="4" w:right="8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7" w:lineRule="exact"/>
        <w:rPr>
          <w:rFonts w:ascii="Arial" w:cs="Arial" w:eastAsia="Arial" w:hAnsi="Arial"/>
          <w:sz w:val="16"/>
          <w:szCs w:val="16"/>
          <w:b w:val="1"/>
          <w:bCs w:val="1"/>
          <w:color w:val="auto"/>
        </w:rPr>
      </w:pPr>
    </w:p>
    <w:p>
      <w:pPr>
        <w:ind w:left="4" w:hanging="4"/>
        <w:spacing w:after="0" w:line="288" w:lineRule="auto"/>
        <w:tabs>
          <w:tab w:leader="none" w:pos="249"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80" w:hanging="4"/>
        <w:spacing w:after="0" w:line="257" w:lineRule="auto"/>
        <w:tabs>
          <w:tab w:leader="none" w:pos="269"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6.02 Collection of Indebtedness and Suits for Enforcement by Trustee.</w:t>
      </w:r>
    </w:p>
    <w:p>
      <w:pPr>
        <w:spacing w:after="0" w:line="121" w:lineRule="exact"/>
        <w:rPr>
          <w:sz w:val="20"/>
          <w:szCs w:val="20"/>
          <w:color w:val="auto"/>
        </w:rPr>
      </w:pPr>
    </w:p>
    <w:p>
      <w:pPr>
        <w:ind w:left="4" w:right="20" w:hanging="4"/>
        <w:spacing w:after="0" w:line="289" w:lineRule="auto"/>
        <w:tabs>
          <w:tab w:leader="none" w:pos="259" w:val="left"/>
        </w:tabs>
        <w:numPr>
          <w:ilvl w:val="0"/>
          <w:numId w:val="82"/>
        </w:numPr>
        <w:rPr>
          <w:rFonts w:ascii="Arial" w:cs="Arial" w:eastAsia="Arial" w:hAnsi="Arial"/>
          <w:sz w:val="16"/>
          <w:szCs w:val="16"/>
          <w:b w:val="1"/>
          <w:bCs w:val="1"/>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58" w:lineRule="exact"/>
        <w:rPr>
          <w:rFonts w:ascii="Arial" w:cs="Arial" w:eastAsia="Arial" w:hAnsi="Arial"/>
          <w:sz w:val="16"/>
          <w:szCs w:val="16"/>
          <w:b w:val="1"/>
          <w:bCs w:val="1"/>
          <w:color w:val="auto"/>
        </w:rPr>
      </w:pPr>
    </w:p>
    <w:p>
      <w:pPr>
        <w:ind w:left="4" w:right="120" w:hanging="4"/>
        <w:spacing w:after="0" w:line="275" w:lineRule="auto"/>
        <w:tabs>
          <w:tab w:leader="none" w:pos="269"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2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490" w:right="459" w:bottom="1440" w:gutter="0" w:footer="0" w:header="0"/>
        </w:sectPr>
      </w:pPr>
    </w:p>
    <w:bookmarkStart w:id="81" w:name="page82"/>
    <w:bookmarkEnd w:id="81"/>
    <w:p>
      <w:pPr>
        <w:ind w:left="4" w:right="20" w:hanging="4"/>
        <w:spacing w:after="0" w:line="289" w:lineRule="auto"/>
        <w:tabs>
          <w:tab w:leader="none" w:pos="249"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58" w:lineRule="exact"/>
        <w:rPr>
          <w:rFonts w:ascii="Arial" w:cs="Arial" w:eastAsia="Arial" w:hAnsi="Arial"/>
          <w:sz w:val="16"/>
          <w:szCs w:val="16"/>
          <w:b w:val="1"/>
          <w:bCs w:val="1"/>
          <w:color w:val="auto"/>
        </w:rPr>
      </w:pPr>
    </w:p>
    <w:p>
      <w:pPr>
        <w:ind w:left="4" w:hanging="4"/>
        <w:spacing w:after="0" w:line="257" w:lineRule="auto"/>
        <w:tabs>
          <w:tab w:leader="none" w:pos="269"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6.03 Application of Moneys Collected.</w:t>
      </w:r>
    </w:p>
    <w:p>
      <w:pPr>
        <w:spacing w:after="0" w:line="121"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490" w:right="459" w:bottom="1440" w:gutter="0" w:footer="0" w:header="0"/>
        </w:sectPr>
      </w:pPr>
    </w:p>
    <w:bookmarkStart w:id="82" w:name="page83"/>
    <w:bookmarkEnd w:id="8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6.04 Limitation on Suits.</w:t>
      </w:r>
    </w:p>
    <w:p>
      <w:pPr>
        <w:spacing w:after="0" w:line="121"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left="4" w:right="6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6.05 Rights and Remedies Cumulative; Delay or Omission Not Waiver.</w:t>
      </w:r>
    </w:p>
    <w:p>
      <w:pPr>
        <w:spacing w:after="0" w:line="121" w:lineRule="exact"/>
        <w:rPr>
          <w:sz w:val="20"/>
          <w:szCs w:val="20"/>
          <w:color w:val="auto"/>
        </w:rPr>
      </w:pPr>
    </w:p>
    <w:p>
      <w:pPr>
        <w:ind w:left="4" w:right="140" w:hanging="4"/>
        <w:spacing w:after="0" w:line="259" w:lineRule="auto"/>
        <w:tabs>
          <w:tab w:leader="none" w:pos="259"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b w:val="1"/>
          <w:bCs w:val="1"/>
          <w:color w:val="auto"/>
        </w:rPr>
      </w:pPr>
    </w:p>
    <w:p>
      <w:pPr>
        <w:ind w:left="4" w:right="40" w:hanging="4"/>
        <w:spacing w:after="0" w:line="279" w:lineRule="auto"/>
        <w:tabs>
          <w:tab w:leader="none" w:pos="269"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6.06 Control by Securityholders.</w:t>
      </w:r>
    </w:p>
    <w:p>
      <w:pPr>
        <w:spacing w:after="0" w:line="121"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486" w:right="459" w:bottom="1440" w:gutter="0" w:footer="0" w:header="0"/>
        </w:sectPr>
      </w:pPr>
    </w:p>
    <w:bookmarkStart w:id="83" w:name="page84"/>
    <w:bookmarkEnd w:id="83"/>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6.07 Undertaking to Pay Costs.</w:t>
      </w:r>
    </w:p>
    <w:p>
      <w:pPr>
        <w:spacing w:after="0" w:line="121" w:lineRule="exact"/>
        <w:rPr>
          <w:sz w:val="20"/>
          <w:szCs w:val="20"/>
          <w:color w:val="auto"/>
        </w:rPr>
      </w:pPr>
    </w:p>
    <w:p>
      <w:pPr>
        <w:ind w:left="4" w:right="2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CONCERNING THE TRUSTEE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7.01 Certain Duties and Responsibilities of Trustee.</w:t>
      </w:r>
    </w:p>
    <w:p>
      <w:pPr>
        <w:spacing w:after="0" w:line="121" w:lineRule="exact"/>
        <w:rPr>
          <w:sz w:val="20"/>
          <w:szCs w:val="20"/>
          <w:color w:val="auto"/>
        </w:rPr>
      </w:pPr>
    </w:p>
    <w:p>
      <w:pPr>
        <w:ind w:left="4" w:right="80" w:hanging="4"/>
        <w:spacing w:after="0" w:line="293" w:lineRule="auto"/>
        <w:tabs>
          <w:tab w:leader="none" w:pos="259"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left="4" w:right="120" w:hanging="4"/>
        <w:spacing w:after="0" w:line="277" w:lineRule="auto"/>
        <w:tabs>
          <w:tab w:leader="none" w:pos="269"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4" w:right="220" w:hanging="4"/>
        <w:spacing w:after="0" w:line="277" w:lineRule="auto"/>
        <w:tabs>
          <w:tab w:leader="none" w:pos="219"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sz w:val="20"/>
          <w:szCs w:val="20"/>
          <w:color w:val="auto"/>
        </w:rPr>
      </w:pPr>
    </w:p>
    <w:p>
      <w:pPr>
        <w:ind w:left="4" w:right="20" w:hanging="4"/>
        <w:spacing w:after="0" w:line="311" w:lineRule="auto"/>
        <w:tabs>
          <w:tab w:leader="none" w:pos="299"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48" w:lineRule="exact"/>
        <w:rPr>
          <w:rFonts w:ascii="Arial" w:cs="Arial" w:eastAsia="Arial" w:hAnsi="Arial"/>
          <w:sz w:val="16"/>
          <w:szCs w:val="16"/>
          <w:b w:val="1"/>
          <w:bCs w:val="1"/>
          <w:color w:val="auto"/>
        </w:rPr>
      </w:pPr>
    </w:p>
    <w:p>
      <w:pPr>
        <w:ind w:left="4" w:right="60" w:hanging="4"/>
        <w:spacing w:after="0" w:line="301" w:lineRule="auto"/>
        <w:tabs>
          <w:tab w:leader="none" w:pos="289"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490" w:right="459" w:bottom="1440" w:gutter="0" w:footer="0" w:header="0"/>
        </w:sectPr>
      </w:pPr>
    </w:p>
    <w:bookmarkStart w:id="84" w:name="page85"/>
    <w:bookmarkEnd w:id="84"/>
    <w:p>
      <w:pPr>
        <w:ind w:left="4" w:right="60" w:hanging="4"/>
        <w:spacing w:after="0" w:line="308" w:lineRule="auto"/>
        <w:tabs>
          <w:tab w:leader="none" w:pos="269"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46" w:lineRule="exact"/>
        <w:rPr>
          <w:rFonts w:ascii="Arial" w:cs="Arial" w:eastAsia="Arial" w:hAnsi="Arial"/>
          <w:sz w:val="17"/>
          <w:szCs w:val="17"/>
          <w:b w:val="1"/>
          <w:bCs w:val="1"/>
          <w:color w:val="auto"/>
        </w:rPr>
      </w:pPr>
    </w:p>
    <w:p>
      <w:pPr>
        <w:ind w:left="4" w:right="200" w:hanging="4"/>
        <w:spacing w:after="0" w:line="259" w:lineRule="auto"/>
        <w:tabs>
          <w:tab w:leader="none" w:pos="319"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86" w:lineRule="exact"/>
        <w:rPr>
          <w:rFonts w:ascii="Arial" w:cs="Arial" w:eastAsia="Arial" w:hAnsi="Arial"/>
          <w:sz w:val="18"/>
          <w:szCs w:val="18"/>
          <w:b w:val="1"/>
          <w:bCs w:val="1"/>
          <w:color w:val="auto"/>
        </w:rPr>
      </w:pPr>
    </w:p>
    <w:p>
      <w:pPr>
        <w:ind w:left="4" w:right="360" w:hanging="4"/>
        <w:spacing w:after="0" w:line="259" w:lineRule="auto"/>
        <w:tabs>
          <w:tab w:leader="none" w:pos="309"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6" w:lineRule="exact"/>
        <w:rPr>
          <w:rFonts w:ascii="Arial" w:cs="Arial" w:eastAsia="Arial" w:hAnsi="Arial"/>
          <w:sz w:val="18"/>
          <w:szCs w:val="18"/>
          <w:b w:val="1"/>
          <w:bCs w:val="1"/>
          <w:color w:val="auto"/>
        </w:rPr>
      </w:pPr>
    </w:p>
    <w:p>
      <w:pPr>
        <w:ind w:left="244" w:hanging="244"/>
        <w:spacing w:after="0"/>
        <w:tabs>
          <w:tab w:leader="none" w:pos="24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225" w:lineRule="exact"/>
        <w:rPr>
          <w:rFonts w:ascii="Arial" w:cs="Arial" w:eastAsia="Arial" w:hAnsi="Arial"/>
          <w:sz w:val="18"/>
          <w:szCs w:val="18"/>
          <w:b w:val="1"/>
          <w:bCs w:val="1"/>
          <w:color w:val="auto"/>
        </w:rPr>
      </w:pPr>
    </w:p>
    <w:p>
      <w:pPr>
        <w:ind w:left="304" w:hanging="304"/>
        <w:spacing w:after="0"/>
        <w:tabs>
          <w:tab w:leader="none" w:pos="30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permissive right of the Trustee to do things enumerated in this Indenture shall not be construed as a duty of the Trustee; and</w:t>
      </w:r>
    </w:p>
    <w:p>
      <w:pPr>
        <w:spacing w:after="0" w:line="225" w:lineRule="exact"/>
        <w:rPr>
          <w:rFonts w:ascii="Arial" w:cs="Arial" w:eastAsia="Arial" w:hAnsi="Arial"/>
          <w:sz w:val="18"/>
          <w:szCs w:val="18"/>
          <w:b w:val="1"/>
          <w:bCs w:val="1"/>
          <w:color w:val="auto"/>
        </w:rPr>
      </w:pPr>
    </w:p>
    <w:p>
      <w:pPr>
        <w:ind w:left="4" w:right="580" w:hanging="4"/>
        <w:spacing w:after="0" w:line="277" w:lineRule="auto"/>
        <w:tabs>
          <w:tab w:leader="none" w:pos="359"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No Trustee shall have any duty or responsibility for any act or omission of any other Trustee appointed with respect to a series of Securities hereunder.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7.02 Certain Rights of Trustee</w:t>
      </w:r>
      <w:r>
        <w:rPr>
          <w:rFonts w:ascii="Arial" w:cs="Arial" w:eastAsia="Arial" w:hAnsi="Arial"/>
          <w:sz w:val="18"/>
          <w:szCs w:val="18"/>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4" w:hanging="4"/>
        <w:spacing w:after="0" w:line="263" w:lineRule="auto"/>
        <w:tabs>
          <w:tab w:leader="none" w:pos="259"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b w:val="1"/>
          <w:bCs w:val="1"/>
          <w:color w:val="auto"/>
        </w:rPr>
      </w:pPr>
    </w:p>
    <w:p>
      <w:pPr>
        <w:ind w:left="4" w:right="200" w:hanging="4"/>
        <w:spacing w:after="0" w:line="263" w:lineRule="auto"/>
        <w:tabs>
          <w:tab w:leader="none" w:pos="269"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b w:val="1"/>
          <w:bCs w:val="1"/>
          <w:color w:val="auto"/>
        </w:rPr>
      </w:pPr>
    </w:p>
    <w:p>
      <w:pPr>
        <w:ind w:left="4" w:right="260" w:hanging="4"/>
        <w:spacing w:after="0" w:line="342" w:lineRule="auto"/>
        <w:tabs>
          <w:tab w:leader="none" w:pos="249"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23" w:lineRule="exact"/>
        <w:rPr>
          <w:rFonts w:ascii="Arial" w:cs="Arial" w:eastAsia="Arial" w:hAnsi="Arial"/>
          <w:sz w:val="16"/>
          <w:szCs w:val="16"/>
          <w:b w:val="1"/>
          <w:bCs w:val="1"/>
          <w:color w:val="auto"/>
        </w:rPr>
      </w:pPr>
    </w:p>
    <w:p>
      <w:pPr>
        <w:ind w:left="4" w:right="40" w:hanging="4"/>
        <w:spacing w:after="0" w:line="293" w:lineRule="auto"/>
        <w:tabs>
          <w:tab w:leader="none" w:pos="269"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left="4" w:right="620" w:hanging="4"/>
        <w:spacing w:after="0" w:line="277" w:lineRule="auto"/>
        <w:tabs>
          <w:tab w:leader="none" w:pos="249"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4"/>
          </w:cols>
          <w:pgMar w:left="436" w:top="490" w:right="499" w:bottom="1440" w:gutter="0" w:footer="0" w:header="0"/>
        </w:sectPr>
      </w:pPr>
    </w:p>
    <w:bookmarkStart w:id="85" w:name="page86"/>
    <w:bookmarkEnd w:id="85"/>
    <w:p>
      <w:pPr>
        <w:ind w:left="4" w:right="60" w:hanging="4"/>
        <w:spacing w:after="0" w:line="290" w:lineRule="auto"/>
        <w:tabs>
          <w:tab w:leader="none" w:pos="229"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65" w:lineRule="exact"/>
        <w:rPr>
          <w:rFonts w:ascii="Arial" w:cs="Arial" w:eastAsia="Arial" w:hAnsi="Arial"/>
          <w:sz w:val="16"/>
          <w:szCs w:val="16"/>
          <w:b w:val="1"/>
          <w:bCs w:val="1"/>
          <w:color w:val="auto"/>
        </w:rPr>
      </w:pPr>
    </w:p>
    <w:p>
      <w:pPr>
        <w:jc w:val="both"/>
        <w:ind w:left="4" w:right="180" w:hanging="4"/>
        <w:spacing w:after="0" w:line="342" w:lineRule="auto"/>
        <w:tabs>
          <w:tab w:leader="none" w:pos="259"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23" w:lineRule="exact"/>
        <w:rPr>
          <w:rFonts w:ascii="Arial" w:cs="Arial" w:eastAsia="Arial" w:hAnsi="Arial"/>
          <w:sz w:val="16"/>
          <w:szCs w:val="16"/>
          <w:b w:val="1"/>
          <w:bCs w:val="1"/>
          <w:color w:val="auto"/>
        </w:rPr>
      </w:pPr>
    </w:p>
    <w:p>
      <w:pPr>
        <w:ind w:left="4" w:right="120" w:hanging="4"/>
        <w:spacing w:after="0" w:line="275" w:lineRule="auto"/>
        <w:tabs>
          <w:tab w:leader="none" w:pos="269"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rFonts w:ascii="Arial" w:cs="Arial" w:eastAsia="Arial" w:hAnsi="Arial"/>
          <w:sz w:val="17"/>
          <w:szCs w:val="17"/>
          <w:b w:val="1"/>
          <w:bCs w:val="1"/>
          <w:color w:val="auto"/>
        </w:rPr>
      </w:pPr>
    </w:p>
    <w:p>
      <w:pPr>
        <w:jc w:val="both"/>
        <w:ind w:left="4" w:hanging="4"/>
        <w:spacing w:after="0" w:line="263" w:lineRule="auto"/>
        <w:tabs>
          <w:tab w:leader="none" w:pos="219"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3" w:lineRule="exact"/>
        <w:rPr>
          <w:rFonts w:ascii="Arial" w:cs="Arial" w:eastAsia="Arial" w:hAnsi="Arial"/>
          <w:sz w:val="18"/>
          <w:szCs w:val="18"/>
          <w:b w:val="1"/>
          <w:bCs w:val="1"/>
          <w:color w:val="auto"/>
        </w:rPr>
      </w:pPr>
    </w:p>
    <w:p>
      <w:pPr>
        <w:ind w:left="4" w:right="40" w:hanging="4"/>
        <w:spacing w:after="0" w:line="288" w:lineRule="auto"/>
        <w:tabs>
          <w:tab w:leader="none" w:pos="229"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 xml:space="preserve">The Trustee agrees to accept and act upon instructions or directions pursuant to this Indenture sent by unsecured e-mail, facsimile transmission or other similar unsecured electronic methods;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68" w:lineRule="exact"/>
        <w:rPr>
          <w:rFonts w:ascii="Arial" w:cs="Arial" w:eastAsia="Arial" w:hAnsi="Arial"/>
          <w:sz w:val="16"/>
          <w:szCs w:val="16"/>
          <w:b w:val="1"/>
          <w:bCs w:val="1"/>
          <w:color w:val="auto"/>
        </w:rPr>
      </w:pPr>
    </w:p>
    <w:p>
      <w:pPr>
        <w:ind w:left="4" w:right="420" w:hanging="4"/>
        <w:spacing w:after="0" w:line="263" w:lineRule="auto"/>
        <w:tabs>
          <w:tab w:leader="none" w:pos="269"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83" w:lineRule="exact"/>
        <w:rPr>
          <w:rFonts w:ascii="Arial" w:cs="Arial" w:eastAsia="Arial" w:hAnsi="Arial"/>
          <w:sz w:val="18"/>
          <w:szCs w:val="18"/>
          <w:b w:val="1"/>
          <w:bCs w:val="1"/>
          <w:color w:val="auto"/>
        </w:rPr>
      </w:pPr>
    </w:p>
    <w:p>
      <w:pPr>
        <w:ind w:left="4" w:right="80" w:hanging="4"/>
        <w:spacing w:after="0" w:line="311" w:lineRule="auto"/>
        <w:tabs>
          <w:tab w:leader="none" w:pos="219"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7.03 Trustee Not Responsible for Recitals or Issuance or Securities</w:t>
      </w:r>
      <w:r>
        <w:rPr>
          <w:rFonts w:ascii="Arial" w:cs="Arial" w:eastAsia="Arial" w:hAnsi="Arial"/>
          <w:sz w:val="18"/>
          <w:szCs w:val="18"/>
          <w:color w:val="auto"/>
        </w:rPr>
        <w:t>.</w:t>
      </w:r>
    </w:p>
    <w:p>
      <w:pPr>
        <w:spacing w:after="0" w:line="121" w:lineRule="exact"/>
        <w:rPr>
          <w:sz w:val="20"/>
          <w:szCs w:val="20"/>
          <w:color w:val="auto"/>
        </w:rPr>
      </w:pPr>
    </w:p>
    <w:p>
      <w:pPr>
        <w:ind w:left="4" w:right="60" w:hanging="4"/>
        <w:spacing w:after="0" w:line="259" w:lineRule="auto"/>
        <w:tabs>
          <w:tab w:leader="none" w:pos="259"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490" w:right="459" w:bottom="1440" w:gutter="0" w:footer="0" w:header="0"/>
        </w:sectPr>
      </w:pPr>
    </w:p>
    <w:bookmarkStart w:id="86" w:name="page87"/>
    <w:bookmarkEnd w:id="86"/>
    <w:p>
      <w:pPr>
        <w:ind w:left="264" w:hanging="264"/>
        <w:spacing w:after="0"/>
        <w:tabs>
          <w:tab w:leader="none" w:pos="264"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Trustee makes no representations as to the validity or sufficiency of this Indenture or of the Securities.</w:t>
      </w:r>
    </w:p>
    <w:p>
      <w:pPr>
        <w:spacing w:after="0" w:line="225" w:lineRule="exact"/>
        <w:rPr>
          <w:rFonts w:ascii="Arial" w:cs="Arial" w:eastAsia="Arial" w:hAnsi="Arial"/>
          <w:sz w:val="18"/>
          <w:szCs w:val="18"/>
          <w:b w:val="1"/>
          <w:bCs w:val="1"/>
          <w:color w:val="auto"/>
        </w:rPr>
      </w:pPr>
    </w:p>
    <w:p>
      <w:pPr>
        <w:ind w:left="4" w:right="20" w:hanging="4"/>
        <w:spacing w:after="0" w:line="263" w:lineRule="auto"/>
        <w:tabs>
          <w:tab w:leader="none" w:pos="249"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7.04 May Hold Securities.</w:t>
      </w:r>
    </w:p>
    <w:p>
      <w:pPr>
        <w:spacing w:after="0" w:line="121"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7.05 Moneys Held in Trust.</w:t>
      </w:r>
    </w:p>
    <w:p>
      <w:pPr>
        <w:spacing w:after="0" w:line="121"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7.06 Compensation and Reimbursement.</w:t>
      </w:r>
    </w:p>
    <w:p>
      <w:pPr>
        <w:spacing w:after="0" w:line="121" w:lineRule="exact"/>
        <w:rPr>
          <w:sz w:val="20"/>
          <w:szCs w:val="20"/>
          <w:color w:val="auto"/>
        </w:rPr>
      </w:pPr>
    </w:p>
    <w:p>
      <w:pPr>
        <w:ind w:left="4" w:right="240" w:hanging="4"/>
        <w:spacing w:after="0" w:line="259" w:lineRule="auto"/>
        <w:tabs>
          <w:tab w:leader="none" w:pos="259"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6" w:lineRule="exact"/>
        <w:rPr>
          <w:rFonts w:ascii="Arial" w:cs="Arial" w:eastAsia="Arial" w:hAnsi="Arial"/>
          <w:sz w:val="18"/>
          <w:szCs w:val="18"/>
          <w:b w:val="1"/>
          <w:bCs w:val="1"/>
          <w:color w:val="auto"/>
        </w:rPr>
      </w:pPr>
    </w:p>
    <w:p>
      <w:pPr>
        <w:ind w:left="4" w:right="180" w:hanging="4"/>
        <w:spacing w:after="0" w:line="272" w:lineRule="auto"/>
        <w:tabs>
          <w:tab w:leader="none" w:pos="269"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77" w:lineRule="exact"/>
        <w:rPr>
          <w:rFonts w:ascii="Arial" w:cs="Arial" w:eastAsia="Arial" w:hAnsi="Arial"/>
          <w:sz w:val="17"/>
          <w:szCs w:val="17"/>
          <w:b w:val="1"/>
          <w:bCs w:val="1"/>
          <w:color w:val="auto"/>
        </w:rPr>
      </w:pPr>
    </w:p>
    <w:p>
      <w:pPr>
        <w:ind w:left="4" w:hanging="4"/>
        <w:spacing w:after="0" w:line="277" w:lineRule="auto"/>
        <w:tabs>
          <w:tab w:leader="none" w:pos="249"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70" w:lineRule="exact"/>
        <w:rPr>
          <w:rFonts w:ascii="Arial" w:cs="Arial" w:eastAsia="Arial" w:hAnsi="Arial"/>
          <w:sz w:val="18"/>
          <w:szCs w:val="18"/>
          <w:b w:val="1"/>
          <w:bCs w:val="1"/>
          <w:color w:val="auto"/>
        </w:rPr>
      </w:pPr>
    </w:p>
    <w:p>
      <w:pPr>
        <w:ind w:left="4" w:right="340" w:hanging="4"/>
        <w:spacing w:after="0" w:line="296" w:lineRule="auto"/>
        <w:tabs>
          <w:tab w:leader="none" w:pos="269"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490" w:right="459" w:bottom="1440" w:gutter="0" w:footer="0" w:header="0"/>
        </w:sectPr>
      </w:pPr>
    </w:p>
    <w:bookmarkStart w:id="87" w:name="page88"/>
    <w:bookmarkEnd w:id="8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7.07 Reliance on Officer’s Certificate.</w:t>
      </w:r>
    </w:p>
    <w:p>
      <w:pPr>
        <w:spacing w:after="0" w:line="121"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7.08 Disqualification; Conflicting Interests.</w:t>
      </w:r>
    </w:p>
    <w:p>
      <w:pPr>
        <w:spacing w:after="0" w:line="12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If the Trustee has or shall acquire any “</w:t>
      </w:r>
      <w:r>
        <w:rPr>
          <w:rFonts w:ascii="Arial" w:cs="Arial" w:eastAsia="Arial" w:hAnsi="Arial"/>
          <w:sz w:val="18"/>
          <w:szCs w:val="18"/>
          <w:b w:val="1"/>
          <w:bCs w:val="1"/>
          <w:i w:val="1"/>
          <w:iCs w:val="1"/>
          <w:color w:val="auto"/>
        </w:rPr>
        <w:t>conflicting interest</w:t>
      </w:r>
      <w:r>
        <w:rPr>
          <w:rFonts w:ascii="Arial" w:cs="Arial" w:eastAsia="Arial" w:hAnsi="Arial"/>
          <w:sz w:val="18"/>
          <w:szCs w:val="18"/>
          <w:color w:val="auto"/>
        </w:rPr>
        <w:t>” within the meaning of Section 310(b) of the Trust Indenture Act, the Trustee and the Company shall in all respects comply with the provisions of Section 310(b) of the Trust Indenture Act.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7.09 Corporate Trustee Required; Eligibility.</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7.10 Resignation and Removal; Appointment of Successor.</w:t>
      </w:r>
    </w:p>
    <w:p>
      <w:pPr>
        <w:spacing w:after="0" w:line="121" w:lineRule="exact"/>
        <w:rPr>
          <w:sz w:val="20"/>
          <w:szCs w:val="20"/>
          <w:color w:val="auto"/>
        </w:rPr>
      </w:pPr>
    </w:p>
    <w:p>
      <w:pPr>
        <w:ind w:left="4" w:right="40" w:hanging="4"/>
        <w:spacing w:after="0" w:line="290" w:lineRule="auto"/>
        <w:tabs>
          <w:tab w:leader="none" w:pos="259"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5" w:lineRule="exact"/>
        <w:rPr>
          <w:rFonts w:ascii="Arial" w:cs="Arial" w:eastAsia="Arial" w:hAnsi="Arial"/>
          <w:sz w:val="16"/>
          <w:szCs w:val="16"/>
          <w:b w:val="1"/>
          <w:bCs w:val="1"/>
          <w:color w:val="auto"/>
        </w:rPr>
      </w:pPr>
    </w:p>
    <w:p>
      <w:pPr>
        <w:ind w:left="264" w:hanging="264"/>
        <w:spacing w:after="0"/>
        <w:tabs>
          <w:tab w:leader="none" w:pos="264"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In case at any time any one of the following shall occur:</w:t>
      </w:r>
    </w:p>
    <w:p>
      <w:pPr>
        <w:spacing w:after="0" w:line="225" w:lineRule="exact"/>
        <w:rPr>
          <w:sz w:val="20"/>
          <w:szCs w:val="20"/>
          <w:color w:val="auto"/>
        </w:rPr>
      </w:pPr>
    </w:p>
    <w:p>
      <w:pPr>
        <w:ind w:left="4" w:right="180" w:hanging="4"/>
        <w:spacing w:after="0" w:line="277" w:lineRule="auto"/>
        <w:tabs>
          <w:tab w:leader="none" w:pos="21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b w:val="1"/>
          <w:bCs w:val="1"/>
          <w:color w:val="auto"/>
        </w:rPr>
      </w:pPr>
    </w:p>
    <w:p>
      <w:pPr>
        <w:ind w:left="4" w:right="300" w:hanging="4"/>
        <w:spacing w:after="0" w:line="277" w:lineRule="auto"/>
        <w:tabs>
          <w:tab w:leader="none" w:pos="26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b w:val="1"/>
          <w:bCs w:val="1"/>
          <w:color w:val="auto"/>
        </w:rPr>
      </w:pPr>
    </w:p>
    <w:p>
      <w:pPr>
        <w:ind w:left="4" w:right="260" w:hanging="4"/>
        <w:spacing w:after="0" w:line="259" w:lineRule="auto"/>
        <w:tabs>
          <w:tab w:leader="none" w:pos="31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486" w:right="459" w:bottom="1440" w:gutter="0" w:footer="0" w:header="0"/>
        </w:sectPr>
      </w:pPr>
    </w:p>
    <w:bookmarkStart w:id="88" w:name="page89"/>
    <w:bookmarkEnd w:id="88"/>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8" w:lineRule="exact"/>
        <w:rPr>
          <w:sz w:val="20"/>
          <w:szCs w:val="20"/>
          <w:color w:val="auto"/>
        </w:rPr>
      </w:pPr>
    </w:p>
    <w:p>
      <w:pPr>
        <w:ind w:left="4" w:right="220" w:hanging="4"/>
        <w:spacing w:after="0" w:line="263" w:lineRule="auto"/>
        <w:tabs>
          <w:tab w:leader="none" w:pos="249"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b w:val="1"/>
          <w:bCs w:val="1"/>
          <w:color w:val="auto"/>
        </w:rPr>
      </w:pPr>
    </w:p>
    <w:p>
      <w:pPr>
        <w:ind w:left="4" w:right="380" w:hanging="4"/>
        <w:spacing w:after="0" w:line="342" w:lineRule="auto"/>
        <w:tabs>
          <w:tab w:leader="none" w:pos="269"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b w:val="1"/>
          <w:bCs w:val="1"/>
          <w:color w:val="auto"/>
        </w:rPr>
      </w:pPr>
    </w:p>
    <w:p>
      <w:pPr>
        <w:ind w:left="4" w:right="200" w:hanging="4"/>
        <w:spacing w:after="0" w:line="277" w:lineRule="auto"/>
        <w:tabs>
          <w:tab w:leader="none" w:pos="249"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7.11 Acceptance of Appointment By Successor.</w:t>
      </w:r>
    </w:p>
    <w:p>
      <w:pPr>
        <w:spacing w:after="0" w:line="121" w:lineRule="exact"/>
        <w:rPr>
          <w:sz w:val="20"/>
          <w:szCs w:val="20"/>
          <w:color w:val="auto"/>
        </w:rPr>
      </w:pPr>
    </w:p>
    <w:p>
      <w:pPr>
        <w:ind w:left="4" w:hanging="4"/>
        <w:spacing w:after="0" w:line="272" w:lineRule="auto"/>
        <w:tabs>
          <w:tab w:leader="none" w:pos="259"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rFonts w:ascii="Arial" w:cs="Arial" w:eastAsia="Arial" w:hAnsi="Arial"/>
          <w:sz w:val="17"/>
          <w:szCs w:val="17"/>
          <w:b w:val="1"/>
          <w:bCs w:val="1"/>
          <w:color w:val="auto"/>
        </w:rPr>
      </w:pPr>
    </w:p>
    <w:p>
      <w:pPr>
        <w:ind w:left="4" w:hanging="4"/>
        <w:spacing w:after="0" w:line="285" w:lineRule="auto"/>
        <w:tabs>
          <w:tab w:leader="none" w:pos="269"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490" w:right="459" w:bottom="1440" w:gutter="0" w:footer="0" w:header="0"/>
        </w:sectPr>
      </w:pPr>
    </w:p>
    <w:bookmarkStart w:id="89" w:name="page90"/>
    <w:bookmarkEnd w:id="89"/>
    <w:p>
      <w:pPr>
        <w:ind w:left="4" w:right="780" w:hanging="4"/>
        <w:spacing w:after="0" w:line="342" w:lineRule="auto"/>
        <w:tabs>
          <w:tab w:leader="none" w:pos="249"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b w:val="1"/>
          <w:bCs w:val="1"/>
          <w:color w:val="auto"/>
        </w:rPr>
      </w:pPr>
    </w:p>
    <w:p>
      <w:pPr>
        <w:ind w:left="4" w:right="200" w:hanging="4"/>
        <w:spacing w:after="0" w:line="277" w:lineRule="auto"/>
        <w:tabs>
          <w:tab w:leader="none" w:pos="269"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b w:val="1"/>
          <w:bCs w:val="1"/>
          <w:color w:val="auto"/>
        </w:rPr>
      </w:pPr>
    </w:p>
    <w:p>
      <w:pPr>
        <w:jc w:val="both"/>
        <w:ind w:left="4" w:right="80" w:hanging="4"/>
        <w:spacing w:after="0" w:line="263" w:lineRule="auto"/>
        <w:tabs>
          <w:tab w:leader="none" w:pos="249"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7.12 Merger, Conversion, Consolidation or Succession to Business.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7.13 Preferential Collection of Claims Against the Company.</w:t>
      </w:r>
    </w:p>
    <w:p>
      <w:pPr>
        <w:spacing w:after="0" w:line="229" w:lineRule="exact"/>
        <w:rPr>
          <w:sz w:val="20"/>
          <w:szCs w:val="20"/>
          <w:color w:val="auto"/>
        </w:rPr>
      </w:pPr>
    </w:p>
    <w:p>
      <w:pPr>
        <w:ind w:left="4" w:right="14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7.14 Notice of Default.</w:t>
      </w:r>
    </w:p>
    <w:p>
      <w:pPr>
        <w:spacing w:after="0" w:line="200" w:lineRule="exact"/>
        <w:rPr>
          <w:sz w:val="20"/>
          <w:szCs w:val="20"/>
          <w:color w:val="auto"/>
        </w:rPr>
      </w:pPr>
    </w:p>
    <w:p>
      <w:pPr>
        <w:spacing w:after="0" w:line="245"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390"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CONCERNING THE SECURITYHOLDERS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8.01 Evidence of Action by Securityholders.</w:t>
      </w:r>
    </w:p>
    <w:p>
      <w:pPr>
        <w:spacing w:after="0" w:line="12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490" w:right="499" w:bottom="1440" w:gutter="0" w:footer="0" w:header="0"/>
        </w:sectPr>
      </w:pPr>
    </w:p>
    <w:bookmarkStart w:id="90" w:name="page91"/>
    <w:bookmarkEnd w:id="90"/>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8.02 Proof of Execution by Securityholders</w:t>
      </w:r>
      <w:r>
        <w:rPr>
          <w:rFonts w:ascii="Arial" w:cs="Arial" w:eastAsia="Arial" w:hAnsi="Arial"/>
          <w:sz w:val="18"/>
          <w:szCs w:val="18"/>
          <w:color w:val="auto"/>
        </w:rPr>
        <w:t>.</w:t>
      </w:r>
    </w:p>
    <w:p>
      <w:pPr>
        <w:spacing w:after="0" w:line="229"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46" w:lineRule="exact"/>
        <w:rPr>
          <w:sz w:val="20"/>
          <w:szCs w:val="20"/>
          <w:color w:val="auto"/>
        </w:rPr>
      </w:pPr>
    </w:p>
    <w:p>
      <w:pPr>
        <w:ind w:left="264" w:hanging="264"/>
        <w:spacing w:after="0"/>
        <w:tabs>
          <w:tab w:leader="none" w:pos="264"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The fact and date of the execution by any such Person of any instrument may be proved in any reasonable manner acceptable to the Trustee.</w:t>
      </w:r>
    </w:p>
    <w:p>
      <w:pPr>
        <w:spacing w:after="0" w:line="236" w:lineRule="exact"/>
        <w:rPr>
          <w:rFonts w:ascii="Arial" w:cs="Arial" w:eastAsia="Arial" w:hAnsi="Arial"/>
          <w:sz w:val="17"/>
          <w:szCs w:val="17"/>
          <w:b w:val="1"/>
          <w:bCs w:val="1"/>
          <w:color w:val="auto"/>
        </w:rPr>
      </w:pPr>
    </w:p>
    <w:p>
      <w:pPr>
        <w:ind w:left="4" w:right="760" w:hanging="4"/>
        <w:spacing w:after="0" w:line="527" w:lineRule="auto"/>
        <w:tabs>
          <w:tab w:leader="none" w:pos="269"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8.03 Who May be Deemed Owners.</w:t>
      </w:r>
    </w:p>
    <w:p>
      <w:pPr>
        <w:spacing w:after="0" w:line="229"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8.04 Certain Securities Owned by Company Disregarded.</w:t>
      </w:r>
    </w:p>
    <w:p>
      <w:pPr>
        <w:spacing w:after="0" w:line="229"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490" w:right="459" w:bottom="1440" w:gutter="0" w:footer="0" w:header="0"/>
        </w:sectPr>
      </w:pPr>
    </w:p>
    <w:bookmarkStart w:id="91" w:name="page92"/>
    <w:bookmarkEnd w:id="9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8.05 Actions Binding on Future Securityholders.</w:t>
      </w:r>
    </w:p>
    <w:p>
      <w:pPr>
        <w:spacing w:after="0" w:line="229"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9.01 Supplemental Indentures Without the Consent of Securityholders.</w:t>
      </w:r>
    </w:p>
    <w:p>
      <w:pPr>
        <w:spacing w:after="0" w:line="22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ind w:left="264" w:hanging="264"/>
        <w:spacing w:after="0"/>
        <w:tabs>
          <w:tab w:leader="none" w:pos="264"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herein or in the Securities of any series;</w:t>
      </w:r>
    </w:p>
    <w:p>
      <w:pPr>
        <w:spacing w:after="0" w:line="225" w:lineRule="exact"/>
        <w:rPr>
          <w:rFonts w:ascii="Arial" w:cs="Arial" w:eastAsia="Arial" w:hAnsi="Arial"/>
          <w:sz w:val="18"/>
          <w:szCs w:val="18"/>
          <w:b w:val="1"/>
          <w:bCs w:val="1"/>
          <w:color w:val="auto"/>
        </w:rPr>
      </w:pPr>
    </w:p>
    <w:p>
      <w:pPr>
        <w:ind w:left="264" w:hanging="264"/>
        <w:spacing w:after="0"/>
        <w:tabs>
          <w:tab w:leader="none" w:pos="264"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b w:val="1"/>
          <w:bCs w:val="1"/>
          <w:color w:val="auto"/>
        </w:rPr>
      </w:pPr>
    </w:p>
    <w:p>
      <w:pPr>
        <w:ind w:left="244" w:hanging="244"/>
        <w:spacing w:after="0"/>
        <w:tabs>
          <w:tab w:leader="none" w:pos="244"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b w:val="1"/>
          <w:bCs w:val="1"/>
          <w:color w:val="auto"/>
        </w:rPr>
      </w:pPr>
    </w:p>
    <w:p>
      <w:pPr>
        <w:ind w:left="4" w:right="160" w:hanging="4"/>
        <w:spacing w:after="0" w:line="257" w:lineRule="auto"/>
        <w:tabs>
          <w:tab w:leader="none" w:pos="269"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b w:val="1"/>
          <w:bCs w:val="1"/>
          <w:color w:val="auto"/>
        </w:rPr>
      </w:pPr>
    </w:p>
    <w:p>
      <w:pPr>
        <w:ind w:left="4" w:right="40" w:hanging="4"/>
        <w:spacing w:after="0" w:line="277" w:lineRule="auto"/>
        <w:tabs>
          <w:tab w:leader="none" w:pos="249"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b w:val="1"/>
          <w:bCs w:val="1"/>
          <w:color w:val="auto"/>
        </w:rPr>
      </w:pPr>
    </w:p>
    <w:p>
      <w:pPr>
        <w:ind w:left="224" w:hanging="224"/>
        <w:spacing w:after="0"/>
        <w:tabs>
          <w:tab w:leader="none" w:pos="224"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b w:val="1"/>
          <w:bCs w:val="1"/>
          <w:color w:val="auto"/>
        </w:rPr>
      </w:pPr>
    </w:p>
    <w:p>
      <w:pPr>
        <w:ind w:left="4" w:right="80" w:hanging="4"/>
        <w:spacing w:after="0" w:line="263" w:lineRule="auto"/>
        <w:tabs>
          <w:tab w:leader="none" w:pos="259"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83" w:lineRule="exact"/>
        <w:rPr>
          <w:rFonts w:ascii="Arial" w:cs="Arial" w:eastAsia="Arial" w:hAnsi="Arial"/>
          <w:sz w:val="18"/>
          <w:szCs w:val="18"/>
          <w:b w:val="1"/>
          <w:bCs w:val="1"/>
          <w:color w:val="auto"/>
        </w:rPr>
      </w:pPr>
    </w:p>
    <w:p>
      <w:pPr>
        <w:ind w:left="264" w:hanging="264"/>
        <w:spacing w:after="0"/>
        <w:tabs>
          <w:tab w:leader="none" w:pos="264"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b w:val="1"/>
          <w:bCs w:val="1"/>
          <w:color w:val="auto"/>
        </w:rPr>
      </w:pPr>
    </w:p>
    <w:p>
      <w:pPr>
        <w:ind w:left="4" w:right="60" w:hanging="4"/>
        <w:spacing w:after="0" w:line="277" w:lineRule="auto"/>
        <w:tabs>
          <w:tab w:leader="none" w:pos="219"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486" w:right="459" w:bottom="1440" w:gutter="0" w:footer="0" w:header="0"/>
        </w:sectPr>
      </w:pPr>
    </w:p>
    <w:bookmarkStart w:id="92" w:name="page93"/>
    <w:bookmarkEnd w:id="9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9.02 Supplemental Indentures With Consent of Securityholders.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9.03 Effect of Supplemental Indentures.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9.04 Securities Affected by Supplemental Indentures.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9.05 Execution of Supplemental Indentures.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90" w:right="459" w:bottom="1440" w:gutter="0" w:footer="0" w:header="0"/>
        </w:sectPr>
      </w:pPr>
    </w:p>
    <w:bookmarkStart w:id="93" w:name="page94"/>
    <w:bookmarkEnd w:id="93"/>
    <w:p>
      <w:pPr>
        <w:jc w:val="both"/>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authorized or permitted by the terms of this Article and that all conditions precedent to the execution of the supplemental indenture have been complied with;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Officer’s Certificate or Opinion of Counsel need not be provided in connection with the execution of a supplemental indenture that establishes the terms of a series of Securities pursuant to Section 2.01 hereof.</w:t>
      </w:r>
    </w:p>
    <w:p>
      <w:pPr>
        <w:spacing w:after="0" w:line="184"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 ENTITY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10.01 Company May Consolidate, Etc.</w:t>
      </w:r>
    </w:p>
    <w:p>
      <w:pPr>
        <w:spacing w:after="0" w:line="22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10.02 Successor Entity Substituted.</w:t>
      </w:r>
    </w:p>
    <w:p>
      <w:pPr>
        <w:spacing w:after="0" w:line="229" w:lineRule="exact"/>
        <w:rPr>
          <w:sz w:val="20"/>
          <w:szCs w:val="20"/>
          <w:color w:val="auto"/>
        </w:rPr>
      </w:pPr>
    </w:p>
    <w:p>
      <w:pPr>
        <w:ind w:left="4" w:right="60" w:hanging="4"/>
        <w:spacing w:after="0" w:line="257" w:lineRule="auto"/>
        <w:tabs>
          <w:tab w:leader="none" w:pos="259"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b w:val="1"/>
          <w:bCs w:val="1"/>
          <w:color w:val="auto"/>
        </w:rPr>
      </w:pPr>
    </w:p>
    <w:p>
      <w:pPr>
        <w:ind w:left="4" w:right="720" w:hanging="4"/>
        <w:spacing w:after="0" w:line="277" w:lineRule="auto"/>
        <w:tabs>
          <w:tab w:leader="none" w:pos="269"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b w:val="1"/>
          <w:bCs w:val="1"/>
          <w:color w:val="auto"/>
        </w:rPr>
      </w:pPr>
    </w:p>
    <w:p>
      <w:pPr>
        <w:ind w:left="4" w:right="20" w:hanging="4"/>
        <w:spacing w:after="0" w:line="263" w:lineRule="auto"/>
        <w:tabs>
          <w:tab w:leader="none" w:pos="249"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490" w:right="4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11.01 Satisfaction and Discharge of Indenture.</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11.02 Discharge of Obligations.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Thereafter, Sections 7.06 and 11.05 shall survive.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11.03 Deposited Moneys to be Held in Trust.</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11.04 Payment of Moneys Held by Paying Agents.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486"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11.05 Repayment to Company.</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12.01 No Recourse.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13.01 Effect on Successors and Assigns.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13.02 Actions by Successor.</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486" w:right="459" w:bottom="1440" w:gutter="0" w:footer="0" w:header="0"/>
        </w:sectPr>
      </w:pPr>
    </w:p>
    <w:bookmarkStart w:id="96" w:name="page97"/>
    <w:bookmarkEnd w:id="9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13.03 Surrender of Company Powers.</w:t>
      </w:r>
    </w:p>
    <w:p>
      <w:pPr>
        <w:spacing w:after="0" w:line="229"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13.04 Notices.</w:t>
      </w:r>
    </w:p>
    <w:p>
      <w:pPr>
        <w:spacing w:after="0" w:line="229"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13.05 Governing Law; Jury Trial Waiver.</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both"/>
        <w:ind w:left="4" w:right="620"/>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13.06 Treatment of Securities as Debt.</w:t>
      </w:r>
    </w:p>
    <w:p>
      <w:pPr>
        <w:spacing w:after="0" w:line="229"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13.07 Certificates and Opinions as to Conditions Precedent.</w:t>
      </w:r>
    </w:p>
    <w:p>
      <w:pPr>
        <w:spacing w:after="0" w:line="229" w:lineRule="exact"/>
        <w:rPr>
          <w:sz w:val="20"/>
          <w:szCs w:val="20"/>
          <w:color w:val="auto"/>
        </w:rPr>
      </w:pPr>
    </w:p>
    <w:p>
      <w:pPr>
        <w:ind w:left="4" w:right="20" w:hanging="4"/>
        <w:spacing w:after="0" w:line="255" w:lineRule="auto"/>
        <w:tabs>
          <w:tab w:leader="none" w:pos="259"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b w:val="1"/>
          <w:bCs w:val="1"/>
          <w:color w:val="auto"/>
        </w:rPr>
      </w:pPr>
    </w:p>
    <w:p>
      <w:pPr>
        <w:ind w:left="4" w:right="20" w:hanging="4"/>
        <w:spacing w:after="0" w:line="272" w:lineRule="auto"/>
        <w:tabs>
          <w:tab w:leader="none" w:pos="269" w:val="left"/>
        </w:tabs>
        <w:numPr>
          <w:ilvl w:val="0"/>
          <w:numId w:val="102"/>
        </w:numPr>
        <w:rPr>
          <w:rFonts w:ascii="Arial" w:cs="Arial" w:eastAsia="Arial" w:hAnsi="Arial"/>
          <w:sz w:val="17"/>
          <w:szCs w:val="17"/>
          <w:b w:val="1"/>
          <w:bCs w:val="1"/>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486"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13.08 Payments on Business Days.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13.09 Conflict with Trust Indenture Act.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13.10 Counterparts.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13.11 Separability.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13.12 Compliance Certificates.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13.13 U.S.A Patriot Act.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13.13 Force Majeure.</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486" w:right="459" w:bottom="1440" w:gutter="0" w:footer="0" w:header="0"/>
        </w:sectPr>
      </w:pPr>
    </w:p>
    <w:bookmarkStart w:id="98" w:name="page99"/>
    <w:bookmarkEnd w:id="98"/>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13.14 Table of Contents; Headings.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490" w:right="49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the parties hereto have caused this Indenture to be duly executed all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 as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320"/>
          </w:cols>
          <w:pgMar w:left="440" w:top="486" w:right="1139" w:bottom="1440" w:gutter="0" w:footer="0" w:header="0"/>
        </w:sectPr>
      </w:pPr>
    </w:p>
    <w:bookmarkStart w:id="100" w:name="page101"/>
    <w:bookmarkEnd w:id="100"/>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60" w:type="dxa"/>
            <w:vAlign w:val="bottom"/>
            <w:gridSpan w:val="2"/>
          </w:tcPr>
          <w:p>
            <w:pPr>
              <w:ind w:left="520"/>
              <w:spacing w:after="0"/>
              <w:rPr>
                <w:sz w:val="20"/>
                <w:szCs w:val="20"/>
                <w:color w:val="auto"/>
              </w:rPr>
            </w:pPr>
            <w:r>
              <w:rPr>
                <w:rFonts w:ascii="Arial" w:cs="Arial" w:eastAsia="Arial" w:hAnsi="Arial"/>
                <w:sz w:val="18"/>
                <w:szCs w:val="18"/>
                <w:b w:val="1"/>
                <w:bCs w:val="1"/>
                <w:color w:val="auto"/>
              </w:rPr>
              <w:t>CROSS-REFERENCE TABLE (1)</w:t>
            </w:r>
          </w:p>
        </w:tc>
      </w:tr>
      <w:tr>
        <w:trPr>
          <w:trHeight w:val="405"/>
        </w:trPr>
        <w:tc>
          <w:tcPr>
            <w:tcW w:w="3660" w:type="dxa"/>
            <w:vAlign w:val="bottom"/>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5920" w:type="dxa"/>
            <w:vAlign w:val="bottom"/>
          </w:tcPr>
          <w:p>
            <w:pPr>
              <w:spacing w:after="0"/>
              <w:rPr>
                <w:sz w:val="24"/>
                <w:szCs w:val="24"/>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Section of Indenture</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5920" w:type="dxa"/>
            <w:vAlign w:val="bottom"/>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rPr>
              <w:t>7.09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310(b)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7.08</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7.10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310(c)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Inapplicable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311(a)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7.13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311(b)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7.13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311(c)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Inapplicable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312(a)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5.01</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5.02(a)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312(b)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5.02(c)</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312(c)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5.02(c)</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313(a)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5.04(a)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313(b)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5.04(b)</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313(c)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5.04(a)</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5.04(b)</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313(d)</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5.04(c)</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5.03</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13.12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Inapplicable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13.07(a)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314(d)</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Inapplicable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314(e)</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13.07(b)</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314(f)</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Inapplicable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315(a)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7.01(a)</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7.01(b)</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315(b)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7.14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315(c)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7.01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315(d)</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7.01(b)</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315(e)</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6.07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316(a)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6.06</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8.04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316(b)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6.04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316(c)</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8.01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317(a)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6.02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317(b)</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4.03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318(a)</w:t>
            </w:r>
          </w:p>
        </w:tc>
        <w:tc>
          <w:tcPr>
            <w:tcW w:w="7360" w:type="dxa"/>
            <w:vAlign w:val="bottom"/>
            <w:gridSpan w:val="2"/>
          </w:tcPr>
          <w:p>
            <w:pPr>
              <w:ind w:left="5920"/>
              <w:spacing w:after="0"/>
              <w:rPr>
                <w:sz w:val="20"/>
                <w:szCs w:val="20"/>
                <w:color w:val="auto"/>
              </w:rPr>
            </w:pPr>
            <w:r>
              <w:rPr>
                <w:rFonts w:ascii="Arial" w:cs="Arial" w:eastAsia="Arial" w:hAnsi="Arial"/>
                <w:sz w:val="18"/>
                <w:szCs w:val="18"/>
                <w:color w:val="auto"/>
              </w:rPr>
              <w:t>13.09</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39</w:t>
            </w:r>
          </w:p>
        </w:tc>
        <w:tc>
          <w:tcPr>
            <w:tcW w:w="59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44" w:right="380" w:hanging="444"/>
        <w:spacing w:after="0" w:line="277" w:lineRule="auto"/>
        <w:tabs>
          <w:tab w:leader="none" w:pos="44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486" w:right="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COMMON STOCK WARRANT AGREEMENT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proposes to sell [If Warrants are sold with other securities —[title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of the Company, par value $0.001 per share (the “</w:t>
      </w:r>
      <w:r>
        <w:rPr>
          <w:rFonts w:ascii="Arial" w:cs="Arial" w:eastAsia="Arial" w:hAnsi="Arial"/>
          <w:sz w:val="18"/>
          <w:szCs w:val="18"/>
          <w:b w:val="1"/>
          <w:bCs w:val="1"/>
          <w:i w:val="1"/>
          <w:iCs w:val="1"/>
          <w:color w:val="auto"/>
        </w:rPr>
        <w:t>Warrant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the Warrant Agent to act on behalf of the Company, and the Warrant Agent is willing so to act,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1.1 Issuance of Warrants</w:t>
      </w:r>
      <w:r>
        <w:rPr>
          <w:rFonts w:ascii="Arial" w:cs="Arial" w:eastAsia="Arial" w:hAnsi="Arial"/>
          <w:sz w:val="16"/>
          <w:szCs w:val="16"/>
          <w:color w:val="auto"/>
        </w:rPr>
        <w:t>. [If Warrants alone —Upon issuance, each Warrant Certificate shall evidence one or more Warrants.] [If Other Securities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b w:val="1"/>
          <w:bCs w:val="1"/>
          <w:color w:val="auto"/>
        </w:rPr>
        <w:t>1.2 Execution and Delivery of Warrant Certificates</w:t>
      </w:r>
      <w:r>
        <w:rPr>
          <w:rFonts w:ascii="Arial" w:cs="Arial" w:eastAsia="Arial" w:hAnsi="Arial"/>
          <w:sz w:val="17"/>
          <w:szCs w:val="17"/>
          <w:color w:val="auto"/>
        </w:rPr>
        <w:t>. Each Warrant Certificate, whenever issued, shall be in registered form substantially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Exhibit A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02" w:name="page103"/>
    <w:bookmarkEnd w:id="102"/>
    <w:p>
      <w:pPr>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78" w:lineRule="exact"/>
        <w:rPr>
          <w:sz w:val="20"/>
          <w:szCs w:val="20"/>
          <w:color w:val="auto"/>
        </w:rPr>
      </w:pPr>
    </w:p>
    <w:p>
      <w:pPr>
        <w:ind w:left="4" w:right="300"/>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5"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jc w:val="both"/>
        <w:ind w:left="4" w:right="180"/>
        <w:spacing w:after="0" w:line="261" w:lineRule="auto"/>
        <w:rPr>
          <w:sz w:val="20"/>
          <w:szCs w:val="20"/>
          <w:color w:val="auto"/>
        </w:rPr>
      </w:pPr>
      <w:r>
        <w:rPr>
          <w:rFonts w:ascii="Arial" w:cs="Arial" w:eastAsia="Arial" w:hAnsi="Arial"/>
          <w:sz w:val="18"/>
          <w:szCs w:val="18"/>
          <w:b w:val="1"/>
          <w:bCs w:val="1"/>
          <w:color w:val="auto"/>
        </w:rPr>
        <w:t>1.3 Issuance of Warrant Certificates</w:t>
      </w:r>
      <w:r>
        <w:rPr>
          <w:rFonts w:ascii="Arial" w:cs="Arial" w:eastAsia="Arial" w:hAnsi="Arial"/>
          <w:sz w:val="18"/>
          <w:szCs w:val="18"/>
          <w:color w:val="auto"/>
        </w:rPr>
        <w:t>. Warrant Certificates evidencing the right to purchase Warrant Securities may be executed by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2.1 Warrant Price</w:t>
      </w:r>
      <w:r>
        <w:rPr>
          <w:rFonts w:ascii="Arial" w:cs="Arial" w:eastAsia="Arial" w:hAnsi="Arial"/>
          <w:sz w:val="18"/>
          <w:szCs w:val="18"/>
          <w:color w:val="auto"/>
        </w:rPr>
        <w:t>. During the period specified in Section 2.2, each Warrant shall, subject to the terms of this Agreement and the applicable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2.2 Duration of Warrants</w:t>
      </w:r>
      <w:r>
        <w:rPr>
          <w:rFonts w:ascii="Arial" w:cs="Arial" w:eastAsia="Arial" w:hAnsi="Arial"/>
          <w:sz w:val="18"/>
          <w:szCs w:val="18"/>
          <w:color w:val="auto"/>
        </w:rPr>
        <w:t>. Each Warrant may be exercised in whole or in part at any time, as specified herein, on or after [the date thereof] [•] and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2.3 Exercise of Warrants</w:t>
      </w:r>
      <w:r>
        <w:rPr>
          <w:rFonts w:ascii="Arial" w:cs="Arial" w:eastAsia="Arial" w:hAnsi="Arial"/>
          <w:sz w:val="18"/>
          <w:szCs w:val="18"/>
          <w:color w:val="auto"/>
        </w:rPr>
        <w:t>.</w:t>
      </w:r>
    </w:p>
    <w:p>
      <w:pPr>
        <w:spacing w:after="0" w:line="229" w:lineRule="exact"/>
        <w:rPr>
          <w:sz w:val="20"/>
          <w:szCs w:val="20"/>
          <w:color w:val="auto"/>
        </w:rPr>
      </w:pPr>
    </w:p>
    <w:p>
      <w:pPr>
        <w:jc w:val="both"/>
        <w:ind w:left="4" w:right="240" w:hanging="4"/>
        <w:spacing w:after="0" w:line="263" w:lineRule="auto"/>
        <w:tabs>
          <w:tab w:leader="none" w:pos="259"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103" w:name="page104"/>
    <w:bookmarkEnd w:id="103"/>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7" w:lineRule="exact"/>
        <w:rPr>
          <w:sz w:val="20"/>
          <w:szCs w:val="20"/>
          <w:color w:val="auto"/>
        </w:rPr>
      </w:pPr>
    </w:p>
    <w:p>
      <w:pPr>
        <w:jc w:val="both"/>
        <w:ind w:left="4" w:right="160" w:hanging="4"/>
        <w:spacing w:after="0" w:line="301" w:lineRule="auto"/>
        <w:tabs>
          <w:tab w:leader="none" w:pos="266"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left="4" w:right="260" w:hanging="4"/>
        <w:spacing w:after="0" w:line="257" w:lineRule="auto"/>
        <w:tabs>
          <w:tab w:leader="none" w:pos="239"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left="4" w:hanging="4"/>
        <w:spacing w:after="0" w:line="259" w:lineRule="auto"/>
        <w:tabs>
          <w:tab w:leader="none" w:pos="26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left="4" w:right="180" w:hanging="4"/>
        <w:spacing w:after="0" w:line="308" w:lineRule="auto"/>
        <w:tabs>
          <w:tab w:leader="none" w:pos="249" w:val="left"/>
        </w:tabs>
        <w:numPr>
          <w:ilvl w:val="0"/>
          <w:numId w:val="105"/>
        </w:numPr>
        <w:rPr>
          <w:rFonts w:ascii="Arial" w:cs="Arial" w:eastAsia="Arial" w:hAnsi="Arial"/>
          <w:sz w:val="17"/>
          <w:szCs w:val="17"/>
          <w:b w:val="1"/>
          <w:bCs w:val="1"/>
          <w:color w:val="auto"/>
        </w:rPr>
      </w:pPr>
      <w:r>
        <w:rPr>
          <w:rFonts w:ascii="Arial" w:cs="Arial" w:eastAsia="Arial" w:hAnsi="Arial"/>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5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3.1 No Rights as Warrant Securityholder Conferred by Warrants or Warrant Certificates</w:t>
      </w:r>
      <w:r>
        <w:rPr>
          <w:rFonts w:ascii="Arial" w:cs="Arial" w:eastAsia="Arial" w:hAnsi="Arial"/>
          <w:sz w:val="18"/>
          <w:szCs w:val="18"/>
          <w:color w:val="auto"/>
        </w:rPr>
        <w:t>. No Warrant Certificate or Warrant evidenced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104" w:name="page105"/>
    <w:bookmarkEnd w:id="104"/>
    <w:p>
      <w:pPr>
        <w:ind w:left="4" w:right="1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Lost, Stolen, Mutilated or Destroyed Warrant Certificates</w:t>
      </w:r>
      <w:r>
        <w:rPr>
          <w:rFonts w:ascii="Arial" w:cs="Arial" w:eastAsia="Arial" w:hAnsi="Arial"/>
          <w:sz w:val="16"/>
          <w:szCs w:val="16"/>
          <w:color w:val="auto"/>
        </w:rPr>
        <w:t>. Upon receipt by the Warrant Agent of evidence reasonably satisfactory to 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4"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3.3 Holder of Warrant Certificate May Enforce Rights</w:t>
      </w:r>
      <w:r>
        <w:rPr>
          <w:rFonts w:ascii="Arial" w:cs="Arial" w:eastAsia="Arial" w:hAnsi="Arial"/>
          <w:sz w:val="18"/>
          <w:szCs w:val="18"/>
          <w:color w:val="auto"/>
        </w:rPr>
        <w:t>. Notwithstanding any of the provisions of this Agreement, any holder of a Warrant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3.4 Adjustments</w:t>
      </w:r>
      <w:r>
        <w:rPr>
          <w:rFonts w:ascii="Arial" w:cs="Arial" w:eastAsia="Arial" w:hAnsi="Arial"/>
          <w:sz w:val="18"/>
          <w:szCs w:val="18"/>
          <w:color w:val="auto"/>
        </w:rPr>
        <w:t>.</w:t>
      </w:r>
    </w:p>
    <w:p>
      <w:pPr>
        <w:spacing w:after="0" w:line="229" w:lineRule="exact"/>
        <w:rPr>
          <w:sz w:val="20"/>
          <w:szCs w:val="20"/>
          <w:color w:val="auto"/>
        </w:rPr>
      </w:pPr>
    </w:p>
    <w:p>
      <w:pPr>
        <w:ind w:left="4" w:right="60" w:hanging="4"/>
        <w:spacing w:after="0" w:line="257" w:lineRule="auto"/>
        <w:tabs>
          <w:tab w:leader="none" w:pos="259"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87" w:lineRule="exact"/>
        <w:rPr>
          <w:rFonts w:ascii="Arial" w:cs="Arial" w:eastAsia="Arial" w:hAnsi="Arial"/>
          <w:sz w:val="18"/>
          <w:szCs w:val="18"/>
          <w:b w:val="1"/>
          <w:bCs w:val="1"/>
          <w:color w:val="auto"/>
        </w:rPr>
      </w:pPr>
    </w:p>
    <w:p>
      <w:pPr>
        <w:ind w:left="4" w:right="180" w:hanging="4"/>
        <w:spacing w:after="0" w:line="277" w:lineRule="auto"/>
        <w:tabs>
          <w:tab w:leader="none" w:pos="269"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70" w:lineRule="exact"/>
        <w:rPr>
          <w:sz w:val="20"/>
          <w:szCs w:val="20"/>
          <w:color w:val="auto"/>
        </w:rPr>
      </w:pPr>
    </w:p>
    <w:p>
      <w:pPr>
        <w:ind w:left="4" w:right="260" w:hanging="4"/>
        <w:spacing w:after="0" w:line="342" w:lineRule="auto"/>
        <w:tabs>
          <w:tab w:leader="none" w:pos="219"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23" w:lineRule="exact"/>
        <w:rPr>
          <w:rFonts w:ascii="Arial" w:cs="Arial" w:eastAsia="Arial" w:hAnsi="Arial"/>
          <w:sz w:val="16"/>
          <w:szCs w:val="16"/>
          <w:b w:val="1"/>
          <w:bCs w:val="1"/>
          <w:color w:val="auto"/>
        </w:rPr>
      </w:pPr>
    </w:p>
    <w:p>
      <w:pPr>
        <w:ind w:left="264" w:hanging="264"/>
        <w:spacing w:after="0"/>
        <w:tabs>
          <w:tab w:leader="none" w:pos="264"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any cash paid or payable otherwise than as a cash dividend paid or payable out of the Company’s current or retained earnings;</w:t>
      </w:r>
    </w:p>
    <w:p>
      <w:pPr>
        <w:spacing w:after="0" w:line="225" w:lineRule="exact"/>
        <w:rPr>
          <w:rFonts w:ascii="Arial" w:cs="Arial" w:eastAsia="Arial" w:hAnsi="Arial"/>
          <w:sz w:val="18"/>
          <w:szCs w:val="18"/>
          <w:b w:val="1"/>
          <w:bCs w:val="1"/>
          <w:color w:val="auto"/>
        </w:rPr>
      </w:pPr>
    </w:p>
    <w:p>
      <w:pPr>
        <w:ind w:left="324" w:hanging="324"/>
        <w:spacing w:after="0"/>
        <w:tabs>
          <w:tab w:leader="none" w:pos="324"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any evidence of the Company’s indebtedness or rights to subscribe for or purchase the Company’s indebtedness; or</w:t>
      </w:r>
    </w:p>
    <w:p>
      <w:pPr>
        <w:spacing w:after="0" w:line="225" w:lineRule="exact"/>
        <w:rPr>
          <w:rFonts w:ascii="Arial" w:cs="Arial" w:eastAsia="Arial" w:hAnsi="Arial"/>
          <w:sz w:val="18"/>
          <w:szCs w:val="18"/>
          <w:b w:val="1"/>
          <w:bCs w:val="1"/>
          <w:color w:val="auto"/>
        </w:rPr>
      </w:pPr>
    </w:p>
    <w:p>
      <w:pPr>
        <w:ind w:left="4" w:right="20" w:hanging="4"/>
        <w:spacing w:after="0" w:line="291" w:lineRule="auto"/>
        <w:tabs>
          <w:tab w:leader="none" w:pos="309"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86" w:right="439" w:bottom="1440" w:gutter="0" w:footer="0" w:header="0"/>
        </w:sectPr>
      </w:pPr>
    </w:p>
    <w:bookmarkStart w:id="105" w:name="page106"/>
    <w:bookmarkEnd w:id="105"/>
    <w:p>
      <w:pPr>
        <w:ind w:left="4" w:right="140" w:hanging="4"/>
        <w:spacing w:after="0" w:line="286" w:lineRule="auto"/>
        <w:tabs>
          <w:tab w:leader="none" w:pos="249"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w:t>
      </w:r>
    </w:p>
    <w:p>
      <w:pPr>
        <w:spacing w:after="0" w:line="1" w:lineRule="exact"/>
        <w:rPr>
          <w:rFonts w:ascii="Arial" w:cs="Arial" w:eastAsia="Arial" w:hAnsi="Arial"/>
          <w:sz w:val="16"/>
          <w:szCs w:val="16"/>
          <w:b w:val="1"/>
          <w:bCs w:val="1"/>
          <w:color w:val="auto"/>
        </w:rPr>
      </w:pPr>
    </w:p>
    <w:p>
      <w:pPr>
        <w:ind w:left="4" w:hanging="4"/>
        <w:spacing w:after="0" w:line="284" w:lineRule="auto"/>
        <w:tabs>
          <w:tab w:leader="none" w:pos="31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70" w:lineRule="exact"/>
        <w:rPr>
          <w:rFonts w:ascii="Arial" w:cs="Arial" w:eastAsia="Arial" w:hAnsi="Arial"/>
          <w:sz w:val="16"/>
          <w:szCs w:val="16"/>
          <w:color w:val="auto"/>
        </w:rPr>
      </w:pPr>
    </w:p>
    <w:p>
      <w:pPr>
        <w:ind w:left="4" w:right="180" w:hanging="4"/>
        <w:spacing w:after="0" w:line="286" w:lineRule="auto"/>
        <w:tabs>
          <w:tab w:leader="none" w:pos="266"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5" w:lineRule="exact"/>
        <w:rPr>
          <w:rFonts w:ascii="Arial" w:cs="Arial" w:eastAsia="Arial" w:hAnsi="Arial"/>
          <w:sz w:val="17"/>
          <w:szCs w:val="17"/>
          <w:b w:val="1"/>
          <w:bCs w:val="1"/>
          <w:color w:val="auto"/>
        </w:rPr>
      </w:pPr>
    </w:p>
    <w:p>
      <w:pPr>
        <w:ind w:left="4" w:right="40" w:hanging="4"/>
        <w:spacing w:after="0" w:line="263" w:lineRule="auto"/>
        <w:tabs>
          <w:tab w:leader="none" w:pos="249"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83" w:lineRule="exact"/>
        <w:rPr>
          <w:rFonts w:ascii="Arial" w:cs="Arial" w:eastAsia="Arial" w:hAnsi="Arial"/>
          <w:sz w:val="18"/>
          <w:szCs w:val="18"/>
          <w:b w:val="1"/>
          <w:bCs w:val="1"/>
          <w:color w:val="auto"/>
        </w:rPr>
      </w:pPr>
    </w:p>
    <w:p>
      <w:pPr>
        <w:ind w:left="4" w:right="20" w:hanging="4"/>
        <w:spacing w:after="0" w:line="286" w:lineRule="auto"/>
        <w:tabs>
          <w:tab w:leader="none" w:pos="229"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6"/>
          <w:szCs w:val="16"/>
          <w:b w:val="1"/>
          <w:bCs w:val="1"/>
          <w:i w:val="1"/>
          <w:iCs w:val="1"/>
          <w:color w:val="auto"/>
        </w:rPr>
        <w:t>OTC Bulletin Board</w:t>
      </w:r>
      <w:r>
        <w:rPr>
          <w:rFonts w:ascii="Arial" w:cs="Arial" w:eastAsia="Arial" w:hAnsi="Arial"/>
          <w:sz w:val="16"/>
          <w:szCs w:val="16"/>
          <w:color w:val="auto"/>
        </w:rPr>
        <w:t>”) operated by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106" w:name="page107"/>
    <w:bookmarkEnd w:id="106"/>
    <w:p>
      <w:pPr>
        <w:ind w:left="4" w:right="340" w:hanging="4"/>
        <w:spacing w:after="0" w:line="286" w:lineRule="auto"/>
        <w:tabs>
          <w:tab w:leader="none" w:pos="256"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left="4" w:hanging="4"/>
        <w:spacing w:after="0" w:line="277" w:lineRule="auto"/>
        <w:tabs>
          <w:tab w:leader="none" w:pos="269"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Common Stock.</w:t>
      </w:r>
    </w:p>
    <w:p>
      <w:pPr>
        <w:spacing w:after="0" w:line="166" w:lineRule="exact"/>
        <w:rPr>
          <w:sz w:val="20"/>
          <w:szCs w:val="20"/>
          <w:color w:val="auto"/>
        </w:rPr>
      </w:pPr>
    </w:p>
    <w:p>
      <w:pPr>
        <w:ind w:left="4" w:right="140"/>
        <w:spacing w:after="0" w:line="287" w:lineRule="auto"/>
        <w:rPr>
          <w:sz w:val="20"/>
          <w:szCs w:val="20"/>
          <w:color w:val="auto"/>
        </w:rPr>
      </w:pPr>
      <w:r>
        <w:rPr>
          <w:rFonts w:ascii="Arial" w:cs="Arial" w:eastAsia="Arial" w:hAnsi="Arial"/>
          <w:sz w:val="16"/>
          <w:szCs w:val="16"/>
          <w:b w:val="1"/>
          <w:bCs w:val="1"/>
          <w:color w:val="auto"/>
        </w:rPr>
        <w:t>3.5 Notice to Warrantholders</w:t>
      </w:r>
      <w:r>
        <w:rPr>
          <w:rFonts w:ascii="Arial" w:cs="Arial" w:eastAsia="Arial" w:hAnsi="Arial"/>
          <w:sz w:val="16"/>
          <w:szCs w:val="16"/>
          <w:color w:val="auto"/>
        </w:rPr>
        <w:t>. 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w:t>
      </w:r>
    </w:p>
    <w:p>
      <w:pPr>
        <w:spacing w:after="0" w:line="2" w:lineRule="exact"/>
        <w:rPr>
          <w:sz w:val="20"/>
          <w:szCs w:val="20"/>
          <w:color w:val="auto"/>
        </w:rPr>
      </w:pPr>
    </w:p>
    <w:p>
      <w:pPr>
        <w:ind w:left="4" w:hanging="4"/>
        <w:spacing w:after="0" w:line="281" w:lineRule="auto"/>
        <w:tabs>
          <w:tab w:leader="none" w:pos="25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w:t>
      </w:r>
    </w:p>
    <w:p>
      <w:pPr>
        <w:spacing w:after="0" w:line="2" w:lineRule="exact"/>
        <w:rPr>
          <w:rFonts w:ascii="Arial" w:cs="Arial" w:eastAsia="Arial" w:hAnsi="Arial"/>
          <w:sz w:val="16"/>
          <w:szCs w:val="16"/>
          <w:color w:val="auto"/>
        </w:rPr>
      </w:pPr>
    </w:p>
    <w:p>
      <w:pPr>
        <w:ind w:left="4" w:right="500" w:hanging="4"/>
        <w:spacing w:after="0" w:line="290" w:lineRule="auto"/>
        <w:tabs>
          <w:tab w:leader="none" w:pos="24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[If the Warrants are Subject to Acceleration by the Company, Insert — Acceleration of Warrants by the Company.</w:t>
      </w:r>
    </w:p>
    <w:p>
      <w:pPr>
        <w:spacing w:after="0" w:line="229" w:lineRule="exact"/>
        <w:rPr>
          <w:sz w:val="20"/>
          <w:szCs w:val="20"/>
          <w:color w:val="auto"/>
        </w:rPr>
      </w:pPr>
    </w:p>
    <w:p>
      <w:pPr>
        <w:ind w:left="4" w:right="100" w:hanging="4"/>
        <w:spacing w:after="0" w:line="257" w:lineRule="auto"/>
        <w:tabs>
          <w:tab w:leader="none" w:pos="249"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7" w:lineRule="exact"/>
        <w:rPr>
          <w:rFonts w:ascii="Arial" w:cs="Arial" w:eastAsia="Arial" w:hAnsi="Arial"/>
          <w:sz w:val="18"/>
          <w:szCs w:val="18"/>
          <w:b w:val="1"/>
          <w:bCs w:val="1"/>
          <w:color w:val="auto"/>
        </w:rPr>
      </w:pPr>
    </w:p>
    <w:p>
      <w:pPr>
        <w:ind w:left="4" w:hanging="4"/>
        <w:spacing w:after="0" w:line="287" w:lineRule="auto"/>
        <w:tabs>
          <w:tab w:leader="none" w:pos="269"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67" w:lineRule="exact"/>
        <w:rPr>
          <w:rFonts w:ascii="Arial" w:cs="Arial" w:eastAsia="Arial" w:hAnsi="Arial"/>
          <w:sz w:val="16"/>
          <w:szCs w:val="16"/>
          <w:b w:val="1"/>
          <w:bCs w:val="1"/>
          <w:color w:val="auto"/>
        </w:rPr>
      </w:pPr>
    </w:p>
    <w:p>
      <w:pPr>
        <w:jc w:val="both"/>
        <w:ind w:left="4" w:right="260" w:hanging="4"/>
        <w:spacing w:after="0" w:line="263" w:lineRule="auto"/>
        <w:tabs>
          <w:tab w:leader="none" w:pos="249"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sectPr>
      </w:pPr>
    </w:p>
    <w:bookmarkStart w:id="107" w:name="page108"/>
    <w:bookmarkEnd w:id="107"/>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6" w:lineRule="exact"/>
        <w:rPr>
          <w:sz w:val="20"/>
          <w:szCs w:val="20"/>
          <w:color w:val="auto"/>
        </w:rPr>
      </w:pPr>
    </w:p>
    <w:p>
      <w:pPr>
        <w:ind w:left="4" w:right="220" w:hanging="4"/>
        <w:spacing w:after="0" w:line="277" w:lineRule="auto"/>
        <w:tabs>
          <w:tab w:leader="none" w:pos="259"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b w:val="1"/>
          <w:bCs w:val="1"/>
          <w:color w:val="auto"/>
        </w:rPr>
        <w:t>4.1 Exchange and Transfer of Warrant Certificates</w:t>
      </w:r>
      <w:r>
        <w:rPr>
          <w:rFonts w:ascii="Arial" w:cs="Arial" w:eastAsia="Arial" w:hAnsi="Arial"/>
          <w:sz w:val="16"/>
          <w:szCs w:val="16"/>
          <w:color w:val="auto"/>
        </w:rPr>
        <w:t>. 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b w:val="1"/>
          <w:bCs w:val="1"/>
          <w:color w:val="auto"/>
        </w:rPr>
        <w:t>4.2 Treatment of Holders of Warrant Certificates</w:t>
      </w:r>
      <w:r>
        <w:rPr>
          <w:rFonts w:ascii="Arial" w:cs="Arial" w:eastAsia="Arial" w:hAnsi="Arial"/>
          <w:sz w:val="18"/>
          <w:szCs w:val="18"/>
          <w:color w:val="auto"/>
        </w:rPr>
        <w:t>. The Company, the Warrant Agent and all other persons may treat the registered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left="4" w:right="40"/>
        <w:spacing w:after="0" w:line="277" w:lineRule="auto"/>
        <w:rPr>
          <w:sz w:val="20"/>
          <w:szCs w:val="20"/>
          <w:color w:val="auto"/>
        </w:rPr>
      </w:pPr>
      <w:r>
        <w:rPr>
          <w:rFonts w:ascii="Arial" w:cs="Arial" w:eastAsia="Arial" w:hAnsi="Arial"/>
          <w:sz w:val="17"/>
          <w:szCs w:val="17"/>
          <w:b w:val="1"/>
          <w:bCs w:val="1"/>
          <w:color w:val="auto"/>
        </w:rPr>
        <w:t>4.3 Cancellation of Warrant Certificates</w:t>
      </w:r>
      <w:r>
        <w:rPr>
          <w:rFonts w:ascii="Arial" w:cs="Arial" w:eastAsia="Arial" w:hAnsi="Arial"/>
          <w:sz w:val="17"/>
          <w:szCs w:val="17"/>
          <w:color w:val="auto"/>
        </w:rPr>
        <w:t>. 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7"/>
          <w:szCs w:val="17"/>
          <w:b w:val="1"/>
          <w:bCs w:val="1"/>
          <w:color w:val="auto"/>
        </w:rPr>
        <w:t>5.1 Warrant Agent</w:t>
      </w:r>
      <w:r>
        <w:rPr>
          <w:rFonts w:ascii="Arial" w:cs="Arial" w:eastAsia="Arial" w:hAnsi="Arial"/>
          <w:sz w:val="17"/>
          <w:szCs w:val="17"/>
          <w:color w:val="auto"/>
        </w:rPr>
        <w:t>. The Company hereby appoints [•] as Warrant Agent of the Company in respect of the Warrants and the Warrant Certificates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108" w:name="page109"/>
    <w:bookmarkEnd w:id="108"/>
    <w:p>
      <w:pPr>
        <w:jc w:val="both"/>
        <w:ind w:left="4" w:right="4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5.2 Conditions of Warrant Agent’s Obligations</w:t>
      </w:r>
      <w:r>
        <w:rPr>
          <w:rFonts w:ascii="Arial" w:cs="Arial" w:eastAsia="Arial" w:hAnsi="Arial"/>
          <w:sz w:val="18"/>
          <w:szCs w:val="18"/>
          <w:color w:val="auto"/>
        </w:rPr>
        <w:t>. The Warrant Agent accepts its obligations herein set forth upon the terms and conditions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left="4" w:right="160" w:hanging="4"/>
        <w:spacing w:after="0" w:line="294" w:lineRule="auto"/>
        <w:tabs>
          <w:tab w:leader="none" w:pos="259"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Indemnification</w:t>
      </w:r>
      <w:r>
        <w:rPr>
          <w:rFonts w:ascii="Arial" w:cs="Arial" w:eastAsia="Arial" w:hAnsi="Arial"/>
          <w:sz w:val="16"/>
          <w:szCs w:val="16"/>
          <w:color w:val="auto"/>
        </w:rPr>
        <w:t>. The Company agrees promptly to pay the Warrant Agent the compensation to be agreed upon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left="4" w:hanging="4"/>
        <w:spacing w:after="0" w:line="266" w:lineRule="auto"/>
        <w:tabs>
          <w:tab w:leader="none" w:pos="26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Agent for the Company</w:t>
      </w:r>
      <w:r>
        <w:rPr>
          <w:rFonts w:ascii="Arial" w:cs="Arial" w:eastAsia="Arial" w:hAnsi="Arial"/>
          <w:sz w:val="18"/>
          <w:szCs w:val="18"/>
          <w:color w:val="auto"/>
        </w:rPr>
        <w:t>. In acting under this Agreement and in connection with the Warrant Certificates, the Warrant Agent is acting solely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left="4" w:right="40" w:hanging="4"/>
        <w:spacing w:after="0" w:line="266" w:lineRule="auto"/>
        <w:tabs>
          <w:tab w:leader="none" w:pos="24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The Warrant Agent may consult with counsel satisfactory to it, which may include counsel for the Company, and the written advice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ind w:left="4" w:right="200" w:hanging="4"/>
        <w:spacing w:after="0" w:line="266" w:lineRule="auto"/>
        <w:tabs>
          <w:tab w:leader="none" w:pos="26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 The Warrant Agent shall be protected and shall incur no liability for or in respect of any action taken or omitted by it in reliance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left="4" w:right="80" w:hanging="4"/>
        <w:spacing w:after="0" w:line="298" w:lineRule="auto"/>
        <w:tabs>
          <w:tab w:leader="none" w:pos="249"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Certain Transactions</w:t>
      </w:r>
      <w:r>
        <w:rPr>
          <w:rFonts w:ascii="Arial" w:cs="Arial" w:eastAsia="Arial" w:hAnsi="Arial"/>
          <w:sz w:val="16"/>
          <w:szCs w:val="16"/>
          <w:color w:val="auto"/>
        </w:rPr>
        <w:t>. The Warrant Agent, and its officers, directors and employees, may become the owner of, or acquire any interest in,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53" w:lineRule="exact"/>
        <w:rPr>
          <w:rFonts w:ascii="Arial" w:cs="Arial" w:eastAsia="Arial" w:hAnsi="Arial"/>
          <w:sz w:val="16"/>
          <w:szCs w:val="16"/>
          <w:b w:val="1"/>
          <w:bCs w:val="1"/>
          <w:color w:val="auto"/>
        </w:rPr>
      </w:pPr>
    </w:p>
    <w:p>
      <w:pPr>
        <w:ind w:left="4" w:right="320" w:hanging="4"/>
        <w:spacing w:after="0" w:line="282" w:lineRule="auto"/>
        <w:tabs>
          <w:tab w:leader="none" w:pos="22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 for Interest</w:t>
      </w:r>
      <w:r>
        <w:rPr>
          <w:rFonts w:ascii="Arial" w:cs="Arial" w:eastAsia="Arial" w:hAnsi="Arial"/>
          <w:sz w:val="18"/>
          <w:szCs w:val="18"/>
          <w:color w:val="auto"/>
        </w:rPr>
        <w:t>. Unless otherwise agreed with the Company, the Warrant Agent shall have no liability for interest on any monies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left="4" w:right="640" w:hanging="4"/>
        <w:spacing w:after="0" w:line="282" w:lineRule="auto"/>
        <w:tabs>
          <w:tab w:leader="none" w:pos="25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 for Invalidity</w:t>
      </w:r>
      <w:r>
        <w:rPr>
          <w:rFonts w:ascii="Arial" w:cs="Arial" w:eastAsia="Arial" w:hAnsi="Arial"/>
          <w:sz w:val="18"/>
          <w:szCs w:val="18"/>
          <w:color w:val="auto"/>
        </w:rPr>
        <w:t>. The Warrant Agent shall have no liability with respect to any invalidity of this Agreement or any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(except as to the Warrant Agent’s countersignature thereon).</w:t>
      </w:r>
    </w:p>
    <w:p>
      <w:pPr>
        <w:spacing w:after="0" w:line="161" w:lineRule="exact"/>
        <w:rPr>
          <w:rFonts w:ascii="Arial" w:cs="Arial" w:eastAsia="Arial" w:hAnsi="Arial"/>
          <w:sz w:val="18"/>
          <w:szCs w:val="18"/>
          <w:b w:val="1"/>
          <w:bCs w:val="1"/>
          <w:color w:val="auto"/>
        </w:rPr>
      </w:pPr>
    </w:p>
    <w:p>
      <w:pPr>
        <w:ind w:left="4" w:right="580" w:hanging="4"/>
        <w:spacing w:after="0" w:line="312" w:lineRule="auto"/>
        <w:tabs>
          <w:tab w:leader="none" w:pos="269"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No Responsibility for Representations</w:t>
      </w:r>
      <w:r>
        <w:rPr>
          <w:rFonts w:ascii="Arial" w:cs="Arial" w:eastAsia="Arial" w:hAnsi="Arial"/>
          <w:sz w:val="17"/>
          <w:szCs w:val="17"/>
          <w:color w:val="auto"/>
        </w:rPr>
        <w:t>. The Warrant Agent shall not be responsible for any of the recitals or representations herein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 all of which are made solely by the Company.</w:t>
      </w:r>
    </w:p>
    <w:p>
      <w:pPr>
        <w:spacing w:after="0" w:line="139" w:lineRule="exact"/>
        <w:rPr>
          <w:rFonts w:ascii="Arial" w:cs="Arial" w:eastAsia="Arial" w:hAnsi="Arial"/>
          <w:sz w:val="17"/>
          <w:szCs w:val="17"/>
          <w:b w:val="1"/>
          <w:bCs w:val="1"/>
          <w:color w:val="auto"/>
        </w:rPr>
      </w:pPr>
    </w:p>
    <w:p>
      <w:pPr>
        <w:ind w:left="4" w:right="40" w:hanging="4"/>
        <w:spacing w:after="0" w:line="258" w:lineRule="auto"/>
        <w:tabs>
          <w:tab w:leader="none" w:pos="21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No Implied Obligations</w:t>
      </w:r>
      <w:r>
        <w:rPr>
          <w:rFonts w:ascii="Arial" w:cs="Arial" w:eastAsia="Arial" w:hAnsi="Arial"/>
          <w:sz w:val="18"/>
          <w:szCs w:val="18"/>
          <w:color w:val="auto"/>
        </w:rPr>
        <w:t>. The Warrant Agent shall be obligated to perform only such duties as are herein and in the Warrant Certificates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86" w:right="459" w:bottom="1440" w:gutter="0" w:footer="0" w:header="0"/>
        </w:sectPr>
      </w:pPr>
    </w:p>
    <w:bookmarkStart w:id="109" w:name="page110"/>
    <w:bookmarkEnd w:id="109"/>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5.3 Resignation, Removal and Appointment of Successors</w:t>
      </w:r>
      <w:r>
        <w:rPr>
          <w:rFonts w:ascii="Arial" w:cs="Arial" w:eastAsia="Arial" w:hAnsi="Arial"/>
          <w:sz w:val="18"/>
          <w:szCs w:val="18"/>
          <w:color w:val="auto"/>
        </w:rPr>
        <w:t>.</w:t>
      </w:r>
    </w:p>
    <w:p>
      <w:pPr>
        <w:spacing w:after="0" w:line="229" w:lineRule="exact"/>
        <w:rPr>
          <w:sz w:val="20"/>
          <w:szCs w:val="20"/>
          <w:color w:val="auto"/>
        </w:rPr>
      </w:pPr>
    </w:p>
    <w:p>
      <w:pPr>
        <w:ind w:left="4" w:right="400" w:hanging="4"/>
        <w:spacing w:after="0" w:line="277" w:lineRule="auto"/>
        <w:tabs>
          <w:tab w:leader="none" w:pos="256"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left="4" w:right="140" w:hanging="4"/>
        <w:spacing w:after="0" w:line="271" w:lineRule="auto"/>
        <w:tabs>
          <w:tab w:leader="none" w:pos="266"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left="4" w:hanging="4"/>
        <w:spacing w:after="0" w:line="268" w:lineRule="auto"/>
        <w:tabs>
          <w:tab w:leader="none" w:pos="249"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6" w:lineRule="exact"/>
        <w:rPr>
          <w:rFonts w:ascii="Arial" w:cs="Arial" w:eastAsia="Arial" w:hAnsi="Arial"/>
          <w:sz w:val="17"/>
          <w:szCs w:val="17"/>
          <w:b w:val="1"/>
          <w:bCs w:val="1"/>
          <w:color w:val="auto"/>
        </w:rPr>
      </w:pPr>
    </w:p>
    <w:p>
      <w:pPr>
        <w:ind w:left="4" w:right="140" w:hanging="4"/>
        <w:spacing w:after="0" w:line="273" w:lineRule="auto"/>
        <w:tabs>
          <w:tab w:leader="none" w:pos="259"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77" w:lineRule="exact"/>
        <w:rPr>
          <w:rFonts w:ascii="Arial" w:cs="Arial" w:eastAsia="Arial" w:hAnsi="Arial"/>
          <w:sz w:val="17"/>
          <w:szCs w:val="17"/>
          <w:b w:val="1"/>
          <w:bCs w:val="1"/>
          <w:color w:val="auto"/>
        </w:rPr>
      </w:pPr>
    </w:p>
    <w:p>
      <w:pPr>
        <w:ind w:left="4" w:right="100" w:hanging="4"/>
        <w:spacing w:after="0" w:line="257" w:lineRule="auto"/>
        <w:tabs>
          <w:tab w:leader="none" w:pos="239"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90" w:right="4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6.1 Amendment</w:t>
      </w:r>
      <w:r>
        <w:rPr>
          <w:rFonts w:ascii="Arial" w:cs="Arial" w:eastAsia="Arial" w:hAnsi="Arial"/>
          <w:sz w:val="17"/>
          <w:szCs w:val="17"/>
          <w:color w:val="auto"/>
        </w:rPr>
        <w:t>. This Agreement may be amended by the parties hereto, without the consent of the holder of any Warrant Certificate,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6.2 Notices and Demands to the Company and Warrant Agent</w:t>
      </w:r>
      <w:r>
        <w:rPr>
          <w:rFonts w:ascii="Arial" w:cs="Arial" w:eastAsia="Arial" w:hAnsi="Arial"/>
          <w:sz w:val="18"/>
          <w:szCs w:val="18"/>
          <w:color w:val="auto"/>
        </w:rPr>
        <w:t>. If the Warrant Agent shall receive any notice or demand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b w:val="1"/>
          <w:bCs w:val="1"/>
          <w:color w:val="auto"/>
        </w:rPr>
        <w:t>6.3 Addresses</w:t>
      </w:r>
      <w:r>
        <w:rPr>
          <w:rFonts w:ascii="Arial" w:cs="Arial" w:eastAsia="Arial" w:hAnsi="Arial"/>
          <w:sz w:val="18"/>
          <w:szCs w:val="18"/>
          <w:color w:val="auto"/>
        </w:rPr>
        <w:t>. Any communication from the Company to the Warrant Agent with respect to this Agreement shall be addressed to [•], Attention: [•]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6.4 Governing Law</w:t>
      </w:r>
      <w:r>
        <w:rPr>
          <w:rFonts w:ascii="Arial" w:cs="Arial" w:eastAsia="Arial" w:hAnsi="Arial"/>
          <w:sz w:val="18"/>
          <w:szCs w:val="18"/>
          <w:color w:val="auto"/>
        </w:rPr>
        <w:t>. This Agreement and each Warrant Certificate issued hereunder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New York.</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color w:val="auto"/>
        </w:rPr>
        <w:t>6.5 Delivery of Prospectus</w:t>
      </w:r>
      <w:r>
        <w:rPr>
          <w:rFonts w:ascii="Arial" w:cs="Arial" w:eastAsia="Arial" w:hAnsi="Arial"/>
          <w:sz w:val="17"/>
          <w:szCs w:val="17"/>
          <w:color w:val="auto"/>
        </w:rPr>
        <w:t>. 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6.6 Obtaining of Governmental Approvals</w:t>
      </w:r>
      <w:r>
        <w:rPr>
          <w:rFonts w:ascii="Arial" w:cs="Arial" w:eastAsia="Arial" w:hAnsi="Arial"/>
          <w:sz w:val="16"/>
          <w:szCs w:val="16"/>
          <w:color w:val="auto"/>
        </w:rPr>
        <w:t>. The Company will from time to time take all action which may be necessary to obtain and keep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6.7 Persons Having Rights Under the Agreement</w:t>
      </w:r>
      <w:r>
        <w:rPr>
          <w:rFonts w:ascii="Arial" w:cs="Arial" w:eastAsia="Arial" w:hAnsi="Arial"/>
          <w:sz w:val="18"/>
          <w:szCs w:val="18"/>
          <w:color w:val="auto"/>
        </w:rPr>
        <w:t>. Nothing in this Agreement shall give to any person other than the Company, the Warrant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Warrant Certificates any right, remedy or claim under or by reason of this Agreement.</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6.8 Headings</w:t>
      </w:r>
      <w:r>
        <w:rPr>
          <w:rFonts w:ascii="Arial" w:cs="Arial" w:eastAsia="Arial" w:hAnsi="Arial"/>
          <w:sz w:val="18"/>
          <w:szCs w:val="18"/>
          <w:color w:val="auto"/>
        </w:rPr>
        <w:t>. The descriptive headings of the several Articles and Sections of this Agreement are inserted for convenience only and shall not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or construction of any of the provisions hereof.</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6.9 Counterparts</w:t>
      </w:r>
      <w:r>
        <w:rPr>
          <w:rFonts w:ascii="Arial" w:cs="Arial" w:eastAsia="Arial" w:hAnsi="Arial"/>
          <w:sz w:val="18"/>
          <w:szCs w:val="18"/>
          <w:color w:val="auto"/>
        </w:rPr>
        <w:t>. This Agreement may be executed in any number of counterparts, each of which as so executed shall be deemed to be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shall together constitute but one and the same instrument.</w:t>
      </w:r>
    </w:p>
    <w:p>
      <w:pPr>
        <w:spacing w:after="0" w:line="162"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6.10 Inspection of Agreement</w:t>
      </w:r>
      <w:r>
        <w:rPr>
          <w:rFonts w:ascii="Arial" w:cs="Arial" w:eastAsia="Arial" w:hAnsi="Arial"/>
          <w:sz w:val="18"/>
          <w:szCs w:val="18"/>
          <w:color w:val="auto"/>
        </w:rPr>
        <w:t>. A copy of this Agreement shall be available at all reasonable times at the principal corporate trust office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inspection by the holder of any Warrant Certificate. The Warrant Agent may require such holder to submit such holder’s Warrant Certificate for inspection by 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86" w:right="4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caused this Agreement to be duly executed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-7620</wp:posOffset>
            </wp:positionV>
            <wp:extent cx="1856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185674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266065</wp:posOffset>
            </wp:positionV>
            <wp:extent cx="18853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-7620</wp:posOffset>
            </wp:positionV>
            <wp:extent cx="18567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9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486"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pacing w:after="0" w:line="238"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b w:val="1"/>
          <w:bCs w:val="1"/>
          <w:i w:val="1"/>
          <w:iCs w:val="1"/>
          <w:color w:val="auto"/>
        </w:rPr>
        <w:t>[Form of Legend if Warrants are not immediately exercisable.]</w:t>
      </w:r>
      <w:r>
        <w:rPr>
          <w:sz w:val="20"/>
          <w:szCs w:val="20"/>
          <w:color w:val="auto"/>
        </w:rPr>
        <w:tab/>
      </w:r>
      <w:r>
        <w:rPr>
          <w:rFonts w:ascii="Arial" w:cs="Arial" w:eastAsia="Arial" w:hAnsi="Arial"/>
          <w:sz w:val="16"/>
          <w:szCs w:val="16"/>
          <w:color w:val="auto"/>
        </w:rPr>
        <w:t>[Prior to [•], Warrants evidenced by this Warrant Certificate cannot be exercised.]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 P.M., [City] time, ON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38"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ectPr>
          <w:pgSz w:w="11900" w:h="16838" w:orient="portrait"/>
          <w:cols w:equalWidth="0" w:num="1">
            <w:col w:w="11020"/>
          </w:cols>
          <w:pgMar w:left="440" w:top="486" w:right="439" w:bottom="1440" w:gutter="0" w:footer="0" w:header="0"/>
        </w:sectPr>
      </w:pPr>
    </w:p>
    <w:bookmarkStart w:id="113" w:name="page114"/>
    <w:bookmarkEnd w:id="113"/>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-7620</wp:posOffset>
            </wp:positionV>
            <wp:extent cx="1799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17995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266065</wp:posOffset>
            </wp:positionV>
            <wp:extent cx="17995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as Warrant Agent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-7620</wp:posOffset>
            </wp:positionV>
            <wp:extent cx="18567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ectPr>
          <w:pgSz w:w="11900" w:h="16838" w:orient="portrait"/>
          <w:cols w:equalWidth="0" w:num="1">
            <w:col w:w="10780"/>
          </w:cols>
          <w:pgMar w:left="440" w:top="490" w:right="6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undersigned hereby irrevocably elects to exercise Warrants, evidenced by this Warrant Certificate, to purchase shares of the Common Stock,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NGM Biopharmaceuticals,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NGM Biopharmaceuticals,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14605</wp:posOffset>
            </wp:positionV>
            <wp:extent cx="21685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-10160</wp:posOffset>
            </wp:positionV>
            <wp:extent cx="913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This Warrant may be exercised at the following addresses:</w:t>
            </w:r>
          </w:p>
        </w:tc>
        <w:tc>
          <w:tcPr>
            <w:tcW w:w="530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By hand at:</w:t>
            </w:r>
          </w:p>
        </w:tc>
        <w:tc>
          <w:tcPr>
            <w:tcW w:w="530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5720" w:type="dxa"/>
            <w:vAlign w:val="bottom"/>
          </w:tcPr>
          <w:p>
            <w:pPr>
              <w:spacing w:after="0"/>
              <w:rPr>
                <w:sz w:val="20"/>
                <w:szCs w:val="20"/>
                <w:color w:val="auto"/>
              </w:rPr>
            </w:pPr>
            <w:r>
              <w:rPr>
                <w:rFonts w:ascii="Arial" w:cs="Arial" w:eastAsia="Arial" w:hAnsi="Arial"/>
                <w:sz w:val="18"/>
                <w:szCs w:val="18"/>
                <w:color w:val="auto"/>
              </w:rPr>
              <w:t>By mail at:</w:t>
            </w:r>
          </w:p>
        </w:tc>
        <w:tc>
          <w:tcPr>
            <w:tcW w:w="53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1020"/>
          </w:cols>
          <w:pgMar w:left="440" w:top="486" w:right="439" w:bottom="1440" w:gutter="0" w:footer="0" w:header="0"/>
        </w:sectPr>
      </w:pPr>
    </w:p>
    <w:bookmarkStart w:id="115" w:name="page116"/>
    <w:bookmarkEnd w:id="115"/>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color w:val="auto"/>
        </w:rPr>
        <w:t>, hereby sells, assigns and transfers unto:</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right represented by the within Warrant to purchase shares of [Title of Warrant Securities] of NGM Biopharmaceuticals, Inc. to which the within Warrant relates and appoints attorney to transfer such right on the books of the Warrant Agent with full power of substitution in the premises.</w:t>
      </w:r>
    </w:p>
    <w:p>
      <w:pPr>
        <w:spacing w:after="0" w:line="15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14605</wp:posOffset>
            </wp:positionV>
            <wp:extent cx="2168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-10160</wp:posOffset>
            </wp:positionV>
            <wp:extent cx="17424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0640"/>
          </w:cols>
          <w:pgMar w:left="440" w:top="486" w:right="8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PREFERRED STOCK WARRANT AGREEMENT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THIS PREFERRED STOCK WARRANT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with] 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[title of Preferred Stock purchasable through exercise of Warrants] of the Company,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the Warrant Agent to act on behalf of the Company, and the Warrant Agent is willing so to act,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 Securities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and Warrants </w:t>
      </w:r>
      <w:r>
        <w:rPr>
          <w:rFonts w:ascii="Arial" w:cs="Arial" w:eastAsia="Arial" w:hAnsi="Arial"/>
          <w:sz w:val="16"/>
          <w:szCs w:val="16"/>
          <w:color w:val="auto"/>
        </w:rPr>
        <w:t>—Warrant Certificates will be issued in connection with the issuance of the Other Securities but shall be separately transferable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b w:val="1"/>
          <w:bCs w:val="1"/>
          <w:color w:val="auto"/>
        </w:rPr>
        <w:t xml:space="preserve">1.2 Execution and Delivery of Warrant Certificates. </w:t>
      </w:r>
      <w:r>
        <w:rPr>
          <w:rFonts w:ascii="Arial" w:cs="Arial" w:eastAsia="Arial" w:hAnsi="Arial"/>
          <w:sz w:val="17"/>
          <w:szCs w:val="17"/>
          <w:color w:val="auto"/>
        </w:rPr>
        <w:t>Each Warrant Certificate, whenever issued, shall be in registered form substantially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 forth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7" w:name="page118"/>
    <w:bookmarkEnd w:id="117"/>
    <w:p>
      <w:pPr>
        <w:ind w:left="4"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95" w:lineRule="exact"/>
        <w:rPr>
          <w:sz w:val="20"/>
          <w:szCs w:val="20"/>
          <w:color w:val="auto"/>
        </w:rPr>
      </w:pPr>
    </w:p>
    <w:p>
      <w:pPr>
        <w:ind w:left="4" w:right="300"/>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5"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jc w:val="both"/>
        <w:ind w:left="4" w:right="18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07"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 and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2.3 Exercise of Warrants</w:t>
      </w:r>
      <w:r>
        <w:rPr>
          <w:rFonts w:ascii="Arial" w:cs="Arial" w:eastAsia="Arial" w:hAnsi="Arial"/>
          <w:sz w:val="18"/>
          <w:szCs w:val="18"/>
          <w:color w:val="auto"/>
        </w:rPr>
        <w:t>.</w:t>
      </w:r>
    </w:p>
    <w:p>
      <w:pPr>
        <w:spacing w:after="0" w:line="229" w:lineRule="exact"/>
        <w:rPr>
          <w:sz w:val="20"/>
          <w:szCs w:val="20"/>
          <w:color w:val="auto"/>
        </w:rPr>
      </w:pPr>
    </w:p>
    <w:p>
      <w:pPr>
        <w:jc w:val="both"/>
        <w:ind w:left="4" w:right="240" w:hanging="4"/>
        <w:spacing w:after="0" w:line="263" w:lineRule="auto"/>
        <w:tabs>
          <w:tab w:leader="none" w:pos="259"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118" w:name="page119"/>
    <w:bookmarkEnd w:id="118"/>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7" w:lineRule="exact"/>
        <w:rPr>
          <w:sz w:val="20"/>
          <w:szCs w:val="20"/>
          <w:color w:val="auto"/>
        </w:rPr>
      </w:pPr>
    </w:p>
    <w:p>
      <w:pPr>
        <w:jc w:val="both"/>
        <w:ind w:left="4" w:right="160" w:hanging="4"/>
        <w:spacing w:after="0" w:line="301" w:lineRule="auto"/>
        <w:tabs>
          <w:tab w:leader="none" w:pos="266"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left="4" w:right="260" w:hanging="4"/>
        <w:spacing w:after="0" w:line="257" w:lineRule="auto"/>
        <w:tabs>
          <w:tab w:leader="none" w:pos="239"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left="4" w:hanging="4"/>
        <w:spacing w:after="0" w:line="259" w:lineRule="auto"/>
        <w:tabs>
          <w:tab w:leader="none" w:pos="26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left="4" w:right="180" w:hanging="4"/>
        <w:spacing w:after="0" w:line="308" w:lineRule="auto"/>
        <w:tabs>
          <w:tab w:leader="none" w:pos="249"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5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119" w:name="page120"/>
    <w:bookmarkEnd w:id="119"/>
    <w:p>
      <w:pPr>
        <w:ind w:left="4" w:right="1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Lost, Stolen, Mutilated or Destroyed Warrant Certificates. </w:t>
      </w:r>
      <w:r>
        <w:rPr>
          <w:rFonts w:ascii="Arial" w:cs="Arial" w:eastAsia="Arial" w:hAnsi="Arial"/>
          <w:sz w:val="16"/>
          <w:szCs w:val="16"/>
          <w:color w:val="auto"/>
        </w:rPr>
        <w:t>Upon receipt by the Warrant Agent of evidence reasonably satisfactory to 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4"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3.4 Adjustments</w:t>
      </w:r>
      <w:r>
        <w:rPr>
          <w:rFonts w:ascii="Arial" w:cs="Arial" w:eastAsia="Arial" w:hAnsi="Arial"/>
          <w:sz w:val="18"/>
          <w:szCs w:val="18"/>
          <w:color w:val="auto"/>
        </w:rPr>
        <w:t>.</w:t>
      </w:r>
    </w:p>
    <w:p>
      <w:pPr>
        <w:spacing w:after="0" w:line="229" w:lineRule="exact"/>
        <w:rPr>
          <w:sz w:val="20"/>
          <w:szCs w:val="20"/>
          <w:color w:val="auto"/>
        </w:rPr>
      </w:pPr>
    </w:p>
    <w:p>
      <w:pPr>
        <w:ind w:left="4" w:right="60" w:hanging="4"/>
        <w:spacing w:after="0" w:line="296" w:lineRule="auto"/>
        <w:tabs>
          <w:tab w:leader="none" w:pos="259"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61" w:lineRule="exact"/>
        <w:rPr>
          <w:rFonts w:ascii="Arial" w:cs="Arial" w:eastAsia="Arial" w:hAnsi="Arial"/>
          <w:sz w:val="16"/>
          <w:szCs w:val="16"/>
          <w:b w:val="1"/>
          <w:bCs w:val="1"/>
          <w:color w:val="auto"/>
        </w:rPr>
      </w:pPr>
    </w:p>
    <w:p>
      <w:pPr>
        <w:ind w:left="4" w:right="140" w:hanging="4"/>
        <w:spacing w:after="0" w:line="342" w:lineRule="auto"/>
        <w:tabs>
          <w:tab w:leader="none" w:pos="269"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24" w:lineRule="exact"/>
        <w:rPr>
          <w:sz w:val="20"/>
          <w:szCs w:val="20"/>
          <w:color w:val="auto"/>
        </w:rPr>
      </w:pPr>
    </w:p>
    <w:p>
      <w:pPr>
        <w:ind w:left="4" w:right="160" w:hanging="4"/>
        <w:spacing w:after="0" w:line="263" w:lineRule="auto"/>
        <w:tabs>
          <w:tab w:leader="none" w:pos="219"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83" w:lineRule="exact"/>
        <w:rPr>
          <w:rFonts w:ascii="Arial" w:cs="Arial" w:eastAsia="Arial" w:hAnsi="Arial"/>
          <w:sz w:val="18"/>
          <w:szCs w:val="18"/>
          <w:b w:val="1"/>
          <w:bCs w:val="1"/>
          <w:color w:val="auto"/>
        </w:rPr>
      </w:pPr>
    </w:p>
    <w:p>
      <w:pPr>
        <w:ind w:left="4" w:right="220" w:hanging="4"/>
        <w:spacing w:after="0" w:line="277" w:lineRule="auto"/>
        <w:tabs>
          <w:tab w:leader="none" w:pos="269"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70" w:lineRule="exact"/>
        <w:rPr>
          <w:rFonts w:ascii="Arial" w:cs="Arial" w:eastAsia="Arial" w:hAnsi="Arial"/>
          <w:sz w:val="18"/>
          <w:szCs w:val="18"/>
          <w:b w:val="1"/>
          <w:bCs w:val="1"/>
          <w:color w:val="auto"/>
        </w:rPr>
      </w:pPr>
    </w:p>
    <w:p>
      <w:pPr>
        <w:ind w:left="324" w:hanging="324"/>
        <w:spacing w:after="0"/>
        <w:tabs>
          <w:tab w:leader="none" w:pos="324"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any evidence of the Company’s indebtedness or rights to subscribe for or purchase the Company’s indebtedness; or</w:t>
      </w:r>
    </w:p>
    <w:p>
      <w:pPr>
        <w:spacing w:after="0" w:line="225" w:lineRule="exact"/>
        <w:rPr>
          <w:rFonts w:ascii="Arial" w:cs="Arial" w:eastAsia="Arial" w:hAnsi="Arial"/>
          <w:sz w:val="18"/>
          <w:szCs w:val="18"/>
          <w:b w:val="1"/>
          <w:bCs w:val="1"/>
          <w:color w:val="auto"/>
        </w:rPr>
      </w:pPr>
    </w:p>
    <w:p>
      <w:pPr>
        <w:ind w:left="4" w:right="140" w:hanging="4"/>
        <w:spacing w:after="0" w:line="279" w:lineRule="auto"/>
        <w:tabs>
          <w:tab w:leader="none" w:pos="309"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86" w:right="439" w:bottom="1440" w:gutter="0" w:footer="0" w:header="0"/>
        </w:sectPr>
      </w:pPr>
    </w:p>
    <w:bookmarkStart w:id="120" w:name="page121"/>
    <w:bookmarkEnd w:id="120"/>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88" w:lineRule="exact"/>
        <w:rPr>
          <w:sz w:val="20"/>
          <w:szCs w:val="20"/>
          <w:color w:val="auto"/>
        </w:rPr>
      </w:pPr>
    </w:p>
    <w:p>
      <w:pPr>
        <w:ind w:left="4" w:right="40" w:hanging="4"/>
        <w:spacing w:after="0" w:line="285" w:lineRule="auto"/>
        <w:tabs>
          <w:tab w:leader="none" w:pos="249"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w:t>
      </w:r>
    </w:p>
    <w:p>
      <w:pPr>
        <w:spacing w:after="0" w:line="1" w:lineRule="exact"/>
        <w:rPr>
          <w:rFonts w:ascii="Arial" w:cs="Arial" w:eastAsia="Arial" w:hAnsi="Arial"/>
          <w:sz w:val="16"/>
          <w:szCs w:val="16"/>
          <w:b w:val="1"/>
          <w:bCs w:val="1"/>
          <w:color w:val="auto"/>
        </w:rPr>
      </w:pPr>
    </w:p>
    <w:p>
      <w:pPr>
        <w:ind w:left="4" w:hanging="4"/>
        <w:spacing w:after="0" w:line="284"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86" w:lineRule="exact"/>
        <w:rPr>
          <w:rFonts w:ascii="Arial" w:cs="Arial" w:eastAsia="Arial" w:hAnsi="Arial"/>
          <w:sz w:val="16"/>
          <w:szCs w:val="16"/>
          <w:color w:val="auto"/>
        </w:rPr>
      </w:pPr>
    </w:p>
    <w:p>
      <w:pPr>
        <w:ind w:left="4" w:right="180" w:hanging="4"/>
        <w:spacing w:after="0" w:line="286" w:lineRule="auto"/>
        <w:tabs>
          <w:tab w:leader="none" w:pos="266" w:val="left"/>
        </w:tabs>
        <w:numPr>
          <w:ilvl w:val="0"/>
          <w:numId w:val="124"/>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5" w:lineRule="exact"/>
        <w:rPr>
          <w:rFonts w:ascii="Arial" w:cs="Arial" w:eastAsia="Arial" w:hAnsi="Arial"/>
          <w:sz w:val="17"/>
          <w:szCs w:val="17"/>
          <w:b w:val="1"/>
          <w:bCs w:val="1"/>
          <w:color w:val="auto"/>
        </w:rPr>
      </w:pPr>
    </w:p>
    <w:p>
      <w:pPr>
        <w:ind w:left="4" w:right="260" w:hanging="4"/>
        <w:spacing w:after="0" w:line="277" w:lineRule="auto"/>
        <w:tabs>
          <w:tab w:leader="none" w:pos="249"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any securities of the Company or for any other reason whatsoever.</w:t>
      </w:r>
    </w:p>
    <w:p>
      <w:pPr>
        <w:spacing w:after="0" w:line="170" w:lineRule="exact"/>
        <w:rPr>
          <w:rFonts w:ascii="Arial" w:cs="Arial" w:eastAsia="Arial" w:hAnsi="Arial"/>
          <w:sz w:val="18"/>
          <w:szCs w:val="18"/>
          <w:b w:val="1"/>
          <w:bCs w:val="1"/>
          <w:color w:val="auto"/>
        </w:rPr>
      </w:pPr>
    </w:p>
    <w:p>
      <w:pPr>
        <w:ind w:left="4" w:right="20" w:hanging="4"/>
        <w:spacing w:after="0" w:line="291" w:lineRule="auto"/>
        <w:tabs>
          <w:tab w:leader="none" w:pos="229"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121" w:name="page122"/>
    <w:bookmarkEnd w:id="121"/>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low asked prices as reported on the OTC Bulletin Board Service (the “</w:t>
      </w:r>
      <w:r>
        <w:rPr>
          <w:rFonts w:ascii="Arial" w:cs="Arial" w:eastAsia="Arial" w:hAnsi="Arial"/>
          <w:sz w:val="18"/>
          <w:szCs w:val="18"/>
          <w:b w:val="1"/>
          <w:bCs w:val="1"/>
          <w:i w:val="1"/>
          <w:iCs w:val="1"/>
          <w:color w:val="auto"/>
        </w:rPr>
        <w:t>OTC Bulletin Board</w:t>
      </w:r>
      <w:r>
        <w:rPr>
          <w:rFonts w:ascii="Arial" w:cs="Arial" w:eastAsia="Arial" w:hAnsi="Arial"/>
          <w:sz w:val="18"/>
          <w:szCs w:val="18"/>
          <w:color w:val="auto"/>
        </w:rPr>
        <w:t>”) operated by the Financial Industry Regulatory Authority, Inc.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95" w:lineRule="exact"/>
        <w:rPr>
          <w:sz w:val="20"/>
          <w:szCs w:val="20"/>
          <w:color w:val="auto"/>
        </w:rPr>
      </w:pPr>
    </w:p>
    <w:p>
      <w:pPr>
        <w:ind w:left="4" w:right="360" w:hanging="4"/>
        <w:spacing w:after="0" w:line="286" w:lineRule="auto"/>
        <w:tabs>
          <w:tab w:leader="none" w:pos="256"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left="4" w:right="20" w:hanging="4"/>
        <w:spacing w:after="0" w:line="277" w:lineRule="auto"/>
        <w:tabs>
          <w:tab w:leader="none" w:pos="269"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66" w:lineRule="exact"/>
        <w:rPr>
          <w:sz w:val="20"/>
          <w:szCs w:val="20"/>
          <w:color w:val="auto"/>
        </w:rPr>
      </w:pPr>
    </w:p>
    <w:p>
      <w:pPr>
        <w:ind w:left="4"/>
        <w:spacing w:after="0" w:line="269"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dividend or distribution described in Section 3.4(b), (b) effect any</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3.6 [If the Warrants are Subject to Acceleration by the Company, Insert — Acceleration of Warrants by the Company</w:t>
      </w:r>
      <w:r>
        <w:rPr>
          <w:rFonts w:ascii="Arial" w:cs="Arial" w:eastAsia="Arial" w:hAnsi="Arial"/>
          <w:sz w:val="18"/>
          <w:szCs w:val="18"/>
          <w:color w:val="auto"/>
        </w:rPr>
        <w:t>.</w:t>
      </w:r>
    </w:p>
    <w:p>
      <w:pPr>
        <w:spacing w:after="0" w:line="229" w:lineRule="exact"/>
        <w:rPr>
          <w:sz w:val="20"/>
          <w:szCs w:val="20"/>
          <w:color w:val="auto"/>
        </w:rPr>
      </w:pPr>
    </w:p>
    <w:p>
      <w:pPr>
        <w:ind w:left="4" w:right="40" w:hanging="4"/>
        <w:spacing w:after="0" w:line="257" w:lineRule="auto"/>
        <w:tabs>
          <w:tab w:leader="none" w:pos="249"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7" w:lineRule="exact"/>
        <w:rPr>
          <w:rFonts w:ascii="Arial" w:cs="Arial" w:eastAsia="Arial" w:hAnsi="Arial"/>
          <w:sz w:val="18"/>
          <w:szCs w:val="18"/>
          <w:b w:val="1"/>
          <w:bCs w:val="1"/>
          <w:color w:val="auto"/>
        </w:rPr>
      </w:pPr>
    </w:p>
    <w:p>
      <w:pPr>
        <w:ind w:left="4" w:right="20" w:hanging="4"/>
        <w:spacing w:after="0" w:line="269" w:lineRule="auto"/>
        <w:tabs>
          <w:tab w:leader="none" w:pos="269"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490" w:right="439" w:bottom="1440" w:gutter="0" w:footer="0" w:header="0"/>
        </w:sectPr>
      </w:pPr>
    </w:p>
    <w:bookmarkStart w:id="122" w:name="page123"/>
    <w:bookmarkEnd w:id="122"/>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88" w:lineRule="exact"/>
        <w:rPr>
          <w:sz w:val="20"/>
          <w:szCs w:val="20"/>
          <w:color w:val="auto"/>
        </w:rPr>
      </w:pPr>
    </w:p>
    <w:p>
      <w:pPr>
        <w:ind w:left="4" w:right="260" w:hanging="4"/>
        <w:spacing w:after="0" w:line="257" w:lineRule="auto"/>
        <w:tabs>
          <w:tab w:leader="none" w:pos="249"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7" w:lineRule="exact"/>
        <w:rPr>
          <w:rFonts w:ascii="Arial" w:cs="Arial" w:eastAsia="Arial" w:hAnsi="Arial"/>
          <w:sz w:val="18"/>
          <w:szCs w:val="18"/>
          <w:b w:val="1"/>
          <w:bCs w:val="1"/>
          <w:color w:val="auto"/>
        </w:rPr>
      </w:pPr>
    </w:p>
    <w:p>
      <w:pPr>
        <w:ind w:left="4" w:right="220" w:hanging="4"/>
        <w:spacing w:after="0" w:line="277" w:lineRule="auto"/>
        <w:tabs>
          <w:tab w:leader="none" w:pos="259"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07"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b w:val="1"/>
          <w:bCs w:val="1"/>
          <w:color w:val="auto"/>
        </w:rPr>
        <w:t xml:space="preserve">4.1 Exchange and Transfer of Warrant Certificates. </w:t>
      </w:r>
      <w:r>
        <w:rPr>
          <w:rFonts w:ascii="Arial" w:cs="Arial" w:eastAsia="Arial" w:hAnsi="Arial"/>
          <w:sz w:val="16"/>
          <w:szCs w:val="16"/>
          <w:color w:val="auto"/>
        </w:rPr>
        <w:t>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left="4" w:right="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123" w:name="page124"/>
    <w:bookmarkEnd w:id="12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5</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CONCERNING THE WARRANT AGENT</w:t>
      </w:r>
    </w:p>
    <w:p>
      <w:pPr>
        <w:spacing w:after="0" w:line="207" w:lineRule="exact"/>
        <w:rPr>
          <w:sz w:val="20"/>
          <w:szCs w:val="20"/>
          <w:color w:val="auto"/>
        </w:rPr>
      </w:pPr>
    </w:p>
    <w:p>
      <w:pPr>
        <w:ind w:left="4" w:right="2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 Certificates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jc w:val="both"/>
        <w:ind w:left="4" w:right="40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left="4" w:right="140" w:hanging="4"/>
        <w:spacing w:after="0" w:line="294" w:lineRule="auto"/>
        <w:tabs>
          <w:tab w:leader="none" w:pos="25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left="4" w:hanging="4"/>
        <w:spacing w:after="0" w:line="266" w:lineRule="auto"/>
        <w:tabs>
          <w:tab w:leader="none" w:pos="26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 acting solely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left="4" w:right="20" w:hanging="4"/>
        <w:spacing w:after="0" w:line="266" w:lineRule="auto"/>
        <w:tabs>
          <w:tab w:leader="none" w:pos="24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 written advice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ind w:left="4" w:right="180" w:hanging="4"/>
        <w:spacing w:after="0" w:line="266" w:lineRule="auto"/>
        <w:tabs>
          <w:tab w:leader="none" w:pos="26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 reliance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left="4" w:right="60" w:hanging="4"/>
        <w:spacing w:after="0" w:line="298" w:lineRule="auto"/>
        <w:tabs>
          <w:tab w:leader="none" w:pos="249"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 interest in,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53" w:lineRule="exact"/>
        <w:rPr>
          <w:rFonts w:ascii="Arial" w:cs="Arial" w:eastAsia="Arial" w:hAnsi="Arial"/>
          <w:sz w:val="16"/>
          <w:szCs w:val="16"/>
          <w:b w:val="1"/>
          <w:bCs w:val="1"/>
          <w:color w:val="auto"/>
        </w:rPr>
      </w:pPr>
    </w:p>
    <w:p>
      <w:pPr>
        <w:ind w:left="4" w:right="300" w:hanging="4"/>
        <w:spacing w:after="0" w:line="282" w:lineRule="auto"/>
        <w:tabs>
          <w:tab w:leader="none" w:pos="22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 monies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left="4" w:right="640" w:hanging="4"/>
        <w:spacing w:after="0" w:line="282" w:lineRule="auto"/>
        <w:tabs>
          <w:tab w:leader="none" w:pos="25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(except as to the Warrant Agent’s countersignature thereon).</w:t>
      </w:r>
    </w:p>
    <w:p>
      <w:pPr>
        <w:spacing w:after="0" w:line="161" w:lineRule="exact"/>
        <w:rPr>
          <w:rFonts w:ascii="Arial" w:cs="Arial" w:eastAsia="Arial" w:hAnsi="Arial"/>
          <w:sz w:val="18"/>
          <w:szCs w:val="18"/>
          <w:b w:val="1"/>
          <w:bCs w:val="1"/>
          <w:color w:val="auto"/>
        </w:rPr>
      </w:pPr>
    </w:p>
    <w:p>
      <w:pPr>
        <w:ind w:left="4" w:right="560" w:hanging="4"/>
        <w:spacing w:after="0" w:line="312" w:lineRule="auto"/>
        <w:tabs>
          <w:tab w:leader="none" w:pos="269"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 all of which are made solely by the Company.</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486" w:right="479" w:bottom="1440" w:gutter="0" w:footer="0" w:header="0"/>
        </w:sectPr>
      </w:pPr>
    </w:p>
    <w:bookmarkStart w:id="124" w:name="page125"/>
    <w:bookmarkEnd w:id="124"/>
    <w:p>
      <w:pPr>
        <w:ind w:left="4" w:right="20" w:hanging="4"/>
        <w:spacing w:after="0" w:line="270" w:lineRule="auto"/>
        <w:tabs>
          <w:tab w:leader="none" w:pos="21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 Implied Obligations. </w:t>
      </w:r>
      <w:r>
        <w:rPr>
          <w:rFonts w:ascii="Arial" w:cs="Arial" w:eastAsia="Arial" w:hAnsi="Arial"/>
          <w:sz w:val="17"/>
          <w:szCs w:val="17"/>
          <w:color w:val="auto"/>
        </w:rPr>
        <w:t>The Warrant Agent shall be obligated to perform only such duties as are herein and in the Warrant Certificates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5.3 Resignation, Removal and Appointment of Successors</w:t>
      </w:r>
      <w:r>
        <w:rPr>
          <w:rFonts w:ascii="Arial" w:cs="Arial" w:eastAsia="Arial" w:hAnsi="Arial"/>
          <w:sz w:val="18"/>
          <w:szCs w:val="18"/>
          <w:color w:val="auto"/>
        </w:rPr>
        <w:t>.</w:t>
      </w:r>
    </w:p>
    <w:p>
      <w:pPr>
        <w:spacing w:after="0" w:line="229" w:lineRule="exact"/>
        <w:rPr>
          <w:sz w:val="20"/>
          <w:szCs w:val="20"/>
          <w:color w:val="auto"/>
        </w:rPr>
      </w:pPr>
    </w:p>
    <w:p>
      <w:pPr>
        <w:ind w:left="4" w:right="400" w:hanging="4"/>
        <w:spacing w:after="0" w:line="277" w:lineRule="auto"/>
        <w:tabs>
          <w:tab w:leader="none" w:pos="256"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left="4" w:right="140" w:hanging="4"/>
        <w:spacing w:after="0" w:line="271" w:lineRule="auto"/>
        <w:tabs>
          <w:tab w:leader="none" w:pos="266"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left="4" w:hanging="4"/>
        <w:spacing w:after="0" w:line="268" w:lineRule="auto"/>
        <w:tabs>
          <w:tab w:leader="none" w:pos="249"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6" w:lineRule="exact"/>
        <w:rPr>
          <w:rFonts w:ascii="Arial" w:cs="Arial" w:eastAsia="Arial" w:hAnsi="Arial"/>
          <w:sz w:val="17"/>
          <w:szCs w:val="17"/>
          <w:b w:val="1"/>
          <w:bCs w:val="1"/>
          <w:color w:val="auto"/>
        </w:rPr>
      </w:pPr>
    </w:p>
    <w:p>
      <w:pPr>
        <w:ind w:left="4" w:right="140" w:hanging="4"/>
        <w:spacing w:after="0" w:line="273" w:lineRule="auto"/>
        <w:tabs>
          <w:tab w:leader="none" w:pos="259"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86" w:right="459" w:bottom="1440" w:gutter="0" w:footer="0" w:header="0"/>
        </w:sectPr>
      </w:pPr>
    </w:p>
    <w:bookmarkStart w:id="125" w:name="page126"/>
    <w:bookmarkEnd w:id="125"/>
    <w:p>
      <w:pPr>
        <w:ind w:left="4" w:right="100" w:hanging="4"/>
        <w:spacing w:after="0" w:line="257" w:lineRule="auto"/>
        <w:tabs>
          <w:tab w:leader="none" w:pos="239"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ind w:left="4"/>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jc w:val="both"/>
        <w:ind w:left="4" w:right="10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 Attention: [•]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jc w:val="both"/>
        <w:ind w:left="4" w:right="10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New York.</w:t>
      </w:r>
    </w:p>
    <w:p>
      <w:pPr>
        <w:spacing w:after="0" w:line="162" w:lineRule="exact"/>
        <w:rPr>
          <w:sz w:val="20"/>
          <w:szCs w:val="20"/>
          <w:color w:val="auto"/>
        </w:rPr>
      </w:pPr>
    </w:p>
    <w:p>
      <w:pPr>
        <w:ind w:left="4" w:right="22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left="4" w:right="80"/>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Warrant Certificates any right, remedy or claim under or by reason of this Agreement.</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or construction of any of the provisions hereof.</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shall together constitute but one and the same instrument.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490" w:right="459" w:bottom="1440" w:gutter="0" w:footer="0" w:header="0"/>
        </w:sectPr>
      </w:pPr>
    </w:p>
    <w:bookmarkStart w:id="126" w:name="page127"/>
    <w:bookmarkEnd w:id="126"/>
    <w:p>
      <w:pPr>
        <w:jc w:val="both"/>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6.10 Inspection of Agreement. </w:t>
      </w:r>
      <w:r>
        <w:rPr>
          <w:rFonts w:ascii="Arial" w:cs="Arial" w:eastAsia="Arial" w:hAnsi="Arial"/>
          <w:sz w:val="18"/>
          <w:szCs w:val="18"/>
          <w:color w:val="auto"/>
        </w:rPr>
        <w:t>A copy of this Agreement shall be available at all reasonable times at the principal corporate trust office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inspection by the holder of any Warrant Certificate. The Warrant Agent may require such holder to submit such holder’s Warrant Certificate for inspection by it.</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440" w:top="486" w:right="59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22631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486" w:right="1440"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[FACE OF WARRANT CERTIFICATE]</w:t>
      </w:r>
    </w:p>
    <w:p>
      <w:pPr>
        <w:sectPr>
          <w:pgSz w:w="11900" w:h="16838" w:orient="portrait"/>
          <w:cols w:equalWidth="0" w:num="1">
            <w:col w:w="11020"/>
          </w:cols>
          <w:pgMar w:left="440" w:top="486" w:right="4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1120" w:hanging="179"/>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80" w:space="720"/>
            <w:col w:w="5220"/>
          </w:cols>
          <w:pgMar w:left="440" w:top="486" w:right="4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 P.M., [City] time, ON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SECURITIES]</w:t>
      </w:r>
    </w:p>
    <w:p>
      <w:pPr>
        <w:spacing w:after="0" w:line="238"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ectPr>
          <w:pgSz w:w="11900" w:h="16838" w:orient="portrait"/>
          <w:cols w:equalWidth="0" w:num="1">
            <w:col w:w="11020"/>
          </w:cols>
          <w:pgMar w:left="440" w:top="486" w:right="439" w:bottom="1440" w:gutter="0" w:footer="0" w:header="0"/>
          <w:type w:val="continuous"/>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ectPr>
          <w:pgSz w:w="11900" w:h="16838" w:orient="portrait"/>
          <w:cols w:equalWidth="0" w:num="1">
            <w:col w:w="10780"/>
          </w:cols>
          <w:pgMar w:left="440" w:top="490" w:right="67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irrevocably elects to exercise Warrants, evidenced by this Warrant Certificate, to purchase shares of the [TITLE OF WARRANT SECURITIES], par value $0.001 per share (the “</w:t>
      </w:r>
      <w:r>
        <w:rPr>
          <w:rFonts w:ascii="Arial" w:cs="Arial" w:eastAsia="Arial" w:hAnsi="Arial"/>
          <w:sz w:val="18"/>
          <w:szCs w:val="18"/>
          <w:b w:val="1"/>
          <w:bCs w:val="1"/>
          <w:i w:val="1"/>
          <w:iCs w:val="1"/>
          <w:color w:val="auto"/>
        </w:rPr>
        <w:t>Warrant Securities</w:t>
      </w:r>
      <w:r>
        <w:rPr>
          <w:rFonts w:ascii="Arial" w:cs="Arial" w:eastAsia="Arial" w:hAnsi="Arial"/>
          <w:sz w:val="18"/>
          <w:szCs w:val="18"/>
          <w:color w:val="auto"/>
        </w:rPr>
        <w:t>”), of NGM Biopharmaceuticals,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NGM Biopharmaceuticals,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14605</wp:posOffset>
            </wp:positionV>
            <wp:extent cx="2168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-10160</wp:posOffset>
            </wp:positionV>
            <wp:extent cx="8001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This Warrant may be exercised at the following addresses:</w:t>
            </w:r>
          </w:p>
        </w:tc>
        <w:tc>
          <w:tcPr>
            <w:tcW w:w="530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By hand at:</w:t>
            </w:r>
          </w:p>
        </w:tc>
        <w:tc>
          <w:tcPr>
            <w:tcW w:w="530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By mail at:</w:t>
            </w:r>
          </w:p>
        </w:tc>
        <w:tc>
          <w:tcPr>
            <w:tcW w:w="53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1020"/>
          </w:cols>
          <w:pgMar w:left="440" w:top="486" w:right="439" w:bottom="1440" w:gutter="0" w:footer="0" w:header="0"/>
        </w:sectPr>
      </w:pPr>
    </w:p>
    <w:bookmarkStart w:id="131" w:name="page132"/>
    <w:bookmarkEnd w:id="131"/>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VALUE RECEIVED, </w:t>
      </w:r>
      <w:r>
        <w:rPr>
          <w:rFonts w:ascii="Arial" w:cs="Arial" w:eastAsia="Arial" w:hAnsi="Arial"/>
          <w:sz w:val="18"/>
          <w:szCs w:val="18"/>
          <w:color w:val="auto"/>
        </w:rPr>
        <w:t>hereby sells, assigns and transfers unto:</w:t>
      </w:r>
    </w:p>
    <w:p>
      <w:pPr>
        <w:spacing w:after="0" w:line="25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right represented by the within Warrant to purchase shares of [Title of Warrant Securities] of NGM Biopharmaceuticals, Inc. to which the within Warrant relates and appoints attorney to transfer such right on the books of the Warrant Agent with full power of substitution in the premises.</w:t>
      </w:r>
    </w:p>
    <w:p>
      <w:pPr>
        <w:spacing w:after="0" w:line="15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14605</wp:posOffset>
            </wp:positionV>
            <wp:extent cx="2168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-10160</wp:posOffset>
            </wp:positionV>
            <wp:extent cx="17424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0640"/>
          </w:cols>
          <w:pgMar w:left="440" w:top="486" w:right="8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DEBT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DEBT SECURITIES WARRANT AGREEMENT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BIOPHARMACEUTICALS,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has entered into an indenture dated as of [•]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with [•], as trustee (such trustee, and any successors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providing for the issuance from time to time of its debt securities, to be issued in one or more series as provided in the Indenture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w:t>
      </w:r>
      <w:r>
        <w:rPr>
          <w:rFonts w:ascii="Arial" w:cs="Arial" w:eastAsia="Arial" w:hAnsi="Arial"/>
          <w:sz w:val="18"/>
          <w:szCs w:val="18"/>
          <w:b w:val="1"/>
          <w:bCs w:val="1"/>
          <w:i w:val="1"/>
          <w:iCs w:val="1"/>
          <w:color w:val="auto"/>
        </w:rPr>
        <w:t>If Warrants are sold with other securities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[title of Debt Securities purchasable through exercise of Warrants] (the “</w:t>
      </w:r>
      <w:r>
        <w:rPr>
          <w:rFonts w:ascii="Arial" w:cs="Arial" w:eastAsia="Arial" w:hAnsi="Arial"/>
          <w:sz w:val="18"/>
          <w:szCs w:val="18"/>
          <w:b w:val="1"/>
          <w:bCs w:val="1"/>
          <w:i w:val="1"/>
          <w:iCs w:val="1"/>
          <w:color w:val="auto"/>
        </w:rPr>
        <w:t>Warrant Debt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 DELIVERY OF WARRANT CERTIFICATES</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 Upon issuance, each Warrant Certificate shall evidence one or more Warrants.] [</w:t>
      </w:r>
      <w:r>
        <w:rPr>
          <w:rFonts w:ascii="Arial" w:cs="Arial" w:eastAsia="Arial" w:hAnsi="Arial"/>
          <w:sz w:val="16"/>
          <w:szCs w:val="16"/>
          <w:b w:val="1"/>
          <w:bCs w:val="1"/>
          <w:i w:val="1"/>
          <w:iCs w:val="1"/>
          <w:color w:val="auto"/>
        </w:rPr>
        <w:t>If Other Securities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and Warrants </w:t>
      </w:r>
      <w:r>
        <w:rPr>
          <w:rFonts w:ascii="Arial" w:cs="Arial" w:eastAsia="Arial" w:hAnsi="Arial"/>
          <w:sz w:val="16"/>
          <w:szCs w:val="16"/>
          <w:color w:val="auto"/>
        </w:rPr>
        <w:t>— Warrant Certificates will be issued in connection with the issuance of the Other Securities but shall be separately transferable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Certificate shall evidence one or more Warrants.] Each Warrant evidenced thereby shall represent the right, subject to the provisions contained herein and therein, to purchase one Warrant Debt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 Warrant Certificates will be issued with the Other Securities and each Warrant Certificate will evidence [•] Warrants for each [$[•] principal amount] [[•] shares] of Other Securities issued.]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33" w:name="page134"/>
    <w:bookmarkEnd w:id="133"/>
    <w:p>
      <w:pPr>
        <w:ind w:right="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1.2 Execution and Delivery of Warrant Certificates. </w:t>
      </w:r>
      <w:r>
        <w:rPr>
          <w:rFonts w:ascii="Arial" w:cs="Arial" w:eastAsia="Arial" w:hAnsi="Arial"/>
          <w:sz w:val="16"/>
          <w:szCs w:val="16"/>
          <w:color w:val="auto"/>
        </w:rPr>
        <w:t>Each Warrant Certificate, whenever issued, shall be in registered form substantially in the form</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Exhibit A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6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Debt Securities may be executed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Warrant Price. During the period specified in Section 2.2, each Warrant shall, subject to the terms of this Agreement and the applicable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6"/>
          <w:szCs w:val="16"/>
          <w:b w:val="1"/>
          <w:bCs w:val="1"/>
          <w:i w:val="1"/>
          <w:iCs w:val="1"/>
          <w:color w:val="auto"/>
        </w:rPr>
        <w:t>Warrant Price.</w:t>
      </w:r>
    </w:p>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 and at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134" w:name="page135"/>
    <w:bookmarkEnd w:id="13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2.3 Exercise of Warrants</w:t>
      </w:r>
      <w:r>
        <w:rPr>
          <w:rFonts w:ascii="Arial" w:cs="Arial" w:eastAsia="Arial" w:hAnsi="Arial"/>
          <w:sz w:val="18"/>
          <w:szCs w:val="18"/>
          <w:color w:val="auto"/>
        </w:rPr>
        <w:t>.</w:t>
      </w:r>
    </w:p>
    <w:p>
      <w:pPr>
        <w:spacing w:after="0" w:line="229" w:lineRule="exact"/>
        <w:rPr>
          <w:sz w:val="20"/>
          <w:szCs w:val="20"/>
          <w:color w:val="auto"/>
        </w:rPr>
      </w:pPr>
    </w:p>
    <w:p>
      <w:pPr>
        <w:ind w:left="4" w:right="20" w:hanging="4"/>
        <w:spacing w:after="0" w:line="285" w:lineRule="auto"/>
        <w:tabs>
          <w:tab w:leader="none" w:pos="259"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 xml:space="preserve">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1" w:lineRule="exact"/>
        <w:rPr>
          <w:rFonts w:ascii="Arial" w:cs="Arial" w:eastAsia="Arial" w:hAnsi="Arial"/>
          <w:sz w:val="16"/>
          <w:szCs w:val="16"/>
          <w:b w:val="1"/>
          <w:bCs w:val="1"/>
          <w:color w:val="auto"/>
        </w:rPr>
      </w:pPr>
    </w:p>
    <w:p>
      <w:pPr>
        <w:jc w:val="both"/>
        <w:ind w:left="4" w:hanging="4"/>
        <w:spacing w:after="0" w:line="257" w:lineRule="auto"/>
        <w:tabs>
          <w:tab w:leader="none" w:pos="266"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87" w:lineRule="exact"/>
        <w:rPr>
          <w:rFonts w:ascii="Arial" w:cs="Arial" w:eastAsia="Arial" w:hAnsi="Arial"/>
          <w:sz w:val="18"/>
          <w:szCs w:val="18"/>
          <w:b w:val="1"/>
          <w:bCs w:val="1"/>
          <w:color w:val="auto"/>
        </w:rPr>
      </w:pPr>
    </w:p>
    <w:p>
      <w:pPr>
        <w:ind w:left="4" w:hanging="4"/>
        <w:spacing w:after="0" w:line="275" w:lineRule="auto"/>
        <w:tabs>
          <w:tab w:leader="none" w:pos="239"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76" w:lineRule="exact"/>
        <w:rPr>
          <w:rFonts w:ascii="Arial" w:cs="Arial" w:eastAsia="Arial" w:hAnsi="Arial"/>
          <w:sz w:val="17"/>
          <w:szCs w:val="17"/>
          <w:b w:val="1"/>
          <w:bCs w:val="1"/>
          <w:color w:val="auto"/>
        </w:rPr>
      </w:pPr>
    </w:p>
    <w:p>
      <w:pPr>
        <w:ind w:left="4" w:right="200" w:hanging="4"/>
        <w:spacing w:after="0" w:line="259" w:lineRule="auto"/>
        <w:tabs>
          <w:tab w:leader="none" w:pos="266"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left="4" w:right="180" w:hanging="4"/>
        <w:spacing w:after="0" w:line="308" w:lineRule="auto"/>
        <w:tabs>
          <w:tab w:leader="none" w:pos="249" w:val="left"/>
        </w:tabs>
        <w:numPr>
          <w:ilvl w:val="0"/>
          <w:numId w:val="132"/>
        </w:numPr>
        <w:rPr>
          <w:rFonts w:ascii="Arial" w:cs="Arial" w:eastAsia="Arial" w:hAnsi="Arial"/>
          <w:sz w:val="17"/>
          <w:szCs w:val="17"/>
          <w:b w:val="1"/>
          <w:bCs w:val="1"/>
          <w:color w:val="auto"/>
        </w:rPr>
      </w:pPr>
      <w:r>
        <w:rPr>
          <w:rFonts w:ascii="Arial" w:cs="Arial" w:eastAsia="Arial" w:hAnsi="Arial"/>
          <w:sz w:val="17"/>
          <w:szCs w:val="17"/>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86" w:right="4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 WARRANT CERTIFICATES</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3.1 No Rights as Holder of Warrant Debt Securities Conferred by Warrants or Warrant Certificates. </w:t>
      </w:r>
      <w:r>
        <w:rPr>
          <w:rFonts w:ascii="Arial" w:cs="Arial" w:eastAsia="Arial" w:hAnsi="Arial"/>
          <w:sz w:val="16"/>
          <w:szCs w:val="16"/>
          <w:color w:val="auto"/>
        </w:rPr>
        <w:t>No Warrant Certificate or Warrant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3.2 Lost, Stolen, Mutilated or Destroyed Warrant Certificates. </w:t>
      </w:r>
      <w:r>
        <w:rPr>
          <w:rFonts w:ascii="Arial" w:cs="Arial" w:eastAsia="Arial" w:hAnsi="Arial"/>
          <w:sz w:val="17"/>
          <w:szCs w:val="17"/>
          <w:color w:val="auto"/>
        </w:rPr>
        <w:t>Upon receipt by the Warrant Agent of evidence reasonably satisfactory to it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Merger, Sale, Conveyance or Lease. </w:t>
      </w:r>
      <w:r>
        <w:rPr>
          <w:rFonts w:ascii="Arial" w:cs="Arial" w:eastAsia="Arial" w:hAnsi="Arial"/>
          <w:sz w:val="16"/>
          <w:szCs w:val="16"/>
          <w:color w:val="auto"/>
        </w:rPr>
        <w:t>In case of (a) any share exchange, merger or similar transaction of the Company with or into another person 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entity (other than a share exchange, merger or similar transaction in which the Company is the acquiring or surviving corporation) or (b) the sale,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lease, transfer or other disposition of all or substantially all of the properties and assets of the Company as an entirety (in any such case,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from the Company’s successor shall be delivered to the holders of the Warrants, so that such successor shall succeed to and be substituted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assume all the Company’s obligations under, this Agreement and the Warrants. The Company shall thereupon be relieved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 obligation hereunder or under the Warrants, and the Company as the predecessor corporation may thereupon or at any time thereafter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dissolved, wound up or liquidated. Such successor or assuming entity thereupon may cause to be signed, and may issue either in its own name or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 of the Company, any or all of the Warrants issuable hereunder which heretofore shall not have been signed by the Company, and may execute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 securities in its own name, in fulfillment of its obligations to deliver Warrant Debt Securities upon exercise of the Warrants. All the Warrants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shall in all respects have the same legal rank and benefit under this Agreement as the Warrants theretofore or thereafter issued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this Agreement as though all of such Warrants had been issued at the date of the execution hereof. In any case of any such Reorganization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such changes in phraseology and form (but not in substance) may be made in the Warrants thereafter to be issued as may be appropriate.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Agent may receive a written opinion of legal counsel as conclusive evidence that any such Reorganization Event complies with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this Section 3.4.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86" w:right="459" w:bottom="1440" w:gutter="0" w:footer="0" w:header="0"/>
        </w:sectPr>
      </w:pPr>
    </w:p>
    <w:bookmarkStart w:id="136" w:name="page137"/>
    <w:bookmarkEnd w:id="136"/>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3.5 Notice to Warrantholders. </w:t>
      </w:r>
      <w:r>
        <w:rPr>
          <w:rFonts w:ascii="Arial" w:cs="Arial" w:eastAsia="Arial" w:hAnsi="Arial"/>
          <w:sz w:val="17"/>
          <w:szCs w:val="17"/>
          <w:color w:val="auto"/>
        </w:rPr>
        <w:t>In case the Company shall (a) effect any Reorganization Event or (b) make any distribution on or in respect of the [title</w:t>
      </w:r>
      <w:r>
        <w:rPr>
          <w:rFonts w:ascii="Arial" w:cs="Arial" w:eastAsia="Arial" w:hAnsi="Arial"/>
          <w:sz w:val="17"/>
          <w:szCs w:val="17"/>
          <w:b w:val="1"/>
          <w:bCs w:val="1"/>
          <w:color w:val="auto"/>
        </w:rPr>
        <w:t xml:space="preserve"> </w:t>
      </w:r>
      <w:r>
        <w:rPr>
          <w:rFonts w:ascii="Arial" w:cs="Arial" w:eastAsia="Arial" w:hAnsi="Arial"/>
          <w:sz w:val="17"/>
          <w:szCs w:val="17"/>
          <w:color w:val="auto"/>
        </w:rPr>
        <w:t>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4.1 Exchange and Transfer of Warrant Certificates. </w:t>
      </w:r>
      <w:r>
        <w:rPr>
          <w:rFonts w:ascii="Arial" w:cs="Arial" w:eastAsia="Arial" w:hAnsi="Arial"/>
          <w:sz w:val="16"/>
          <w:szCs w:val="16"/>
          <w:color w:val="auto"/>
        </w:rPr>
        <w:t>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86" w:right="459" w:bottom="1440" w:gutter="0" w:footer="0" w:header="0"/>
        </w:sectPr>
      </w:pPr>
    </w:p>
    <w:bookmarkStart w:id="137" w:name="page138"/>
    <w:bookmarkEnd w:id="13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5</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 Certificates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jc w:val="both"/>
        <w:ind w:left="4" w:right="40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left="4" w:right="140" w:hanging="4"/>
        <w:spacing w:after="0" w:line="294" w:lineRule="auto"/>
        <w:tabs>
          <w:tab w:leader="none" w:pos="259"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left="4" w:hanging="4"/>
        <w:spacing w:after="0" w:line="266" w:lineRule="auto"/>
        <w:tabs>
          <w:tab w:leader="none" w:pos="26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 acting solely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left="4" w:right="20" w:hanging="4"/>
        <w:spacing w:after="0" w:line="266" w:lineRule="auto"/>
        <w:tabs>
          <w:tab w:leader="none" w:pos="24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 written advice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ind w:left="4" w:right="180" w:hanging="4"/>
        <w:spacing w:after="0" w:line="266" w:lineRule="auto"/>
        <w:tabs>
          <w:tab w:leader="none" w:pos="26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 reliance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left="4" w:hanging="4"/>
        <w:spacing w:after="0" w:line="256" w:lineRule="auto"/>
        <w:tabs>
          <w:tab w:leader="none" w:pos="24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The Warrant Agent, and its officers, directors and employees, may become the owner of, or acquire any interest in,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87" w:lineRule="exact"/>
        <w:rPr>
          <w:rFonts w:ascii="Arial" w:cs="Arial" w:eastAsia="Arial" w:hAnsi="Arial"/>
          <w:sz w:val="18"/>
          <w:szCs w:val="18"/>
          <w:b w:val="1"/>
          <w:bCs w:val="1"/>
          <w:color w:val="auto"/>
        </w:rPr>
      </w:pPr>
    </w:p>
    <w:p>
      <w:pPr>
        <w:ind w:left="4" w:right="300" w:hanging="4"/>
        <w:spacing w:after="0" w:line="282" w:lineRule="auto"/>
        <w:tabs>
          <w:tab w:leader="none" w:pos="22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 monies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left="4" w:right="640" w:hanging="4"/>
        <w:spacing w:after="0" w:line="282" w:lineRule="auto"/>
        <w:tabs>
          <w:tab w:leader="none" w:pos="25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(except as to the Warrant Agent’s countersignature thereon).</w:t>
      </w:r>
    </w:p>
    <w:p>
      <w:pPr>
        <w:spacing w:after="0" w:line="161" w:lineRule="exact"/>
        <w:rPr>
          <w:rFonts w:ascii="Arial" w:cs="Arial" w:eastAsia="Arial" w:hAnsi="Arial"/>
          <w:sz w:val="18"/>
          <w:szCs w:val="18"/>
          <w:b w:val="1"/>
          <w:bCs w:val="1"/>
          <w:color w:val="auto"/>
        </w:rPr>
      </w:pPr>
    </w:p>
    <w:p>
      <w:pPr>
        <w:ind w:left="4" w:right="560" w:hanging="4"/>
        <w:spacing w:after="0" w:line="312" w:lineRule="auto"/>
        <w:tabs>
          <w:tab w:leader="none" w:pos="269"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 all of which are made solely by the Company.</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486" w:right="479" w:bottom="1440" w:gutter="0" w:footer="0" w:header="0"/>
        </w:sectPr>
      </w:pPr>
    </w:p>
    <w:bookmarkStart w:id="138" w:name="page139"/>
    <w:bookmarkEnd w:id="138"/>
    <w:p>
      <w:pPr>
        <w:ind w:left="4" w:right="20" w:hanging="4"/>
        <w:spacing w:after="0" w:line="270" w:lineRule="auto"/>
        <w:tabs>
          <w:tab w:leader="none" w:pos="219"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 Implied Obligations. </w:t>
      </w:r>
      <w:r>
        <w:rPr>
          <w:rFonts w:ascii="Arial" w:cs="Arial" w:eastAsia="Arial" w:hAnsi="Arial"/>
          <w:sz w:val="17"/>
          <w:szCs w:val="17"/>
          <w:color w:val="auto"/>
        </w:rPr>
        <w:t>The Warrant Agent shall be obligated to perform only such duties as are herein and in the Warrant Certificates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5.3 Resignation, Removal and Appointment of Successors</w:t>
      </w:r>
      <w:r>
        <w:rPr>
          <w:rFonts w:ascii="Arial" w:cs="Arial" w:eastAsia="Arial" w:hAnsi="Arial"/>
          <w:sz w:val="18"/>
          <w:szCs w:val="18"/>
          <w:color w:val="auto"/>
        </w:rPr>
        <w:t>.</w:t>
      </w:r>
    </w:p>
    <w:p>
      <w:pPr>
        <w:spacing w:after="0" w:line="229" w:lineRule="exact"/>
        <w:rPr>
          <w:sz w:val="20"/>
          <w:szCs w:val="20"/>
          <w:color w:val="auto"/>
        </w:rPr>
      </w:pPr>
    </w:p>
    <w:p>
      <w:pPr>
        <w:ind w:left="4" w:right="400" w:hanging="4"/>
        <w:spacing w:after="0" w:line="277" w:lineRule="auto"/>
        <w:tabs>
          <w:tab w:leader="none" w:pos="256"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left="4" w:right="140" w:hanging="4"/>
        <w:spacing w:after="0" w:line="271" w:lineRule="auto"/>
        <w:tabs>
          <w:tab w:leader="none" w:pos="266"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left="4" w:hanging="4"/>
        <w:spacing w:after="0" w:line="268" w:lineRule="auto"/>
        <w:tabs>
          <w:tab w:leader="none" w:pos="249"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6" w:lineRule="exact"/>
        <w:rPr>
          <w:rFonts w:ascii="Arial" w:cs="Arial" w:eastAsia="Arial" w:hAnsi="Arial"/>
          <w:sz w:val="17"/>
          <w:szCs w:val="17"/>
          <w:b w:val="1"/>
          <w:bCs w:val="1"/>
          <w:color w:val="auto"/>
        </w:rPr>
      </w:pPr>
    </w:p>
    <w:p>
      <w:pPr>
        <w:ind w:left="4" w:right="140" w:hanging="4"/>
        <w:spacing w:after="0" w:line="273" w:lineRule="auto"/>
        <w:tabs>
          <w:tab w:leader="none" w:pos="259"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86" w:right="459" w:bottom="1440" w:gutter="0" w:footer="0" w:header="0"/>
        </w:sectPr>
      </w:pPr>
    </w:p>
    <w:bookmarkStart w:id="139" w:name="page140"/>
    <w:bookmarkEnd w:id="139"/>
    <w:p>
      <w:pPr>
        <w:ind w:left="4" w:right="100" w:hanging="4"/>
        <w:spacing w:after="0" w:line="257" w:lineRule="auto"/>
        <w:tabs>
          <w:tab w:leader="none" w:pos="239"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jc w:val="both"/>
        <w:ind w:left="4" w:right="10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 Attention: [•]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jc w:val="both"/>
        <w:ind w:left="4" w:right="10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New York.</w:t>
      </w:r>
    </w:p>
    <w:p>
      <w:pPr>
        <w:spacing w:after="0" w:line="162" w:lineRule="exact"/>
        <w:rPr>
          <w:sz w:val="20"/>
          <w:szCs w:val="20"/>
          <w:color w:val="auto"/>
        </w:rPr>
      </w:pPr>
    </w:p>
    <w:p>
      <w:pPr>
        <w:ind w:left="4" w:right="10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Debt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left="4" w:right="140"/>
        <w:spacing w:after="0" w:line="256" w:lineRule="auto"/>
        <w:rPr>
          <w:sz w:val="20"/>
          <w:szCs w:val="20"/>
          <w:color w:val="auto"/>
        </w:rPr>
      </w:pPr>
      <w:r>
        <w:rPr>
          <w:rFonts w:ascii="Arial" w:cs="Arial" w:eastAsia="Arial" w:hAnsi="Arial"/>
          <w:sz w:val="18"/>
          <w:szCs w:val="18"/>
          <w:b w:val="1"/>
          <w:bCs w:val="1"/>
          <w:color w:val="auto"/>
        </w:rPr>
        <w:t xml:space="preserve">6.6 Obtaining of Governmental Approvals. </w:t>
      </w:r>
      <w:r>
        <w:rPr>
          <w:rFonts w:ascii="Arial" w:cs="Arial" w:eastAsia="Arial" w:hAnsi="Arial"/>
          <w:sz w:val="18"/>
          <w:szCs w:val="18"/>
          <w:color w:val="auto"/>
        </w:rPr>
        <w:t>The Company will from time to time take all action which may be necessary to obtain and keep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87"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Warrant Certificates any right, remedy or claim under or by reason of this Agreement.</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meaning or construction of any of the provisions hereof.</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90" w:right="459" w:bottom="1440" w:gutter="0" w:footer="0" w:header="0"/>
        </w:sectPr>
      </w:pPr>
    </w:p>
    <w:bookmarkStart w:id="140" w:name="page141"/>
    <w:bookmarkEnd w:id="140"/>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6.9 Counterparts. </w:t>
      </w:r>
      <w:r>
        <w:rPr>
          <w:rFonts w:ascii="Arial" w:cs="Arial" w:eastAsia="Arial" w:hAnsi="Arial"/>
          <w:sz w:val="18"/>
          <w:szCs w:val="18"/>
          <w:color w:val="auto"/>
        </w:rPr>
        <w:t>This Agreement may be executed in any number of counterparts, each of which as so executed shall be deemed to be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shall together constitute but one and the same instrument.</w:t>
      </w:r>
    </w:p>
    <w:p>
      <w:pPr>
        <w:spacing w:after="0" w:line="16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inspection by the holder of any Warrant Certificate. The Warrant Agent may require such holder to submit such holder’s Warrant Certificate for inspection by it.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486" w:right="5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171450</wp:posOffset>
            </wp:positionV>
            <wp:extent cx="2177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486"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pacing w:after="0" w:line="238"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of Legend if Warrants are not immediately exercisable.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[Prior to [•], Warrants evidenced by this Warrant Certificate cannot be exercised.]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 P.M., [City] time, ON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DEBT SECURITIES]</w:t>
      </w:r>
    </w:p>
    <w:p>
      <w:pPr>
        <w:spacing w:after="0" w:line="238"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Arial" w:cs="Arial" w:eastAsia="Arial" w:hAnsi="Arial"/>
          <w:sz w:val="17"/>
          <w:szCs w:val="17"/>
          <w:b w:val="1"/>
          <w:bCs w:val="1"/>
          <w:i w:val="1"/>
          <w:iCs w:val="1"/>
          <w:color w:val="auto"/>
        </w:rPr>
        <w:t>Warrant Debt Securities</w:t>
      </w:r>
      <w:r>
        <w:rPr>
          <w:rFonts w:ascii="Arial" w:cs="Arial" w:eastAsia="Arial" w:hAnsi="Arial"/>
          <w:sz w:val="17"/>
          <w:szCs w:val="17"/>
          <w:color w:val="auto"/>
        </w:rPr>
        <w:t>”), of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11020"/>
          </w:cols>
          <w:pgMar w:left="440" w:top="486" w:right="439" w:bottom="1440" w:gutter="0" w:footer="0" w:header="0"/>
        </w:sectPr>
      </w:pPr>
    </w:p>
    <w:bookmarkStart w:id="143" w:name="page144"/>
    <w:bookmarkEnd w:id="14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 as trustee (such trustee, and any successors to such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513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171450</wp:posOffset>
            </wp:positionV>
            <wp:extent cx="21513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513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171450</wp:posOffset>
            </wp:positionV>
            <wp:extent cx="21513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ectPr>
          <w:pgSz w:w="11900" w:h="16838" w:orient="portrait"/>
          <w:cols w:equalWidth="0" w:num="1">
            <w:col w:w="10860"/>
          </w:cols>
          <w:pgMar w:left="440" w:top="490" w:right="5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irrevocably elects to exercise Warrants, evidenced by this Warrant Certificate, to purchase $[•] principal amount of the [TITLE OF WARRANT DEBT SECURITIES] (the “</w:t>
      </w:r>
      <w:r>
        <w:rPr>
          <w:rFonts w:ascii="Arial" w:cs="Arial" w:eastAsia="Arial" w:hAnsi="Arial"/>
          <w:sz w:val="18"/>
          <w:szCs w:val="18"/>
          <w:b w:val="1"/>
          <w:bCs w:val="1"/>
          <w:i w:val="1"/>
          <w:iCs w:val="1"/>
          <w:color w:val="auto"/>
        </w:rPr>
        <w:t>Warrant Debt Securities</w:t>
      </w:r>
      <w:r>
        <w:rPr>
          <w:rFonts w:ascii="Arial" w:cs="Arial" w:eastAsia="Arial" w:hAnsi="Arial"/>
          <w:sz w:val="18"/>
          <w:szCs w:val="18"/>
          <w:color w:val="auto"/>
        </w:rPr>
        <w:t>”), of NGM Biopharmaceuticals,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NGM Biopharmaceuticals,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-10160</wp:posOffset>
            </wp:positionV>
            <wp:extent cx="20853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This Warrant may be exercised at the following addresses:</w:t>
            </w:r>
          </w:p>
        </w:tc>
        <w:tc>
          <w:tcPr>
            <w:tcW w:w="3420" w:type="dxa"/>
            <w:vAlign w:val="bottom"/>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By hand at:</w:t>
            </w:r>
          </w:p>
        </w:tc>
        <w:tc>
          <w:tcPr>
            <w:tcW w:w="3420" w:type="dxa"/>
            <w:vAlign w:val="bottom"/>
          </w:tcPr>
          <w:p>
            <w:pPr>
              <w:spacing w:after="0"/>
              <w:rPr>
                <w:sz w:val="20"/>
                <w:szCs w:val="20"/>
                <w:color w:val="auto"/>
              </w:rPr>
            </w:pPr>
            <w:r>
              <w:rPr>
                <w:rFonts w:ascii="Arial" w:cs="Arial" w:eastAsia="Arial" w:hAnsi="Arial"/>
                <w:sz w:val="18"/>
                <w:szCs w:val="18"/>
                <w:color w:val="auto"/>
              </w:rPr>
              <w:t>[•]</w:t>
            </w:r>
          </w:p>
        </w:tc>
      </w:tr>
      <w:tr>
        <w:trPr>
          <w:trHeight w:val="324"/>
        </w:trPr>
        <w:tc>
          <w:tcPr>
            <w:tcW w:w="7600" w:type="dxa"/>
            <w:vAlign w:val="bottom"/>
          </w:tcPr>
          <w:p>
            <w:pPr>
              <w:spacing w:after="0"/>
              <w:rPr>
                <w:sz w:val="20"/>
                <w:szCs w:val="20"/>
                <w:color w:val="auto"/>
              </w:rPr>
            </w:pPr>
            <w:r>
              <w:rPr>
                <w:rFonts w:ascii="Arial" w:cs="Arial" w:eastAsia="Arial" w:hAnsi="Arial"/>
                <w:sz w:val="18"/>
                <w:szCs w:val="18"/>
                <w:color w:val="auto"/>
              </w:rPr>
              <w:t>By mail at:</w:t>
            </w:r>
          </w:p>
        </w:tc>
        <w:tc>
          <w:tcPr>
            <w:tcW w:w="342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1020"/>
          </w:cols>
          <w:pgMar w:left="440" w:top="486" w:right="43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sells, assigns and transfers unto:</w:t>
      </w:r>
    </w:p>
    <w:p>
      <w:pPr>
        <w:spacing w:after="0" w:line="25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 represented by the within Warrant to purchase aggregate principal amount of [Title of Warrant Debt Securities] of NGM Biopharmaceuticals, Inc., to which the within Warrant relates and appoints attorney to transfer such right on the books of the Warrant Agent with full power of substitution in the premises.</w:t>
      </w:r>
    </w:p>
    <w:p>
      <w:pPr>
        <w:spacing w:after="0" w:line="211"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-10160</wp:posOffset>
            </wp:positionV>
            <wp:extent cx="20281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0960"/>
          </w:cols>
          <w:pgMar w:left="440" w:top="486" w:right="4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165860"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Chadwick Mills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+1 650 843 5654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cmills@cooley.com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8, 2023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333 Oyster Point Blvd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South San Francisco, CA 94080</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140"/>
        <w:spacing w:after="0" w:line="255" w:lineRule="auto"/>
        <w:rPr>
          <w:sz w:val="20"/>
          <w:szCs w:val="20"/>
          <w:color w:val="auto"/>
        </w:rPr>
      </w:pPr>
      <w:r>
        <w:rPr>
          <w:rFonts w:ascii="Arial" w:cs="Arial" w:eastAsia="Arial" w:hAnsi="Arial"/>
          <w:sz w:val="17"/>
          <w:szCs w:val="17"/>
          <w:color w:val="auto"/>
        </w:rPr>
        <w:t>We have acted as counsel to NGM Biopharmaceuticals,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by the Company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Registration Statement includes two prospectuses: (i) a base prospectus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and (ii) a sales agreement prospectus (the “</w:t>
      </w:r>
      <w:r>
        <w:rPr>
          <w:rFonts w:ascii="Arial" w:cs="Arial" w:eastAsia="Arial" w:hAnsi="Arial"/>
          <w:sz w:val="17"/>
          <w:szCs w:val="17"/>
          <w:b w:val="1"/>
          <w:bCs w:val="1"/>
          <w:i w:val="1"/>
          <w:iCs w:val="1"/>
          <w:color w:val="auto"/>
        </w:rPr>
        <w:t>Sales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 Prospectus</w:t>
      </w:r>
      <w:r>
        <w:rPr>
          <w:rFonts w:ascii="Arial" w:cs="Arial" w:eastAsia="Arial" w:hAnsi="Arial"/>
          <w:sz w:val="17"/>
          <w:szCs w:val="17"/>
          <w:color w:val="auto"/>
        </w:rPr>
        <w:t>”), covering up to $100,000,000 of shares of the Company’s common stock, $0.001 par value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that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sold under that certain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dated June 5, 2020, by and between the Company and Jefferies LLC, as amended by Amendment No. 1, dated June 7, 2023 (such agreement, as amended, the “</w:t>
      </w:r>
      <w:r>
        <w:rPr>
          <w:rFonts w:ascii="Arial" w:cs="Arial" w:eastAsia="Arial" w:hAnsi="Arial"/>
          <w:sz w:val="17"/>
          <w:szCs w:val="17"/>
          <w:b w:val="1"/>
          <w:bCs w:val="1"/>
          <w:i w:val="1"/>
          <w:iCs w:val="1"/>
          <w:color w:val="auto"/>
        </w:rPr>
        <w:t>Sales Agreement</w:t>
      </w:r>
      <w:r>
        <w:rPr>
          <w:rFonts w:ascii="Arial" w:cs="Arial" w:eastAsia="Arial" w:hAnsi="Arial"/>
          <w:sz w:val="17"/>
          <w:szCs w:val="17"/>
          <w:color w:val="auto"/>
        </w:rPr>
        <w:t>,” and such shares, the “</w:t>
      </w:r>
      <w:r>
        <w:rPr>
          <w:rFonts w:ascii="Arial" w:cs="Arial" w:eastAsia="Arial" w:hAnsi="Arial"/>
          <w:sz w:val="17"/>
          <w:szCs w:val="17"/>
          <w:b w:val="1"/>
          <w:bCs w:val="1"/>
          <w:i w:val="1"/>
          <w:iCs w:val="1"/>
          <w:color w:val="auto"/>
        </w:rPr>
        <w:t>Placement Shares</w:t>
      </w:r>
      <w:r>
        <w:rPr>
          <w:rFonts w:ascii="Arial" w:cs="Arial" w:eastAsia="Arial" w:hAnsi="Arial"/>
          <w:sz w:val="17"/>
          <w:szCs w:val="17"/>
          <w:color w:val="auto"/>
        </w:rPr>
        <w:t>”). The Base Prospectus provides it will be supplemented in the future by one or more prospectus supplements (each, a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The Registration Statement, including the Base Prospectus (as supplemented from time to time by one or more Prospectus Supplements) and the Sales Agreement Prospectus will provide for the registration by the Company of:</w:t>
      </w:r>
    </w:p>
    <w:p>
      <w:pPr>
        <w:spacing w:after="0" w:line="99" w:lineRule="exact"/>
        <w:rPr>
          <w:sz w:val="20"/>
          <w:szCs w:val="20"/>
          <w:color w:val="auto"/>
        </w:rPr>
      </w:pPr>
    </w:p>
    <w:p>
      <w:pPr>
        <w:ind w:left="444" w:hanging="444"/>
        <w:spacing w:after="0"/>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shares of Common Stock (the “</w:t>
      </w:r>
      <w:r>
        <w:rPr>
          <w:rFonts w:ascii="Arial" w:cs="Arial" w:eastAsia="Arial" w:hAnsi="Arial"/>
          <w:sz w:val="18"/>
          <w:szCs w:val="18"/>
          <w:b w:val="1"/>
          <w:bCs w:val="1"/>
          <w:i w:val="1"/>
          <w:iCs w:val="1"/>
          <w:color w:val="auto"/>
        </w:rPr>
        <w:t>Base Prospectus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shares of preferred stock, no par value,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4" w:right="20" w:hanging="444"/>
        <w:spacing w:after="0" w:line="259" w:lineRule="auto"/>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4.3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44" w:right="120" w:hanging="444"/>
        <w:spacing w:after="0" w:line="259" w:lineRule="auto"/>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4.5, 4.6 and 4.7 to the Registration Statement, respectively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444" w:hanging="444"/>
        <w:spacing w:after="0"/>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Placement Shares.</w:t>
      </w:r>
    </w:p>
    <w:p>
      <w:pPr>
        <w:spacing w:after="0" w:line="22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Base Prospectus Shares, the Preferred Stock, the Debt Securities, the Warrants and the Placement Shares, plus any additional Common Stock, Preferred Stock, Debt Securities and Warrants that may be registered pursuant to any registration statement that the Company may hereafter file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Rule 462(b) under the Securities Act in connection with an offering by the Company pursuant to the Registration Statement,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94111-4004</w:t>
      </w:r>
    </w:p>
    <w:p>
      <w:pPr>
        <w:jc w:val="center"/>
        <w:ind w:right="-3"/>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1024"/>
          </w:cols>
          <w:pgMar w:left="436" w:top="121"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16586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With respect to the Placement Shares, we have assumed (i) that each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and (ii) that no more than 50,000,000 Placement Shares will be sold for a consideration not less than the par value of the Common Stock. With respect to the Placement Shares, we express no opinion to the extent that future issuances of securities of the Company and/or anti-dilution adjustments to outstanding securities of the Company cause the number of shares of Common Stock then available for issuance by the Company to be less than the number of Placement Shares then issuable under the Sales Agreement.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opinion herein is expressed solely with respect to the DGCL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94111-4004</w:t>
      </w:r>
    </w:p>
    <w:p>
      <w:pPr>
        <w:jc w:val="center"/>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1000"/>
          </w:cols>
          <w:pgMar w:left="440" w:top="1084" w:right="459" w:bottom="1440" w:gutter="0" w:footer="0" w:header="0"/>
        </w:sectPr>
      </w:pPr>
    </w:p>
    <w:bookmarkStart w:id="148" w:name="page149"/>
    <w:bookmarkEnd w:id="14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165860" cy="377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NGM Biopharmaceuticals,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8,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 w:hanging="4"/>
        <w:spacing w:after="0" w:line="287" w:lineRule="auto"/>
        <w:tabs>
          <w:tab w:leader="none" w:pos="184"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With respect to the Base Prospectus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Base Prospectus Shares has been duly authorized by all necessary corporate action on the part of the Company; (iii) the issuance and sale of the Base Prospectus Shares do not violate any applicable law, are in conformity with the Company’s then operative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Base Prospectus Shares have been duly executed by the Company, countersigned by the transfer agent therefor and duly delivered to the purchasers thereof against payment therefor, then the Base Prospectus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67" w:lineRule="exact"/>
        <w:rPr>
          <w:rFonts w:ascii="Arial" w:cs="Arial" w:eastAsia="Arial" w:hAnsi="Arial"/>
          <w:sz w:val="16"/>
          <w:szCs w:val="16"/>
          <w:b w:val="1"/>
          <w:bCs w:val="1"/>
          <w:color w:val="auto"/>
        </w:rPr>
      </w:pPr>
    </w:p>
    <w:p>
      <w:pPr>
        <w:ind w:left="4" w:right="20" w:hanging="4"/>
        <w:spacing w:after="0" w:line="287" w:lineRule="auto"/>
        <w:tabs>
          <w:tab w:leader="none" w:pos="184"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71" w:lineRule="exact"/>
        <w:rPr>
          <w:rFonts w:ascii="Arial" w:cs="Arial" w:eastAsia="Arial" w:hAnsi="Arial"/>
          <w:sz w:val="16"/>
          <w:szCs w:val="16"/>
          <w:b w:val="1"/>
          <w:bCs w:val="1"/>
          <w:color w:val="auto"/>
        </w:rPr>
      </w:pPr>
    </w:p>
    <w:p>
      <w:pPr>
        <w:ind w:left="4" w:right="120" w:hanging="4"/>
        <w:spacing w:after="0" w:line="287" w:lineRule="auto"/>
        <w:tabs>
          <w:tab w:leader="none" w:pos="184"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w:t>
      </w:r>
    </w:p>
    <w:p>
      <w:pPr>
        <w:spacing w:after="0" w:line="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Cooley LLP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94111-4004</w:t>
      </w:r>
    </w:p>
    <w:p>
      <w:pPr>
        <w:jc w:val="center"/>
        <w:ind w:right="-23"/>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1004"/>
          </w:cols>
          <w:pgMar w:left="436" w:top="1084" w:right="459" w:bottom="1440" w:gutter="0" w:footer="0" w:header="0"/>
        </w:sectPr>
      </w:pPr>
    </w:p>
    <w:bookmarkStart w:id="149" w:name="page150"/>
    <w:bookmarkEnd w:id="14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165860" cy="3771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NGM Biopharmaceuticals,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8,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87" w:lineRule="exact"/>
        <w:rPr>
          <w:sz w:val="20"/>
          <w:szCs w:val="20"/>
          <w:color w:val="auto"/>
        </w:rPr>
      </w:pPr>
    </w:p>
    <w:p>
      <w:pPr>
        <w:ind w:left="4" w:hanging="4"/>
        <w:spacing w:after="0" w:line="286" w:lineRule="auto"/>
        <w:tabs>
          <w:tab w:leader="none" w:pos="184"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67" w:lineRule="exact"/>
        <w:rPr>
          <w:rFonts w:ascii="Arial" w:cs="Arial" w:eastAsia="Arial" w:hAnsi="Arial"/>
          <w:sz w:val="16"/>
          <w:szCs w:val="16"/>
          <w:b w:val="1"/>
          <w:bCs w:val="1"/>
          <w:color w:val="auto"/>
        </w:rPr>
      </w:pPr>
    </w:p>
    <w:p>
      <w:pPr>
        <w:ind w:left="4" w:right="100" w:hanging="4"/>
        <w:spacing w:after="0" w:line="277" w:lineRule="auto"/>
        <w:tabs>
          <w:tab w:leader="none" w:pos="181"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The Placement Shares, when issued and paid for in accordance with the Sales Agreement and as provided in the Sales Agreement Prospectus, will be validly issued, fully paid and nonassessable.</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 w:right="220"/>
        <w:spacing w:after="0" w:line="25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8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94111-4004</w:t>
      </w:r>
    </w:p>
    <w:p>
      <w:pPr>
        <w:jc w:val="center"/>
        <w:ind w:right="-3"/>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1004"/>
          </w:cols>
          <w:pgMar w:left="436" w:top="1084"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1165860" cy="3771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Chadwick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Chadwick Mills</w:t>
      </w:r>
    </w:p>
    <w:p>
      <w:pPr>
        <w:spacing w:after="0" w:line="12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Cooley LLP 3 Embarcadero Center 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San Francisco, CA 94111-4004</w:t>
      </w:r>
    </w:p>
    <w:p>
      <w:pPr>
        <w:jc w:val="center"/>
        <w:ind w:right="-980"/>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0019"/>
          </w:cols>
          <w:pgMar w:left="440" w:top="1084"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consent to the reference to our firm under the caption “Experts” in this Registration Statement (Form S-3) and related base prospectus and sales agreement prospectus of NGM Biopharmaceuticals, Inc. for the registration of up to $300,000,000 of its common stock, preferred stock, debt securities and warrants to purchase common stock, preferred stock and/or debt securities, either individually or in units of a combination thereof, and to the incorporation by reference therein of our reports dated February 28, 2023, with respect to the consolidated financial statements of NGM Biopharmaceuticals, Inc., and the effectiveness of internal control over financial reporting of NGM Biopharmaceuticals, Inc., included in its Annual Report (Form 10-K) for the year ended December 31, 2022, filed with the Securities and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ectPr>
          <w:pgSz w:w="11900" w:h="16838" w:orient="portrait"/>
          <w:cols w:equalWidth="0" w:num="1">
            <w:col w:w="11020"/>
          </w:cols>
          <w:pgMar w:left="440" w:top="121"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1300" w:type="dxa"/>
            <w:vAlign w:val="bottom"/>
            <w:tcBorders>
              <w:top w:val="single" w:sz="8" w:color="auto"/>
              <w:left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Previously</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with</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jc w:val="center"/>
              <w:ind w:left="72"/>
              <w:spacing w:after="0" w:line="135" w:lineRule="exact"/>
              <w:rPr>
                <w:sz w:val="20"/>
                <w:szCs w:val="20"/>
                <w:color w:val="auto"/>
              </w:rPr>
            </w:pPr>
            <w:r>
              <w:rPr>
                <w:rFonts w:ascii="Arial" w:cs="Arial" w:eastAsia="Arial" w:hAnsi="Arial"/>
                <w:sz w:val="13"/>
                <w:szCs w:val="13"/>
                <w:color w:val="auto"/>
                <w:w w:val="80"/>
              </w:rPr>
              <w:t>Fee</w:t>
            </w: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3"/>
                <w:szCs w:val="13"/>
                <w:color w:val="auto"/>
                <w:w w:val="94"/>
              </w:rPr>
              <w:t>Carry</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4"/>
              </w:rPr>
              <w:t>Securities</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40" w:type="dxa"/>
            <w:vAlign w:val="bottom"/>
          </w:tcPr>
          <w:p>
            <w:pPr>
              <w:jc w:val="center"/>
              <w:ind w:left="72"/>
              <w:spacing w:after="0" w:line="135" w:lineRule="exact"/>
              <w:rPr>
                <w:sz w:val="20"/>
                <w:szCs w:val="20"/>
                <w:color w:val="auto"/>
              </w:rPr>
            </w:pPr>
            <w:r>
              <w:rPr>
                <w:rFonts w:ascii="Arial" w:cs="Arial" w:eastAsia="Arial" w:hAnsi="Arial"/>
                <w:sz w:val="13"/>
                <w:szCs w:val="13"/>
                <w:color w:val="auto"/>
                <w:w w:val="89"/>
              </w:rPr>
              <w:t>or Carry</w:t>
            </w: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95"/>
              </w:rPr>
              <w:t>Offering</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1"/>
              <w:spacing w:after="0" w:line="135" w:lineRule="exact"/>
              <w:rPr>
                <w:sz w:val="20"/>
                <w:szCs w:val="20"/>
                <w:color w:val="auto"/>
              </w:rPr>
            </w:pPr>
            <w:r>
              <w:rPr>
                <w:rFonts w:ascii="Arial" w:cs="Arial" w:eastAsia="Arial" w:hAnsi="Arial"/>
                <w:sz w:val="13"/>
                <w:szCs w:val="13"/>
                <w:color w:val="auto"/>
                <w:w w:val="91"/>
              </w:rPr>
              <w:t>Amount of</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62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98"/>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3"/>
              </w:rPr>
              <w:t>to</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640" w:type="dxa"/>
            <w:vAlign w:val="bottom"/>
          </w:tcPr>
          <w:p>
            <w:pPr>
              <w:jc w:val="center"/>
              <w:ind w:left="72"/>
              <w:spacing w:after="0" w:line="135" w:lineRule="exact"/>
              <w:rPr>
                <w:sz w:val="20"/>
                <w:szCs w:val="20"/>
                <w:color w:val="auto"/>
              </w:rPr>
            </w:pPr>
            <w:r>
              <w:rPr>
                <w:rFonts w:ascii="Arial" w:cs="Arial" w:eastAsia="Arial" w:hAnsi="Arial"/>
                <w:sz w:val="13"/>
                <w:szCs w:val="13"/>
                <w:color w:val="auto"/>
                <w:w w:val="88"/>
              </w:rPr>
              <w:t>Forward</w:t>
            </w: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right"/>
              <w:ind w:right="51"/>
              <w:spacing w:after="0" w:line="135" w:lineRule="exact"/>
              <w:rPr>
                <w:sz w:val="20"/>
                <w:szCs w:val="20"/>
                <w:color w:val="auto"/>
              </w:rPr>
            </w:pPr>
            <w:r>
              <w:rPr>
                <w:rFonts w:ascii="Arial" w:cs="Arial" w:eastAsia="Arial" w:hAnsi="Arial"/>
                <w:sz w:val="13"/>
                <w:szCs w:val="13"/>
                <w:color w:val="auto"/>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40" w:type="dxa"/>
            <w:vAlign w:val="bottom"/>
            <w:tcBorders>
              <w:right w:val="single" w:sz="8" w:color="auto"/>
            </w:tcBorders>
          </w:tcPr>
          <w:p>
            <w:pPr>
              <w:jc w:val="center"/>
              <w:ind w:left="11"/>
              <w:spacing w:after="0" w:line="135" w:lineRule="exact"/>
              <w:rPr>
                <w:sz w:val="20"/>
                <w:szCs w:val="20"/>
                <w:color w:val="auto"/>
              </w:rPr>
            </w:pPr>
            <w:r>
              <w:rPr>
                <w:rFonts w:ascii="Arial" w:cs="Arial" w:eastAsia="Arial" w:hAnsi="Arial"/>
                <w:sz w:val="13"/>
                <w:szCs w:val="13"/>
                <w:color w:val="auto"/>
                <w:w w:val="89"/>
              </w:rPr>
              <w:t>Registration</w:t>
            </w:r>
          </w:p>
        </w:tc>
        <w:tc>
          <w:tcPr>
            <w:tcW w:w="62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3"/>
                <w:szCs w:val="13"/>
                <w:color w:val="auto"/>
                <w:w w:val="85"/>
              </w:rPr>
              <w:t>Form</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be Carried</w:t>
            </w:r>
          </w:p>
        </w:tc>
      </w:tr>
      <w:tr>
        <w:trPr>
          <w:trHeight w:val="160"/>
        </w:trPr>
        <w:tc>
          <w:tcPr>
            <w:tcW w:w="13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640" w:type="dxa"/>
            <w:vAlign w:val="bottom"/>
          </w:tcPr>
          <w:p>
            <w:pPr>
              <w:jc w:val="center"/>
              <w:ind w:left="92"/>
              <w:spacing w:after="0"/>
              <w:rPr>
                <w:sz w:val="20"/>
                <w:szCs w:val="20"/>
                <w:color w:val="auto"/>
              </w:rPr>
            </w:pPr>
            <w:r>
              <w:rPr>
                <w:rFonts w:ascii="Arial" w:cs="Arial" w:eastAsia="Arial" w:hAnsi="Arial"/>
                <w:sz w:val="13"/>
                <w:szCs w:val="13"/>
                <w:color w:val="auto"/>
                <w:w w:val="89"/>
              </w:rPr>
              <w:t>Rule</w:t>
            </w:r>
          </w:p>
        </w:tc>
        <w:tc>
          <w:tcPr>
            <w:tcW w:w="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right"/>
              <w:ind w:right="11"/>
              <w:spacing w:after="0"/>
              <w:rPr>
                <w:sz w:val="20"/>
                <w:szCs w:val="20"/>
                <w:color w:val="auto"/>
              </w:rPr>
            </w:pPr>
            <w:r>
              <w:rPr>
                <w:rFonts w:ascii="Arial" w:cs="Arial" w:eastAsia="Arial" w:hAnsi="Arial"/>
                <w:sz w:val="13"/>
                <w:szCs w:val="13"/>
                <w:color w:val="auto"/>
              </w:rPr>
              <w:t>Registered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0"/>
              </w:rPr>
              <w:t>Price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740" w:type="dxa"/>
            <w:vAlign w:val="bottom"/>
            <w:tcBorders>
              <w:right w:val="single" w:sz="8" w:color="auto"/>
            </w:tcBorders>
          </w:tcPr>
          <w:p>
            <w:pPr>
              <w:jc w:val="center"/>
              <w:ind w:left="11"/>
              <w:spacing w:after="0"/>
              <w:rPr>
                <w:sz w:val="20"/>
                <w:szCs w:val="20"/>
                <w:color w:val="auto"/>
              </w:rPr>
            </w:pPr>
            <w:r>
              <w:rPr>
                <w:rFonts w:ascii="Arial" w:cs="Arial" w:eastAsia="Arial" w:hAnsi="Arial"/>
                <w:sz w:val="13"/>
                <w:szCs w:val="13"/>
                <w:color w:val="auto"/>
                <w:w w:val="80"/>
              </w:rPr>
              <w:t>Fee</w:t>
            </w:r>
          </w:p>
        </w:tc>
        <w:tc>
          <w:tcPr>
            <w:tcW w:w="62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color w:val="auto"/>
                <w:w w:val="89"/>
              </w:rPr>
              <w:t>Type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78"/>
              </w:rPr>
              <w:t>date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9"/>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169"/>
        </w:trPr>
        <w:tc>
          <w:tcPr>
            <w:tcW w:w="130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Newly Registered Securities</w:t>
            </w:r>
          </w:p>
        </w:tc>
        <w:tc>
          <w:tcPr>
            <w:tcW w:w="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Common</w:t>
            </w: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Stock,</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value $0.001</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88"/>
              </w:rPr>
              <w:t>Fees to Be</w:t>
            </w: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202"/>
        </w:trPr>
        <w:tc>
          <w:tcPr>
            <w:tcW w:w="130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color w:val="auto"/>
                <w:w w:val="92"/>
              </w:rPr>
              <w:t>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share(1)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43"/>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Preferred</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Stock,</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$0.001</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94"/>
        </w:trPr>
        <w:tc>
          <w:tcPr>
            <w:tcW w:w="130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share(1)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Debt</w:t>
            </w: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208"/>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Debt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169"/>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Other</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Warrants(1)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ind w:left="140"/>
              <w:spacing w:after="0" w:line="137" w:lineRule="exact"/>
              <w:rPr>
                <w:sz w:val="20"/>
                <w:szCs w:val="20"/>
                <w:color w:val="auto"/>
              </w:rPr>
            </w:pPr>
            <w:r>
              <w:rPr>
                <w:rFonts w:ascii="Arial" w:cs="Arial" w:eastAsia="Arial" w:hAnsi="Arial"/>
                <w:sz w:val="14"/>
                <w:szCs w:val="14"/>
                <w:color w:val="auto"/>
              </w:rPr>
              <w:t>Unallocated</w:t>
            </w: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61"/>
        </w:trPr>
        <w:tc>
          <w:tcPr>
            <w:tcW w:w="13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(Universal)</w:t>
            </w:r>
          </w:p>
        </w:tc>
        <w:tc>
          <w:tcPr>
            <w:tcW w:w="940" w:type="dxa"/>
            <w:vAlign w:val="bottom"/>
            <w:tcBorders>
              <w:right w:val="single" w:sz="8" w:color="auto"/>
            </w:tcBorders>
          </w:tcPr>
          <w:p>
            <w:pPr>
              <w:spacing w:after="0"/>
              <w:rPr>
                <w:sz w:val="13"/>
                <w:szCs w:val="13"/>
                <w:color w:val="auto"/>
              </w:rPr>
            </w:pPr>
          </w:p>
        </w:tc>
        <w:tc>
          <w:tcPr>
            <w:tcW w:w="640" w:type="dxa"/>
            <w:vAlign w:val="bottom"/>
          </w:tcPr>
          <w:p>
            <w:pPr>
              <w:jc w:val="center"/>
              <w:ind w:left="92"/>
              <w:spacing w:after="0"/>
              <w:rPr>
                <w:sz w:val="20"/>
                <w:szCs w:val="20"/>
                <w:color w:val="auto"/>
              </w:rPr>
            </w:pPr>
            <w:r>
              <w:rPr>
                <w:rFonts w:ascii="Arial" w:cs="Arial" w:eastAsia="Arial" w:hAnsi="Arial"/>
                <w:sz w:val="14"/>
                <w:szCs w:val="14"/>
                <w:color w:val="auto"/>
                <w:w w:val="97"/>
              </w:rPr>
              <w:t>Rule</w:t>
            </w:r>
          </w:p>
        </w:tc>
        <w:tc>
          <w:tcPr>
            <w:tcW w:w="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r>
      <w:tr>
        <w:trPr>
          <w:trHeight w:val="196"/>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Shelf</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3"/>
              </w:rPr>
              <w:t>457(o)</w:t>
            </w:r>
          </w:p>
        </w:tc>
        <w:tc>
          <w:tcPr>
            <w:tcW w:w="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72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4"/>
                <w:szCs w:val="14"/>
                <w:color w:val="auto"/>
              </w:rPr>
              <w:t>(3)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$117,585,475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$0.00011020</w:t>
            </w: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0"/>
              </w:rPr>
              <w:t>$12,958</w:t>
            </w:r>
          </w:p>
        </w:tc>
        <w:tc>
          <w:tcPr>
            <w:tcW w:w="6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37"/>
        </w:trPr>
        <w:tc>
          <w:tcPr>
            <w:tcW w:w="1300" w:type="dxa"/>
            <w:vAlign w:val="bottom"/>
            <w:tcBorders>
              <w:left w:val="single" w:sz="8" w:color="auto"/>
              <w:right w:val="single" w:sz="8" w:color="auto"/>
            </w:tcBorders>
          </w:tcPr>
          <w:p>
            <w:pPr>
              <w:jc w:val="center"/>
              <w:ind w:left="48"/>
              <w:spacing w:after="0" w:line="137" w:lineRule="exact"/>
              <w:rPr>
                <w:sz w:val="20"/>
                <w:szCs w:val="20"/>
                <w:color w:val="auto"/>
              </w:rPr>
            </w:pPr>
            <w:r>
              <w:rPr>
                <w:rFonts w:ascii="Arial" w:cs="Arial" w:eastAsia="Arial" w:hAnsi="Arial"/>
                <w:sz w:val="14"/>
                <w:szCs w:val="14"/>
                <w:color w:val="auto"/>
                <w:w w:val="83"/>
              </w:rPr>
              <w:t>Fees</w:t>
            </w: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48"/>
        </w:trPr>
        <w:tc>
          <w:tcPr>
            <w:tcW w:w="1300" w:type="dxa"/>
            <w:vAlign w:val="bottom"/>
            <w:tcBorders>
              <w:left w:val="single" w:sz="8" w:color="auto"/>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Previously</w:t>
            </w: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202"/>
        </w:trPr>
        <w:tc>
          <w:tcPr>
            <w:tcW w:w="130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color w:val="auto"/>
                <w:w w:val="92"/>
              </w:rPr>
              <w:t>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75"/>
        </w:trPr>
        <w:tc>
          <w:tcPr>
            <w:tcW w:w="1300" w:type="dxa"/>
            <w:vAlign w:val="bottom"/>
            <w:tcBorders>
              <w:left w:val="single" w:sz="8" w:color="auto"/>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Carryforward Securities</w:t>
            </w:r>
          </w:p>
        </w:tc>
        <w:tc>
          <w:tcPr>
            <w:tcW w:w="9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Common</w:t>
            </w: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Stock,</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3"/>
              </w:rPr>
              <w:t>Carry</w:t>
            </w: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$0.001</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3"/>
              </w:rPr>
              <w:t>Forward</w:t>
            </w: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June 16,</w:t>
            </w:r>
          </w:p>
        </w:tc>
        <w:tc>
          <w:tcPr>
            <w:tcW w:w="740" w:type="dxa"/>
            <w:vAlign w:val="bottom"/>
            <w:tcBorders>
              <w:right w:val="single" w:sz="8" w:color="auto"/>
            </w:tcBorders>
          </w:tcPr>
          <w:p>
            <w:pPr>
              <w:spacing w:after="0"/>
              <w:rPr>
                <w:sz w:val="12"/>
                <w:szCs w:val="12"/>
                <w:color w:val="auto"/>
              </w:rPr>
            </w:pPr>
          </w:p>
        </w:tc>
      </w:tr>
      <w:tr>
        <w:trPr>
          <w:trHeight w:val="202"/>
        </w:trPr>
        <w:tc>
          <w:tcPr>
            <w:tcW w:w="130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91"/>
              </w:rPr>
              <w:t>Securities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share(1)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72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76,164,523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0.00012980</w:t>
            </w:r>
          </w:p>
        </w:tc>
        <w:tc>
          <w:tcPr>
            <w:tcW w:w="7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color w:val="auto"/>
                <w:w w:val="91"/>
              </w:rPr>
              <w:t>S-3</w:t>
            </w:r>
          </w:p>
        </w:tc>
        <w:tc>
          <w:tcPr>
            <w:tcW w:w="8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color w:val="auto"/>
                <w:w w:val="93"/>
              </w:rPr>
              <w:t>333-238991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7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4"/>
                <w:szCs w:val="14"/>
                <w:color w:val="auto"/>
              </w:rPr>
              <w:t>$9,886</w:t>
            </w:r>
          </w:p>
        </w:tc>
      </w:tr>
      <w:tr>
        <w:trPr>
          <w:trHeight w:val="143"/>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Preferred</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Stock,</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par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$0.001</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94"/>
        </w:trPr>
        <w:tc>
          <w:tcPr>
            <w:tcW w:w="130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share(1)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Debt</w:t>
            </w: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208"/>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Debt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Securities(1)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169"/>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Other</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Warrants(1)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r>
        <w:trPr>
          <w:trHeight w:val="137"/>
        </w:trPr>
        <w:tc>
          <w:tcPr>
            <w:tcW w:w="13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Unallocated</w:t>
            </w:r>
          </w:p>
        </w:tc>
        <w:tc>
          <w:tcPr>
            <w:tcW w:w="9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Unallocated</w:t>
            </w:r>
          </w:p>
        </w:tc>
        <w:tc>
          <w:tcPr>
            <w:tcW w:w="6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(Universal)</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(Universal)</w:t>
            </w:r>
          </w:p>
        </w:tc>
        <w:tc>
          <w:tcPr>
            <w:tcW w:w="6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3"/>
              </w:rPr>
              <w:t>June 16,</w:t>
            </w:r>
          </w:p>
        </w:tc>
        <w:tc>
          <w:tcPr>
            <w:tcW w:w="740" w:type="dxa"/>
            <w:vAlign w:val="bottom"/>
            <w:tcBorders>
              <w:right w:val="single" w:sz="8" w:color="auto"/>
            </w:tcBorders>
          </w:tcPr>
          <w:p>
            <w:pPr>
              <w:spacing w:after="0"/>
              <w:rPr>
                <w:sz w:val="12"/>
                <w:szCs w:val="12"/>
                <w:color w:val="auto"/>
              </w:rPr>
            </w:pPr>
          </w:p>
        </w:tc>
      </w:tr>
      <w:tr>
        <w:trPr>
          <w:trHeight w:val="208"/>
        </w:trPr>
        <w:tc>
          <w:tcPr>
            <w:tcW w:w="130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Shelf</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Shelf</w:t>
            </w:r>
          </w:p>
        </w:tc>
        <w:tc>
          <w:tcPr>
            <w:tcW w:w="6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w:t>
            </w:r>
          </w:p>
        </w:tc>
        <w:tc>
          <w:tcPr>
            <w:tcW w:w="7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$106,250,002</w:t>
            </w:r>
          </w:p>
        </w:tc>
        <w:tc>
          <w:tcPr>
            <w:tcW w:w="9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0.00012980</w:t>
            </w:r>
          </w:p>
        </w:tc>
        <w:tc>
          <w:tcPr>
            <w:tcW w:w="7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color w:val="auto"/>
                <w:w w:val="91"/>
              </w:rPr>
              <w:t>S-3</w:t>
            </w:r>
          </w:p>
        </w:tc>
        <w:tc>
          <w:tcPr>
            <w:tcW w:w="8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color w:val="auto"/>
                <w:w w:val="93"/>
              </w:rPr>
              <w:t>333-238991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74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4"/>
                <w:szCs w:val="14"/>
                <w:color w:val="auto"/>
              </w:rPr>
              <w:t>$13,792</w:t>
            </w:r>
          </w:p>
        </w:tc>
      </w:tr>
      <w:tr>
        <w:trPr>
          <w:trHeight w:val="169"/>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w w:val="95"/>
              </w:rPr>
              <w:t>Total Offering Amounts</w:t>
            </w:r>
          </w:p>
        </w:tc>
        <w:tc>
          <w:tcPr>
            <w:tcW w:w="7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$300,000,000</w:t>
            </w:r>
          </w:p>
        </w:tc>
        <w:tc>
          <w:tcPr>
            <w:tcW w:w="9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0"/>
              </w:rPr>
              <w:t>$12,958</w:t>
            </w: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r>
        <w:trPr>
          <w:trHeight w:val="179"/>
        </w:trPr>
        <w:tc>
          <w:tcPr>
            <w:tcW w:w="130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4"/>
                <w:szCs w:val="14"/>
                <w:color w:val="auto"/>
              </w:rPr>
              <w:t>Total Fees Previously Paid</w:t>
            </w:r>
          </w:p>
        </w:tc>
        <w:tc>
          <w:tcPr>
            <w:tcW w:w="7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r>
      <w:tr>
        <w:trPr>
          <w:trHeight w:val="17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Total Fee Offsets</w:t>
            </w:r>
          </w:p>
        </w:tc>
        <w:tc>
          <w:tcPr>
            <w:tcW w:w="7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r>
        <w:trPr>
          <w:trHeight w:val="169"/>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w w:val="93"/>
              </w:rPr>
              <w:t>Net Fee Due</w:t>
            </w:r>
          </w:p>
        </w:tc>
        <w:tc>
          <w:tcPr>
            <w:tcW w:w="7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0"/>
              </w:rPr>
              <w:t>$12,958</w:t>
            </w:r>
          </w:p>
        </w:tc>
        <w:tc>
          <w:tcPr>
            <w:tcW w:w="6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r>
    </w:tbl>
    <w:p>
      <w:pPr>
        <w:spacing w:after="0" w:line="224" w:lineRule="exact"/>
        <w:rPr>
          <w:sz w:val="20"/>
          <w:szCs w:val="20"/>
          <w:color w:val="auto"/>
        </w:rPr>
      </w:pPr>
    </w:p>
    <w:p>
      <w:pPr>
        <w:ind w:left="444" w:hanging="444"/>
        <w:spacing w:after="0"/>
        <w:tabs>
          <w:tab w:leader="none" w:pos="44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Separate consideration may or may not be received for securities that are issuable upon the conversion or exercise of, or in exchange for, other securities offered hereby.</w:t>
      </w:r>
    </w:p>
    <w:p>
      <w:pPr>
        <w:ind w:left="444" w:right="20" w:hanging="444"/>
        <w:spacing w:after="0" w:line="238" w:lineRule="auto"/>
        <w:tabs>
          <w:tab w:leader="none" w:pos="44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NGM Biopharmaceuticals, Inc. (the “Registrant”) is registering hereunder such indeterminate number of shares of common stock and preferred stock, such indeterminate principal amount of debt securities and such indeterminate number of warrants to purchase common stock, preferred stock and/or debt securities to be sold by the Registrant from time to time at unspecified prices which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registered for sale also include such indeterminate number of shares of common stock and preferred stock as may be issued upon conversion of debt securities, such indeterminate number of shares of common stock that may be issued upon conversion of preferred stock and such indeterminate number of shares of common stock and preferred stock and principal amount of debt securities that may be issued upon exercise of warrants.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2" w:lineRule="exact"/>
        <w:rPr>
          <w:rFonts w:ascii="Arial" w:cs="Arial" w:eastAsia="Arial" w:hAnsi="Arial"/>
          <w:sz w:val="13"/>
          <w:szCs w:val="13"/>
          <w:color w:val="auto"/>
        </w:rPr>
      </w:pPr>
    </w:p>
    <w:p>
      <w:pPr>
        <w:ind w:left="444" w:right="140" w:hanging="444"/>
        <w:spacing w:after="0" w:line="238" w:lineRule="auto"/>
        <w:tabs>
          <w:tab w:leader="none" w:pos="44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w:t>
      </w:r>
    </w:p>
    <w:p>
      <w:pPr>
        <w:ind w:left="444"/>
        <w:spacing w:after="0" w:line="221" w:lineRule="auto"/>
        <w:rPr>
          <w:rFonts w:ascii="Arial" w:cs="Arial" w:eastAsia="Arial" w:hAnsi="Arial"/>
          <w:sz w:val="13"/>
          <w:szCs w:val="13"/>
          <w:color w:val="auto"/>
        </w:rPr>
      </w:pPr>
      <w:r>
        <w:rPr>
          <w:rFonts w:ascii="Arial" w:cs="Arial" w:eastAsia="Arial" w:hAnsi="Arial"/>
          <w:sz w:val="14"/>
          <w:szCs w:val="14"/>
          <w:color w:val="auto"/>
        </w:rPr>
        <w:t>Form S-3 under the Securities Act.</w:t>
      </w:r>
    </w:p>
    <w:p>
      <w:pPr>
        <w:ind w:left="444" w:right="20" w:hanging="444"/>
        <w:spacing w:after="0" w:line="241" w:lineRule="auto"/>
        <w:tabs>
          <w:tab w:leader="none" w:pos="44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Pursuant to Rule 415(a)(6) under the Securities Act, the securities registered pursuant to this registration statement include $182,414,525 of unsold securities (the “Unsold Securities”) previously registered pursuant to the Registration Statement on Form S-3 (File No. 333-238991), which was declared effective on June 16, 2020 (the “Prior Registration Statement”), which include $76,164,523 of unsold common stock pursuant to the sales agreement prospectus included in the Prior Registration Statement. In connection with the filing of the Prior Registration Statement, the registrant paid a filing fee of $23,678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$117,585,475 (the “New Securities”), which aggregate offering price is not specified as to each class of securities. A filing fee of $12,958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sectPr>
      <w:pgSz w:w="11900" w:h="16838" w:orient="portrait"/>
      <w:cols w:equalWidth="0" w:num="1">
        <w:col w:w="11024"/>
      </w:cols>
      <w:pgMar w:left="436" w:top="121" w:right="439" w:bottom="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1)"/>
      <w:numFmt w:val="decimal"/>
      <w:start w:val="650"/>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1)"/>
      <w:numFmt w:val="lowerRoman"/>
      <w:start w:val="2"/>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1)"/>
      <w:numFmt w:val="decimal"/>
      <w:start w:val="650"/>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1)"/>
      <w:numFmt w:val="lowerRoman"/>
      <w:start w:val="2"/>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1)"/>
      <w:numFmt w:val="decimal"/>
      <w:start w:val="650"/>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1)"/>
      <w:numFmt w:val="decimal"/>
      <w:start w:val="1"/>
    </w:lvl>
    <w:lvl w:ilvl="1">
      <w:lvlJc w:val="left"/>
      <w:lvlText w:val="(%2)"/>
      <w:numFmt w:val="lowerRoman"/>
      <w:start w:val="1"/>
    </w:lvl>
  </w:abstractNum>
  <w:abstractNum w:abstractNumId="51">
    <w:nsid w:val="7055A5F5"/>
    <w:multiLevelType w:val="hybridMultilevel"/>
    <w:lvl w:ilvl="0">
      <w:lvlJc w:val="left"/>
      <w:lvlText w:val="(%1)"/>
      <w:numFmt w:val="decimal"/>
      <w:start w:val="5"/>
    </w:lvl>
    <w:lvl w:ilvl="1">
      <w:lvlJc w:val="left"/>
      <w:lvlText w:val="(%2)"/>
      <w:numFmt w:val="lowerRoman"/>
      <w:start w:val="1"/>
    </w:lvl>
  </w:abstractNum>
  <w:abstractNum w:abstractNumId="52">
    <w:nsid w:val="5FB8370B"/>
    <w:multiLevelType w:val="hybridMultilevel"/>
    <w:lvl w:ilvl="0">
      <w:lvlJc w:val="left"/>
      <w:lvlText w:val="(%1)"/>
      <w:numFmt w:val="lowerLetter"/>
      <w:start w:val="2"/>
    </w:lvl>
  </w:abstractNum>
  <w:abstractNum w:abstractNumId="53">
    <w:nsid w:val="50801EE1"/>
    <w:multiLevelType w:val="hybridMultilevel"/>
    <w:lvl w:ilvl="0">
      <w:lvlJc w:val="left"/>
      <w:lvlText w:val="(%1)"/>
      <w:numFmt w:val="lowerRoman"/>
      <w:start w:val="10"/>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9"/>
    </w:lvl>
  </w:abstractNum>
  <w:abstractNum w:abstractNumId="57">
    <w:nsid w:val="7672BD23"/>
    <w:multiLevelType w:val="hybridMultilevel"/>
    <w:lvl w:ilvl="0">
      <w:lvlJc w:val="left"/>
      <w:lvlText w:val="(%1)"/>
      <w:numFmt w:val="decimal"/>
      <w:start w:val="25"/>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lowerLetter"/>
      <w:start w:val="1"/>
    </w:lvl>
  </w:abstractNum>
  <w:abstractNum w:abstractNumId="60">
    <w:nsid w:val="7D5E18F8"/>
    <w:multiLevelType w:val="hybridMultilevel"/>
    <w:lvl w:ilvl="0">
      <w:lvlJc w:val="left"/>
      <w:lvlText w:val="(%1)"/>
      <w:numFmt w:val="lowerLetter"/>
      <w:start w:val="3"/>
    </w:lvl>
  </w:abstractNum>
  <w:abstractNum w:abstractNumId="61">
    <w:nsid w:val="5F3534A4"/>
    <w:multiLevelType w:val="hybridMultilevel"/>
    <w:lvl w:ilvl="0">
      <w:lvlJc w:val="left"/>
      <w:lvlText w:val="(%1)"/>
      <w:numFmt w:val="lowerLetter"/>
      <w:start w:val="1"/>
    </w:lvl>
  </w:abstractNum>
  <w:abstractNum w:abstractNumId="62">
    <w:nsid w:val="73A1821B"/>
    <w:multiLevelType w:val="hybridMultilevel"/>
    <w:lvl w:ilvl="0">
      <w:lvlJc w:val="left"/>
      <w:lvlText w:val="(%1)"/>
      <w:numFmt w:val="lowerLetter"/>
      <w:start w:val="2"/>
    </w:lvl>
  </w:abstractNum>
  <w:abstractNum w:abstractNumId="63">
    <w:nsid w:val="7DE67713"/>
    <w:multiLevelType w:val="hybridMultilevel"/>
    <w:lvl w:ilvl="0">
      <w:lvlJc w:val="left"/>
      <w:lvlText w:val="(%1)"/>
      <w:numFmt w:val="lowerLetter"/>
      <w:start w:val="1"/>
    </w:lvl>
  </w:abstractNum>
  <w:abstractNum w:abstractNumId="64">
    <w:nsid w:val="555C55B5"/>
    <w:multiLevelType w:val="hybridMultilevel"/>
    <w:lvl w:ilvl="0">
      <w:lvlJc w:val="left"/>
      <w:lvlText w:val="(%1)"/>
      <w:numFmt w:val="lowerLetter"/>
      <w:start w:val="2"/>
    </w:lvl>
  </w:abstractNum>
  <w:abstractNum w:abstractNumId="65">
    <w:nsid w:val="3FA62ACA"/>
    <w:multiLevelType w:val="hybridMultilevel"/>
    <w:lvl w:ilvl="0">
      <w:lvlJc w:val="left"/>
      <w:lvlText w:val="(%1)"/>
      <w:numFmt w:val="lowerLetter"/>
      <w:start w:val="1"/>
    </w:lvl>
  </w:abstractNum>
  <w:abstractNum w:abstractNumId="66">
    <w:nsid w:val="14FCE74E"/>
    <w:multiLevelType w:val="hybridMultilevel"/>
    <w:lvl w:ilvl="0">
      <w:lvlJc w:val="left"/>
      <w:lvlText w:val="(%1)"/>
      <w:numFmt w:val="lowerLetter"/>
      <w:start w:val="2"/>
    </w:lvl>
  </w:abstractNum>
  <w:abstractNum w:abstractNumId="67">
    <w:nsid w:val="6A3DD3E8"/>
    <w:multiLevelType w:val="hybridMultilevel"/>
    <w:lvl w:ilvl="0">
      <w:lvlJc w:val="left"/>
      <w:lvlText w:val="(%1)"/>
      <w:numFmt w:val="lowerRoman"/>
      <w:start w:val="2"/>
    </w:lvl>
  </w:abstractNum>
  <w:abstractNum w:abstractNumId="68">
    <w:nsid w:val="71C91298"/>
    <w:multiLevelType w:val="hybridMultilevel"/>
    <w:lvl w:ilvl="0">
      <w:lvlJc w:val="left"/>
      <w:lvlText w:val="(%1)"/>
      <w:numFmt w:val="lowerLetter"/>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lowerLetter"/>
      <w:start w:val="2"/>
    </w:lvl>
  </w:abstractNum>
  <w:abstractNum w:abstractNumId="71">
    <w:nsid w:val="1FBFE8E0"/>
    <w:multiLevelType w:val="hybridMultilevel"/>
    <w:lvl w:ilvl="0">
      <w:lvlJc w:val="left"/>
      <w:lvlText w:val="(%1)"/>
      <w:numFmt w:val="lowerLetter"/>
      <w:start w:val="1"/>
    </w:lvl>
  </w:abstractNum>
  <w:abstractNum w:abstractNumId="72">
    <w:nsid w:val="5092CA79"/>
    <w:multiLevelType w:val="hybridMultilevel"/>
    <w:lvl w:ilvl="0">
      <w:lvlJc w:val="left"/>
      <w:lvlText w:val="(%1)"/>
      <w:numFmt w:val="lowerLetter"/>
      <w:start w:val="1"/>
    </w:lvl>
  </w:abstractNum>
  <w:abstractNum w:abstractNumId="73">
    <w:nsid w:val="1D545C4D"/>
    <w:multiLevelType w:val="hybridMultilevel"/>
    <w:lvl w:ilvl="0">
      <w:lvlJc w:val="left"/>
      <w:lvlText w:val="(%1)"/>
      <w:numFmt w:val="lowerLetter"/>
      <w:start w:val="2"/>
    </w:lvl>
  </w:abstractNum>
  <w:abstractNum w:abstractNumId="74">
    <w:nsid w:val="59ADEA3D"/>
    <w:multiLevelType w:val="hybridMultilevel"/>
    <w:lvl w:ilvl="0">
      <w:lvlJc w:val="left"/>
      <w:lvlText w:val="(%1)"/>
      <w:numFmt w:val="lowerLetter"/>
      <w:start w:val="1"/>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1)"/>
      <w:numFmt w:val="decimal"/>
      <w:start w:val="1"/>
    </w:lvl>
  </w:abstractNum>
  <w:abstractNum w:abstractNumId="77">
    <w:nsid w:val="1D9F6E5F"/>
    <w:multiLevelType w:val="hybridMultilevel"/>
    <w:lvl w:ilvl="0">
      <w:lvlJc w:val="left"/>
      <w:lvlText w:val="(%1)"/>
      <w:numFmt w:val="decimal"/>
      <w:start w:val="5"/>
    </w:lvl>
  </w:abstractNum>
  <w:abstractNum w:abstractNumId="78">
    <w:nsid w:val="97E1B4E"/>
    <w:multiLevelType w:val="hybridMultilevel"/>
    <w:lvl w:ilvl="0">
      <w:lvlJc w:val="left"/>
      <w:lvlText w:val="(%1)"/>
      <w:numFmt w:val="lowerRoman"/>
      <w:start w:val="2"/>
    </w:lvl>
  </w:abstractNum>
  <w:abstractNum w:abstractNumId="79">
    <w:nsid w:val="51088277"/>
    <w:multiLevelType w:val="hybridMultilevel"/>
    <w:lvl w:ilvl="0">
      <w:lvlJc w:val="left"/>
      <w:lvlText w:val="(%1)"/>
      <w:numFmt w:val="lowerLetter"/>
      <w:start w:val="2"/>
    </w:lvl>
  </w:abstractNum>
  <w:abstractNum w:abstractNumId="80">
    <w:nsid w:val="1CA0C5FA"/>
    <w:multiLevelType w:val="hybridMultilevel"/>
    <w:lvl w:ilvl="0">
      <w:lvlJc w:val="left"/>
      <w:lvlText w:val="(%1)"/>
      <w:numFmt w:val="lowerLetter"/>
      <w:start w:val="4"/>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3"/>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1"/>
    </w:lvl>
  </w:abstractNum>
  <w:abstractNum w:abstractNumId="85">
    <w:nsid w:val="45E6D486"/>
    <w:multiLevelType w:val="hybridMultilevel"/>
    <w:lvl w:ilvl="0">
      <w:lvlJc w:val="left"/>
      <w:lvlText w:val="(%1)"/>
      <w:numFmt w:val="lowerRoman"/>
      <w:start w:val="1"/>
    </w:lvl>
  </w:abstractNum>
  <w:abstractNum w:abstractNumId="86">
    <w:nsid w:val="5C10FE21"/>
    <w:multiLevelType w:val="hybridMultilevel"/>
    <w:lvl w:ilvl="0">
      <w:lvlJc w:val="left"/>
      <w:lvlText w:val="(%1)"/>
      <w:numFmt w:val="upperLetter"/>
      <w:start w:val="1"/>
    </w:lvl>
  </w:abstractNum>
  <w:abstractNum w:abstractNumId="87">
    <w:nsid w:val="E7FFA2B"/>
    <w:multiLevelType w:val="hybridMultilevel"/>
    <w:lvl w:ilvl="0">
      <w:lvlJc w:val="left"/>
      <w:lvlText w:val="(%1)"/>
      <w:numFmt w:val="lowerRoman"/>
      <w:start w:val="2"/>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Letter"/>
      <w:start w:val="6"/>
    </w:lvl>
  </w:abstractNum>
  <w:abstractNum w:abstractNumId="90">
    <w:nsid w:val="78DF6A55"/>
    <w:multiLevelType w:val="hybridMultilevel"/>
    <w:lvl w:ilvl="0">
      <w:lvlJc w:val="left"/>
      <w:lvlText w:val="(%1)"/>
      <w:numFmt w:val="lowerLetter"/>
      <w:start w:val="1"/>
    </w:lvl>
  </w:abstractNum>
  <w:abstractNum w:abstractNumId="91">
    <w:nsid w:val="39B7AAA2"/>
    <w:multiLevelType w:val="hybridMultilevel"/>
    <w:lvl w:ilvl="0">
      <w:lvlJc w:val="left"/>
      <w:lvlText w:val="(%1)"/>
      <w:numFmt w:val="lowerLetter"/>
      <w:start w:val="2"/>
    </w:lvl>
  </w:abstractNum>
  <w:abstractNum w:abstractNumId="92">
    <w:nsid w:val="2B0D8DBE"/>
    <w:multiLevelType w:val="hybridMultilevel"/>
    <w:lvl w:ilvl="0">
      <w:lvlJc w:val="left"/>
      <w:lvlText w:val="(%1)"/>
      <w:numFmt w:val="lowerLetter"/>
      <w:start w:val="1"/>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Roman"/>
      <w:start w:val="1"/>
    </w:lvl>
  </w:abstractNum>
  <w:abstractNum w:abstractNumId="95">
    <w:nsid w:val="69E373"/>
    <w:multiLevelType w:val="hybridMultilevel"/>
    <w:lvl w:ilvl="0">
      <w:lvlJc w:val="left"/>
      <w:lvlText w:val="(%1)"/>
      <w:numFmt w:val="lowerLetter"/>
      <w:start w:val="3"/>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3"/>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decimal"/>
      <w:start w:val="1"/>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lowerLetter"/>
      <w:start w:val="2"/>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1)"/>
      <w:numFmt w:val="lowerRoman"/>
      <w:start w:val="1"/>
    </w:lvl>
  </w:abstractNum>
  <w:abstractNum w:abstractNumId="107">
    <w:nsid w:val="53B0A9E"/>
    <w:multiLevelType w:val="hybridMultilevel"/>
    <w:lvl w:ilvl="0">
      <w:lvlJc w:val="left"/>
      <w:lvlText w:val="(%1)"/>
      <w:numFmt w:val="lowerLetter"/>
      <w:start w:val="3"/>
    </w:lvl>
  </w:abstractNum>
  <w:abstractNum w:abstractNumId="108">
    <w:nsid w:val="34FD6B4F"/>
    <w:multiLevelType w:val="hybridMultilevel"/>
    <w:lvl w:ilvl="0">
      <w:lvlJc w:val="left"/>
      <w:lvlText w:val="(%1)"/>
      <w:numFmt w:val="lowerLetter"/>
      <w:start w:val="61"/>
    </w:lvl>
  </w:abstractNum>
  <w:abstractNum w:abstractNumId="109">
    <w:nsid w:val="5915FF32"/>
    <w:multiLevelType w:val="hybridMultilevel"/>
    <w:lvl w:ilvl="0">
      <w:lvlJc w:val="left"/>
      <w:lvlText w:val="(%1)"/>
      <w:numFmt w:val="lowerLetter"/>
      <w:start w:val="4"/>
    </w:lvl>
  </w:abstractNum>
  <w:abstractNum w:abstractNumId="110">
    <w:nsid w:val="56438D15"/>
    <w:multiLevelType w:val="hybridMultilevel"/>
    <w:lvl w:ilvl="0">
      <w:lvlJc w:val="left"/>
      <w:lvlText w:val="(%1)"/>
      <w:numFmt w:val="lowerLetter"/>
      <w:start w:val="7"/>
    </w:lvl>
  </w:abstractNum>
  <w:abstractNum w:abstractNumId="111">
    <w:nsid w:val="519E3149"/>
    <w:multiLevelType w:val="hybridMultilevel"/>
    <w:lvl w:ilvl="0">
      <w:lvlJc w:val="left"/>
      <w:lvlText w:val="(%1)"/>
      <w:numFmt w:val="lowerLetter"/>
      <w:start w:val="24"/>
    </w:lvl>
  </w:abstractNum>
  <w:abstractNum w:abstractNumId="112">
    <w:nsid w:val="2C6E4AFD"/>
    <w:multiLevelType w:val="hybridMultilevel"/>
    <w:lvl w:ilvl="0">
      <w:lvlJc w:val="left"/>
      <w:lvlText w:val="(%1)"/>
      <w:numFmt w:val="lowerLetter"/>
      <w:start w:val="26"/>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4"/>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1"/>
    </w:lvl>
  </w:abstractNum>
  <w:abstractNum w:abstractNumId="118">
    <w:nsid w:val="5EC6AFD4"/>
    <w:multiLevelType w:val="hybridMultilevel"/>
    <w:lvl w:ilvl="0">
      <w:lvlJc w:val="left"/>
      <w:lvlText w:val="(%1)"/>
      <w:numFmt w:val="lowerLetter"/>
      <w:start w:val="2"/>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Roman"/>
      <w:start w:val="1"/>
    </w:lvl>
  </w:abstractNum>
  <w:abstractNum w:abstractNumId="121">
    <w:nsid w:val="57A61A29"/>
    <w:multiLevelType w:val="hybridMultilevel"/>
    <w:lvl w:ilvl="0">
      <w:lvlJc w:val="left"/>
      <w:lvlText w:val="(%1)"/>
      <w:numFmt w:val="lowerLetter"/>
      <w:start w:val="3"/>
    </w:lvl>
  </w:abstractNum>
  <w:abstractNum w:abstractNumId="122">
    <w:nsid w:val="5399C654"/>
    <w:multiLevelType w:val="hybridMultilevel"/>
    <w:lvl w:ilvl="0">
      <w:lvlJc w:val="left"/>
      <w:lvlText w:val="(%1)"/>
      <w:numFmt w:val="lowerLetter"/>
      <w:start w:val="61"/>
    </w:lvl>
  </w:abstractNum>
  <w:abstractNum w:abstractNumId="123">
    <w:nsid w:val="20EE1348"/>
    <w:multiLevelType w:val="hybridMultilevel"/>
    <w:lvl w:ilvl="0">
      <w:lvlJc w:val="left"/>
      <w:lvlText w:val="(%1)"/>
      <w:numFmt w:val="lowerLetter"/>
      <w:start w:val="4"/>
    </w:lvl>
  </w:abstractNum>
  <w:abstractNum w:abstractNumId="124">
    <w:nsid w:val="4427069A"/>
    <w:multiLevelType w:val="hybridMultilevel"/>
    <w:lvl w:ilvl="0">
      <w:lvlJc w:val="left"/>
      <w:lvlText w:val="(%1)"/>
      <w:numFmt w:val="lowerLetter"/>
      <w:start w:val="7"/>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lowerLetter"/>
      <w:start w:val="3"/>
    </w:lvl>
  </w:abstractNum>
  <w:abstractNum w:abstractNumId="127">
    <w:nsid w:val="704E1DD5"/>
    <w:multiLevelType w:val="hybridMultilevel"/>
    <w:lvl w:ilvl="0">
      <w:lvlJc w:val="left"/>
      <w:lvlText w:val="(%1)"/>
      <w:numFmt w:val="lowerLetter"/>
      <w:start w:val="1"/>
    </w:lvl>
  </w:abstractNum>
  <w:abstractNum w:abstractNumId="128">
    <w:nsid w:val="57D2F10E"/>
    <w:multiLevelType w:val="hybridMultilevel"/>
    <w:lvl w:ilvl="0">
      <w:lvlJc w:val="left"/>
      <w:lvlText w:val="(%1)"/>
      <w:numFmt w:val="lowerRoman"/>
      <w:start w:val="1"/>
    </w:lvl>
  </w:abstractNum>
  <w:abstractNum w:abstractNumId="129">
    <w:nsid w:val="BFFAE18"/>
    <w:multiLevelType w:val="hybridMultilevel"/>
    <w:lvl w:ilvl="0">
      <w:lvlJc w:val="left"/>
      <w:lvlText w:val="(%1)"/>
      <w:numFmt w:val="lowerLetter"/>
      <w:start w:val="1"/>
    </w:lvl>
  </w:abstractNum>
  <w:abstractNum w:abstractNumId="130">
    <w:nsid w:val="E3E47A8"/>
    <w:multiLevelType w:val="hybridMultilevel"/>
    <w:lvl w:ilvl="0">
      <w:lvlJc w:val="left"/>
      <w:lvlText w:val="(%1)"/>
      <w:numFmt w:val="lowerLetter"/>
      <w:start w:val="5"/>
    </w:lvl>
  </w:abstractNum>
  <w:abstractNum w:abstractNumId="131">
    <w:nsid w:val="2E48F044"/>
    <w:multiLevelType w:val="hybridMultilevel"/>
    <w:lvl w:ilvl="0">
      <w:lvlJc w:val="left"/>
      <w:lvlText w:val="(%1)"/>
      <w:numFmt w:val="lowerLetter"/>
      <w:start w:val="1"/>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Roman"/>
      <w:start w:val="1"/>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Letter"/>
      <w:start w:val="5"/>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1"/>
    </w:lvl>
  </w:abstractNum>
  <w:abstractNum w:abstractNumId="138">
    <w:nsid w:val="2A31B62D"/>
    <w:multiLevelType w:val="hybridMultilevel"/>
    <w:lvl w:ilvl="0">
      <w:lvlJc w:val="left"/>
      <w:lvlText w:val="%1."/>
      <w:numFmt w:val="decimal"/>
      <w:start w:val="4"/>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jpe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jpe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jpeg"/><Relationship Id="rId269" Type="http://schemas.openxmlformats.org/officeDocument/2006/relationships/image" Target="media/image248.png"/><Relationship Id="rId270" Type="http://schemas.openxmlformats.org/officeDocument/2006/relationships/image" Target="media/image249.jpeg"/><Relationship Id="rId271" Type="http://schemas.openxmlformats.org/officeDocument/2006/relationships/image" Target="media/image250.png"/><Relationship Id="rId272" Type="http://schemas.openxmlformats.org/officeDocument/2006/relationships/image" Target="media/image251.jpeg"/><Relationship Id="rId273" Type="http://schemas.openxmlformats.org/officeDocument/2006/relationships/image" Target="media/image252.png"/><Relationship Id="rId274" Type="http://schemas.openxmlformats.org/officeDocument/2006/relationships/image" Target="media/image253.jpeg"/><Relationship Id="rId275" Type="http://schemas.openxmlformats.org/officeDocument/2006/relationships/image" Target="media/image254.png"/><Relationship Id="rId276" Type="http://schemas.openxmlformats.org/officeDocument/2006/relationships/image" Target="media/image255.jpeg"/><Relationship Id="rId277" Type="http://schemas.openxmlformats.org/officeDocument/2006/relationships/image" Target="media/image256.png"/><Relationship Id="rId55" Type="http://schemas.openxmlformats.org/officeDocument/2006/relationships/hyperlink" Target="http://www.sec.gov/ix?doc=/Archives/edgar/data/1426332/000162828023005569/ngm-20221231.htm" TargetMode="External"/><Relationship Id="rId56" Type="http://schemas.openxmlformats.org/officeDocument/2006/relationships/hyperlink" Target="http://www.sec.gov/ix?doc=/Archives/edgar/data/1426332/000119312523055178/d469721d10ka.htm" TargetMode="External"/><Relationship Id="rId57" Type="http://schemas.openxmlformats.org/officeDocument/2006/relationships/hyperlink" Target="http://www.sec.gov/ix?doc=/Archives/edgar/data/0001426332/000162828023015766/ngm-20230331.htm" TargetMode="External"/><Relationship Id="rId58" Type="http://schemas.openxmlformats.org/officeDocument/2006/relationships/hyperlink" Target="http://www.sec.gov/ix?doc=/Archives/edgar/data/0001426332/000162828023009712/ngm-20230329.htm" TargetMode="External"/><Relationship Id="rId59" Type="http://schemas.openxmlformats.org/officeDocument/2006/relationships/hyperlink" Target="http://www.sec.gov/Archives/edgar/data/1426332/000162828023010574/ngm-20230403.htm" TargetMode="External"/><Relationship Id="rId60" Type="http://schemas.openxmlformats.org/officeDocument/2006/relationships/hyperlink" Target="http://www.sec.gov/ix?doc=/Archives/edgar/data/0001426332/000119312523143465/d371572d8k.htm" TargetMode="External"/><Relationship Id="rId61" Type="http://schemas.openxmlformats.org/officeDocument/2006/relationships/hyperlink" Target="http://www.sec.gov/ix?doc=/Archives/edgar/data/0001426332/000119312523162955/d387904d8k.htm" TargetMode="External"/><Relationship Id="rId63" Type="http://schemas.openxmlformats.org/officeDocument/2006/relationships/hyperlink" Target="http://www.sec.gov/Archives/edgar/data/1426332/000119312519092888/d730351d8a12b.htm" TargetMode="External"/><Relationship Id="rId64" Type="http://schemas.openxmlformats.org/officeDocument/2006/relationships/hyperlink" Target="http://www.sec.gov/Archives/edgar/data/1426332/000156459020011422/ngm-ex43_293.htm" TargetMode="External"/><Relationship Id="rId98" Type="http://schemas.openxmlformats.org/officeDocument/2006/relationships/hyperlink" Target="http://www.sec.gov/Archives/edgar/data/1426332/000119312520162327/d938215dex12.htm" TargetMode="External"/><Relationship Id="rId99" Type="http://schemas.openxmlformats.org/officeDocument/2006/relationships/hyperlink" Target="http://www.sec.gov/Archives/edgar/data/1426332/000119312523162955/d387904dex11.htm" TargetMode="External"/><Relationship Id="rId100" Type="http://schemas.openxmlformats.org/officeDocument/2006/relationships/hyperlink" Target="http://www.sec.gov/Archives/edgar/data/1426332/000119312519100757/d731361dex31.htm" TargetMode="External"/><Relationship Id="rId101" Type="http://schemas.openxmlformats.org/officeDocument/2006/relationships/hyperlink" Target="http://www.sec.gov/Archives/edgar/data/1426332/000119312518287727/d693178dex34.htm" TargetMode="External"/><Relationship Id="rId102" Type="http://schemas.openxmlformats.org/officeDocument/2006/relationships/hyperlink" Target="http://www.sec.gov/Archives/edgar/data/1426332/000119312519094494/d6931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2023-06-08T05:39:06Z</dcterms:created>
  <dcterms:modified xsi:type="dcterms:W3CDTF">2023-06-08T05:39:06Z</dcterms:modified>
</cp:coreProperties>
</file>