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ind w:left="0" w:right="0" w:hanging="36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200" w:after="120"/>
        <w:jc w:val="center"/>
        <w:rPr>
          <w:rFonts w:ascii="Arial;sans-serif" w:hAnsi="Arial;sans-serif"/>
          <w:b/>
          <w:color w:val="000000"/>
          <w:sz w:val="32"/>
        </w:rPr>
      </w:pPr>
      <w:r>
        <w:rPr>
          <w:rFonts w:ascii="Arial;sans-serif" w:hAnsi="Arial;sans-serif"/>
          <w:b/>
          <w:color w:val="000000"/>
          <w:sz w:val="32"/>
        </w:rPr>
        <w:t>FORM 10-Q</w:t>
      </w:r>
    </w:p>
    <w:p>
      <w:pPr>
        <w:pStyle w:val="TextBody"/>
        <w:bidi w:val="0"/>
        <w:spacing w:lineRule="auto" w:line="288" w:before="80" w:after="120"/>
        <w:jc w:val="both"/>
        <w:rPr>
          <w:rFonts w:ascii="Arial;sans-serif" w:hAnsi="Arial;sans-serif"/>
          <w:b/>
          <w:color w:val="000000"/>
          <w:sz w:val="16"/>
        </w:rPr>
      </w:pPr>
      <w:r>
        <w:rPr>
          <w:rFonts w:ascii="Arial;sans-serif" w:hAnsi="Arial;sans-serif"/>
          <w:b/>
          <w:color w:val="000000"/>
          <w:sz w:val="16"/>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bidi w:val="0"/>
        <w:spacing w:lineRule="auto" w:line="288" w:before="60" w:after="120"/>
        <w:jc w:val="center"/>
        <w:rPr/>
      </w:pPr>
      <w:r>
        <w:rPr>
          <w:rFonts w:ascii="Arial;sans-serif" w:hAnsi="Arial;sans-serif"/>
          <w:b/>
          <w:color w:val="000000"/>
          <w:sz w:val="20"/>
        </w:rPr>
        <w:t>For the quarterly period ended September 30, 2023</w:t>
      </w:r>
      <w:r>
        <w:rPr>
          <w:color w:val="000000"/>
        </w:rPr>
        <w:t> </w:t>
      </w:r>
    </w:p>
    <w:p>
      <w:pPr>
        <w:pStyle w:val="TextBody"/>
        <w:bidi w:val="0"/>
        <w:spacing w:lineRule="auto" w:line="288" w:before="60" w:after="120"/>
        <w:jc w:val="center"/>
        <w:rPr>
          <w:rFonts w:ascii="Arial;sans-serif" w:hAnsi="Arial;sans-serif"/>
          <w:b/>
          <w:color w:val="000000"/>
          <w:sz w:val="20"/>
        </w:rPr>
      </w:pPr>
      <w:r>
        <w:rPr>
          <w:rFonts w:ascii="Arial;sans-serif" w:hAnsi="Arial;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60" w:after="120"/>
        <w:jc w:val="center"/>
        <w:rPr>
          <w:rFonts w:ascii="Arial;sans-serif" w:hAnsi="Arial;sans-serif"/>
          <w:b/>
          <w:color w:val="000000"/>
          <w:sz w:val="20"/>
        </w:rPr>
      </w:pPr>
      <w:r>
        <w:rPr>
          <w:rFonts w:ascii="Arial;sans-serif" w:hAnsi="Arial;sans-serif"/>
          <w:b/>
          <w:color w:val="000000"/>
          <w:sz w:val="20"/>
        </w:rPr>
        <w:t>For the transition period from _______ to _______</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Commission File Number: 001-38853</w:t>
      </w:r>
    </w:p>
    <w:p>
      <w:pPr>
        <w:pStyle w:val="TextBody"/>
        <w:bidi w:val="0"/>
        <w:spacing w:lineRule="auto" w:line="288" w:before="200" w:after="120"/>
        <w:jc w:val="center"/>
        <w:rPr>
          <w:rFonts w:ascii="Arial;sans-serif" w:hAnsi="Arial;sans-serif"/>
          <w:b/>
          <w:color w:val="000000"/>
          <w:sz w:val="40"/>
        </w:rPr>
      </w:pPr>
      <w:r>
        <w:rPr>
          <w:rFonts w:ascii="Arial;sans-serif" w:hAnsi="Arial;sans-serif"/>
          <w:b/>
          <w:color w:val="000000"/>
          <w:sz w:val="40"/>
        </w:rPr>
        <w:t>NGM BIOPHARMACEUTICALS, INC.</w:t>
      </w:r>
    </w:p>
    <w:p>
      <w:pPr>
        <w:pStyle w:val="TextBody"/>
        <w:bidi w:val="0"/>
        <w:spacing w:lineRule="auto" w:line="288" w:before="120" w:after="120"/>
        <w:jc w:val="center"/>
        <w:rPr>
          <w:rFonts w:ascii="Arial;sans-serif" w:hAnsi="Arial;sans-serif"/>
          <w:b/>
          <w:color w:val="000000"/>
          <w:sz w:val="18"/>
        </w:rPr>
      </w:pPr>
      <w:r>
        <w:rPr>
          <w:rFonts w:ascii="Arial;sans-serif" w:hAnsi="Arial;sans-serif"/>
          <w:b/>
          <w:color w:val="000000"/>
          <w:sz w:val="18"/>
        </w:rPr>
        <w:t>(Exact Name of Registrant as Specified in its Charter)</w:t>
      </w:r>
    </w:p>
    <w:tbl>
      <w:tblPr>
        <w:tblW w:w="3944" w:type="dxa"/>
        <w:jc w:val="left"/>
        <w:tblInd w:w="0" w:type="dxa"/>
        <w:tblLayout w:type="fixed"/>
        <w:tblCellMar>
          <w:top w:w="28" w:type="dxa"/>
          <w:left w:w="28" w:type="dxa"/>
          <w:bottom w:w="28" w:type="dxa"/>
          <w:right w:w="28" w:type="dxa"/>
        </w:tblCellMar>
      </w:tblPr>
      <w:tblGrid>
        <w:gridCol w:w="960"/>
        <w:gridCol w:w="843"/>
        <w:gridCol w:w="851"/>
        <w:gridCol w:w="377"/>
        <w:gridCol w:w="377"/>
        <w:gridCol w:w="536"/>
      </w:tblGrid>
      <w:tr>
        <w:trPr/>
        <w:tc>
          <w:tcPr>
            <w:tcW w:w="96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26-1679911</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(State or other jurisdiction of</w:t>
              <w:br/>
              <w:t>incorporation or organization)</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(I.R.S. Employer</w:t>
              <w:br/>
              <w:t>Identification No.)</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333 Oyster Point Boulevard</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South San Francisco, CA</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color w:val="000000"/>
                <w:sz w:val="18"/>
              </w:rPr>
              <w:t>94080</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(Address of principal executive offices)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(Zip Code)</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(650) 243-5555</w:t>
      </w:r>
    </w:p>
    <w:p>
      <w:pPr>
        <w:pStyle w:val="TextBody"/>
        <w:bidi w:val="0"/>
        <w:spacing w:lineRule="auto" w:line="288" w:before="40" w:after="120"/>
        <w:jc w:val="center"/>
        <w:rPr>
          <w:rFonts w:ascii="Arial;sans-serif" w:hAnsi="Arial;sans-serif"/>
          <w:b/>
          <w:color w:val="000000"/>
          <w:sz w:val="14"/>
        </w:rPr>
      </w:pPr>
      <w:r>
        <w:rPr>
          <w:rFonts w:ascii="Arial;sans-serif" w:hAnsi="Arial;sans-serif"/>
          <w:b/>
          <w:color w:val="000000"/>
          <w:sz w:val="14"/>
        </w:rPr>
        <w:t>(Registrant’s telephone number, including area code)</w:t>
      </w:r>
    </w:p>
    <w:p>
      <w:pPr>
        <w:pStyle w:val="TextBody"/>
        <w:bidi w:val="0"/>
        <w:spacing w:lineRule="auto" w:line="288" w:before="100" w:after="120"/>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491" w:type="dxa"/>
        <w:jc w:val="center"/>
        <w:tblInd w:w="0" w:type="dxa"/>
        <w:tblLayout w:type="fixed"/>
        <w:tblCellMar>
          <w:top w:w="28" w:type="dxa"/>
          <w:left w:w="28" w:type="dxa"/>
          <w:bottom w:w="28" w:type="dxa"/>
          <w:right w:w="28" w:type="dxa"/>
        </w:tblCellMar>
      </w:tblPr>
      <w:tblGrid>
        <w:gridCol w:w="1325"/>
        <w:gridCol w:w="1164"/>
        <w:gridCol w:w="1171"/>
        <w:gridCol w:w="265"/>
        <w:gridCol w:w="265"/>
        <w:gridCol w:w="266"/>
        <w:gridCol w:w="1182"/>
        <w:gridCol w:w="1182"/>
        <w:gridCol w:w="1671"/>
      </w:tblGrid>
      <w:tr>
        <w:trPr/>
        <w:tc>
          <w:tcPr>
            <w:tcW w:w="132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7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w:t>
              <w:br/>
              <w:t> Symbol</w:t>
            </w:r>
          </w:p>
        </w:tc>
        <w:tc>
          <w:tcPr>
            <w:tcW w:w="40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6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$0.001 per share</w:t>
            </w:r>
          </w:p>
        </w:tc>
        <w:tc>
          <w:tcPr>
            <w:tcW w:w="79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NGM</w:t>
            </w:r>
          </w:p>
        </w:tc>
        <w:tc>
          <w:tcPr>
            <w:tcW w:w="403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p>
      <w:pPr>
        <w:pStyle w:val="TextBody"/>
        <w:bidi w:val="0"/>
        <w:spacing w:lineRule="auto" w:line="288" w:before="160" w:after="120"/>
        <w:jc w:val="left"/>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160" w:after="12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645" w:type="dxa"/>
        <w:jc w:val="left"/>
        <w:tblInd w:w="0" w:type="dxa"/>
        <w:tblLayout w:type="fixed"/>
        <w:tblCellMar>
          <w:top w:w="28" w:type="dxa"/>
          <w:left w:w="28" w:type="dxa"/>
          <w:bottom w:w="28" w:type="dxa"/>
          <w:right w:w="28" w:type="dxa"/>
        </w:tblCellMar>
      </w:tblPr>
      <w:tblGrid>
        <w:gridCol w:w="836"/>
        <w:gridCol w:w="736"/>
        <w:gridCol w:w="737"/>
        <w:gridCol w:w="109"/>
        <w:gridCol w:w="109"/>
        <w:gridCol w:w="109"/>
        <w:gridCol w:w="109"/>
        <w:gridCol w:w="109"/>
        <w:gridCol w:w="109"/>
        <w:gridCol w:w="769"/>
        <w:gridCol w:w="769"/>
        <w:gridCol w:w="772"/>
        <w:gridCol w:w="109"/>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00" w:after="120"/>
        <w:jc w:val="left"/>
        <w:rPr/>
      </w:pPr>
      <w:r>
        <w:rPr>
          <w:rFonts w:ascii="Arial;sans-serif" w:hAnsi="Arial;sans-serif"/>
          <w:b w:val="false"/>
          <w:color w:val="000000"/>
          <w:sz w:val="18"/>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8"/>
        </w:rPr>
        <w:t>No ☒</w:t>
      </w:r>
    </w:p>
    <w:p>
      <w:pPr>
        <w:pStyle w:val="TextBody"/>
        <w:bidi w:val="0"/>
        <w:spacing w:lineRule="auto" w:line="288" w:before="100" w:after="120"/>
        <w:jc w:val="left"/>
        <w:rPr>
          <w:rFonts w:ascii="Arial;sans-serif" w:hAnsi="Arial;sans-serif"/>
          <w:b w:val="false"/>
          <w:color w:val="000000"/>
          <w:sz w:val="18"/>
        </w:rPr>
      </w:pPr>
      <w:r>
        <w:rPr>
          <w:rFonts w:ascii="Arial;sans-serif" w:hAnsi="Arial;sans-serif"/>
          <w:b w:val="false"/>
          <w:color w:val="000000"/>
          <w:sz w:val="18"/>
        </w:rPr>
        <w:t>As of October 30, 2023, the registrant had 82,715,507 shares of common stock, $0.001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0"/>
        <w:gridCol w:w="254"/>
        <w:gridCol w:w="256"/>
        <w:gridCol w:w="109"/>
        <w:gridCol w:w="109"/>
        <w:gridCol w:w="109"/>
        <w:gridCol w:w="2843"/>
        <w:gridCol w:w="2843"/>
        <w:gridCol w:w="2849"/>
        <w:gridCol w:w="158"/>
        <w:gridCol w:w="158"/>
        <w:gridCol w:w="227"/>
      </w:tblGrid>
      <w:tr>
        <w:trPr/>
        <w:tc>
          <w:tcPr>
            <w:tcW w:w="29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0865a4aba44fdb1b1e45f9229390c_10">
              <w:r>
                <w:rPr>
                  <w:rStyle w:val="InternetLink"/>
                  <w:rFonts w:ascii="Arial;sans-serif" w:hAnsi="Arial;sans-serif"/>
                  <w:b w:val="false"/>
                  <w:color w:val="0000FF"/>
                  <w:sz w:val="20"/>
                  <w:u w:val="single"/>
                </w:rPr>
                <w:t>FINANCIAL INFORMATION</w:t>
              </w:r>
            </w:hyperlink>
          </w:p>
        </w:tc>
        <w:tc>
          <w:tcPr>
            <w:tcW w:w="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6860865a4aba44fdb1b1e45f9229390c_10">
              <w:r>
                <w:rPr>
                  <w:rStyle w:val="InternetLink"/>
                  <w:rFonts w:ascii="Arial;sans-serif" w:hAnsi="Arial;sans-serif"/>
                  <w:b w:val="false"/>
                  <w:strike w:val="false"/>
                  <w:dstrike w:val="false"/>
                  <w:color w:val="000000"/>
                  <w:sz w:val="20"/>
                  <w:u w:val="none"/>
                  <w:effect w:val="none"/>
                </w:rPr>
                <w:t>1</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0865a4aba44fdb1b1e45f9229390c_13">
              <w:r>
                <w:rPr>
                  <w:rStyle w:val="InternetLink"/>
                  <w:rFonts w:ascii="Arial;sans-serif" w:hAnsi="Arial;sans-serif"/>
                  <w:b w:val="false"/>
                  <w:color w:val="0000FF"/>
                  <w:sz w:val="20"/>
                  <w:u w:val="single"/>
                </w:rPr>
                <w:t>Financial Statements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0865a4aba44fdb1b1e45f9229390c_13">
              <w:r>
                <w:rPr>
                  <w:rStyle w:val="InternetLink"/>
                  <w:rFonts w:ascii="Arial;sans-serif" w:hAnsi="Arial;sans-serif"/>
                  <w:b w:val="false"/>
                  <w:strike w:val="false"/>
                  <w:dstrike w:val="false"/>
                  <w:color w:val="000000"/>
                  <w:sz w:val="20"/>
                  <w:u w:val="none"/>
                  <w:effect w:val="none"/>
                </w:rPr>
                <w:t>1</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0865a4aba44fdb1b1e45f9229390c_16">
              <w:r>
                <w:rPr>
                  <w:rStyle w:val="InternetLink"/>
                  <w:rFonts w:ascii="Arial;sans-serif" w:hAnsi="Arial;sans-serif"/>
                  <w:b w:val="false"/>
                  <w:color w:val="000080"/>
                  <w:sz w:val="20"/>
                  <w:u w:val="single"/>
                </w:rPr>
                <w:t xml:space="preserve">Condensed Consolidated Balance Sheets as of </w:t>
              </w:r>
            </w:hyperlink>
            <w:hyperlink w:anchor="i6860865a4aba44fdb1b1e45f9229390c_16">
              <w:r>
                <w:rPr>
                  <w:rStyle w:val="InternetLink"/>
                  <w:rFonts w:ascii="Arial;sans-serif" w:hAnsi="Arial;sans-serif"/>
                  <w:b w:val="false"/>
                  <w:color w:val="000080"/>
                  <w:sz w:val="20"/>
                  <w:u w:val="single"/>
                </w:rPr>
                <w:t>September</w:t>
              </w:r>
            </w:hyperlink>
            <w:hyperlink w:anchor="i6860865a4aba44fdb1b1e45f9229390c_16">
              <w:r>
                <w:rPr>
                  <w:rStyle w:val="InternetLink"/>
                  <w:rFonts w:ascii="Arial;sans-serif" w:hAnsi="Arial;sans-serif"/>
                  <w:b w:val="false"/>
                  <w:color w:val="000080"/>
                  <w:sz w:val="20"/>
                  <w:u w:val="single"/>
                </w:rPr>
                <w:t xml:space="preserve"> 30, 2023 (Unaudited) and December 31, 2022</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0865a4aba44fdb1b1e45f9229390c_16">
              <w:r>
                <w:rPr>
                  <w:rStyle w:val="InternetLink"/>
                  <w:rFonts w:ascii="Arial;sans-serif" w:hAnsi="Arial;sans-serif"/>
                  <w:b w:val="false"/>
                  <w:strike w:val="false"/>
                  <w:dstrike w:val="false"/>
                  <w:color w:val="000000"/>
                  <w:sz w:val="20"/>
                  <w:u w:val="none"/>
                  <w:effect w:val="none"/>
                </w:rPr>
                <w:t>1</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0865a4aba44fdb1b1e45f9229390c_19">
              <w:r>
                <w:rPr>
                  <w:rStyle w:val="InternetLink"/>
                  <w:rFonts w:ascii="Arial;sans-serif" w:hAnsi="Arial;sans-serif"/>
                  <w:b w:val="false"/>
                  <w:color w:val="000080"/>
                  <w:sz w:val="20"/>
                  <w:u w:val="single"/>
                </w:rPr>
                <w:t xml:space="preserve">Condensed Consolidated Statements of Operations for the three and </w:t>
              </w:r>
            </w:hyperlink>
            <w:hyperlink w:anchor="i6860865a4aba44fdb1b1e45f9229390c_19">
              <w:r>
                <w:rPr>
                  <w:rStyle w:val="InternetLink"/>
                  <w:rFonts w:ascii="Arial;sans-serif" w:hAnsi="Arial;sans-serif"/>
                  <w:b w:val="false"/>
                  <w:color w:val="000080"/>
                  <w:sz w:val="20"/>
                  <w:u w:val="single"/>
                </w:rPr>
                <w:t>nine</w:t>
              </w:r>
            </w:hyperlink>
            <w:hyperlink w:anchor="i6860865a4aba44fdb1b1e45f9229390c_19">
              <w:r>
                <w:rPr>
                  <w:rStyle w:val="InternetLink"/>
                  <w:rFonts w:ascii="Arial;sans-serif" w:hAnsi="Arial;sans-serif"/>
                  <w:b w:val="false"/>
                  <w:color w:val="000080"/>
                  <w:sz w:val="20"/>
                  <w:u w:val="single"/>
                </w:rPr>
                <w:t xml:space="preserve"> months ended </w:t>
              </w:r>
            </w:hyperlink>
            <w:hyperlink w:anchor="i6860865a4aba44fdb1b1e45f9229390c_19">
              <w:r>
                <w:rPr>
                  <w:rStyle w:val="InternetLink"/>
                  <w:rFonts w:ascii="Arial;sans-serif" w:hAnsi="Arial;sans-serif"/>
                  <w:b w:val="false"/>
                  <w:color w:val="000080"/>
                  <w:sz w:val="20"/>
                  <w:u w:val="single"/>
                </w:rPr>
                <w:t>September</w:t>
              </w:r>
            </w:hyperlink>
            <w:hyperlink w:anchor="i6860865a4aba44fdb1b1e45f9229390c_19">
              <w:r>
                <w:rPr>
                  <w:rStyle w:val="InternetLink"/>
                  <w:rFonts w:ascii="Arial;sans-serif" w:hAnsi="Arial;sans-serif"/>
                  <w:b w:val="false"/>
                  <w:color w:val="000080"/>
                  <w:sz w:val="20"/>
                  <w:u w:val="single"/>
                </w:rPr>
                <w:t xml:space="preserve"> 30, 2023 and 2022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0865a4aba44fdb1b1e45f9229390c_19">
              <w:r>
                <w:rPr>
                  <w:rStyle w:val="InternetLink"/>
                  <w:rFonts w:ascii="Arial;sans-serif" w:hAnsi="Arial;sans-serif"/>
                  <w:b w:val="false"/>
                  <w:strike w:val="false"/>
                  <w:dstrike w:val="false"/>
                  <w:color w:val="000000"/>
                  <w:sz w:val="20"/>
                  <w:u w:val="none"/>
                  <w:effect w:val="none"/>
                </w:rPr>
                <w:t>2</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0865a4aba44fdb1b1e45f9229390c_22">
              <w:r>
                <w:rPr>
                  <w:rStyle w:val="InternetLink"/>
                  <w:rFonts w:ascii="Arial;sans-serif" w:hAnsi="Arial;sans-serif"/>
                  <w:b w:val="false"/>
                  <w:color w:val="000080"/>
                  <w:sz w:val="20"/>
                  <w:u w:val="single"/>
                </w:rPr>
                <w:t xml:space="preserve">Condensed Consolidated Statements of Comprehensive Loss for the three and </w:t>
              </w:r>
            </w:hyperlink>
            <w:hyperlink w:anchor="i6860865a4aba44fdb1b1e45f9229390c_22">
              <w:r>
                <w:rPr>
                  <w:rStyle w:val="InternetLink"/>
                  <w:rFonts w:ascii="Arial;sans-serif" w:hAnsi="Arial;sans-serif"/>
                  <w:b w:val="false"/>
                  <w:color w:val="000080"/>
                  <w:sz w:val="20"/>
                  <w:u w:val="single"/>
                </w:rPr>
                <w:t>nine</w:t>
              </w:r>
            </w:hyperlink>
            <w:hyperlink w:anchor="i6860865a4aba44fdb1b1e45f9229390c_22">
              <w:r>
                <w:rPr>
                  <w:rStyle w:val="InternetLink"/>
                  <w:rFonts w:ascii="Arial;sans-serif" w:hAnsi="Arial;sans-serif"/>
                  <w:b w:val="false"/>
                  <w:color w:val="000080"/>
                  <w:sz w:val="20"/>
                  <w:u w:val="single"/>
                </w:rPr>
                <w:t xml:space="preserve"> months ended </w:t>
              </w:r>
            </w:hyperlink>
            <w:hyperlink w:anchor="i6860865a4aba44fdb1b1e45f9229390c_22">
              <w:r>
                <w:rPr>
                  <w:rStyle w:val="InternetLink"/>
                  <w:rFonts w:ascii="Arial;sans-serif" w:hAnsi="Arial;sans-serif"/>
                  <w:b w:val="false"/>
                  <w:color w:val="000080"/>
                  <w:sz w:val="20"/>
                  <w:u w:val="single"/>
                </w:rPr>
                <w:t>September</w:t>
              </w:r>
            </w:hyperlink>
            <w:hyperlink w:anchor="i6860865a4aba44fdb1b1e45f9229390c_22">
              <w:r>
                <w:rPr>
                  <w:rStyle w:val="InternetLink"/>
                  <w:rFonts w:ascii="Arial;sans-serif" w:hAnsi="Arial;sans-serif"/>
                  <w:b w:val="false"/>
                  <w:color w:val="000080"/>
                  <w:sz w:val="20"/>
                  <w:u w:val="single"/>
                </w:rPr>
                <w:t xml:space="preserve"> 30, 2023 and 2022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0865a4aba44fdb1b1e45f9229390c_22">
              <w:r>
                <w:rPr>
                  <w:rStyle w:val="InternetLink"/>
                  <w:rFonts w:ascii="Arial;sans-serif" w:hAnsi="Arial;sans-serif"/>
                  <w:b w:val="false"/>
                  <w:strike w:val="false"/>
                  <w:dstrike w:val="false"/>
                  <w:color w:val="000000"/>
                  <w:sz w:val="20"/>
                  <w:u w:val="none"/>
                  <w:effect w:val="none"/>
                </w:rPr>
                <w:t>3</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0865a4aba44fdb1b1e45f9229390c_25">
              <w:r>
                <w:rPr>
                  <w:rStyle w:val="InternetLink"/>
                  <w:rFonts w:ascii="Arial;sans-serif" w:hAnsi="Arial;sans-serif"/>
                  <w:b w:val="false"/>
                  <w:color w:val="000080"/>
                  <w:sz w:val="20"/>
                  <w:u w:val="single"/>
                </w:rPr>
                <w:t xml:space="preserve">Condensed Consolidated Statements of Stockholders’ Equity for the three and </w:t>
              </w:r>
            </w:hyperlink>
            <w:hyperlink w:anchor="i6860865a4aba44fdb1b1e45f9229390c_25">
              <w:r>
                <w:rPr>
                  <w:rStyle w:val="InternetLink"/>
                  <w:rFonts w:ascii="Arial;sans-serif" w:hAnsi="Arial;sans-serif"/>
                  <w:b w:val="false"/>
                  <w:color w:val="000080"/>
                  <w:sz w:val="20"/>
                  <w:u w:val="single"/>
                </w:rPr>
                <w:t>nine</w:t>
              </w:r>
            </w:hyperlink>
            <w:hyperlink w:anchor="i6860865a4aba44fdb1b1e45f9229390c_25">
              <w:r>
                <w:rPr>
                  <w:rStyle w:val="InternetLink"/>
                  <w:rFonts w:ascii="Arial;sans-serif" w:hAnsi="Arial;sans-serif"/>
                  <w:b w:val="false"/>
                  <w:color w:val="000080"/>
                  <w:sz w:val="20"/>
                  <w:u w:val="single"/>
                </w:rPr>
                <w:t xml:space="preserve"> months ended </w:t>
              </w:r>
            </w:hyperlink>
            <w:hyperlink w:anchor="i6860865a4aba44fdb1b1e45f9229390c_25">
              <w:r>
                <w:rPr>
                  <w:rStyle w:val="InternetLink"/>
                  <w:rFonts w:ascii="Arial;sans-serif" w:hAnsi="Arial;sans-serif"/>
                  <w:b w:val="false"/>
                  <w:color w:val="000080"/>
                  <w:sz w:val="20"/>
                  <w:u w:val="single"/>
                </w:rPr>
                <w:t>September</w:t>
              </w:r>
            </w:hyperlink>
            <w:hyperlink w:anchor="i6860865a4aba44fdb1b1e45f9229390c_25">
              <w:r>
                <w:rPr>
                  <w:rStyle w:val="InternetLink"/>
                  <w:rFonts w:ascii="Arial;sans-serif" w:hAnsi="Arial;sans-serif"/>
                  <w:b w:val="false"/>
                  <w:color w:val="000080"/>
                  <w:sz w:val="20"/>
                  <w:u w:val="single"/>
                </w:rPr>
                <w:t xml:space="preserve"> 30, 2023 and 2022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0865a4aba44fdb1b1e45f9229390c_25">
              <w:r>
                <w:rPr>
                  <w:rStyle w:val="InternetLink"/>
                  <w:rFonts w:ascii="Arial;sans-serif" w:hAnsi="Arial;sans-serif"/>
                  <w:b w:val="false"/>
                  <w:strike w:val="false"/>
                  <w:dstrike w:val="false"/>
                  <w:color w:val="000000"/>
                  <w:sz w:val="20"/>
                  <w:u w:val="none"/>
                  <w:effect w:val="none"/>
                </w:rPr>
                <w:t>4</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0865a4aba44fdb1b1e45f9229390c_28">
              <w:r>
                <w:rPr>
                  <w:rStyle w:val="InternetLink"/>
                  <w:rFonts w:ascii="Arial;sans-serif" w:hAnsi="Arial;sans-serif"/>
                  <w:b w:val="false"/>
                  <w:color w:val="000080"/>
                  <w:sz w:val="20"/>
                  <w:u w:val="single"/>
                </w:rPr>
                <w:t xml:space="preserve">Condensed Consolidated Statements of Cash Flows for the </w:t>
              </w:r>
            </w:hyperlink>
            <w:hyperlink w:anchor="i6860865a4aba44fdb1b1e45f9229390c_28">
              <w:r>
                <w:rPr>
                  <w:rStyle w:val="InternetLink"/>
                  <w:rFonts w:ascii="Arial;sans-serif" w:hAnsi="Arial;sans-serif"/>
                  <w:b w:val="false"/>
                  <w:color w:val="000080"/>
                  <w:sz w:val="20"/>
                  <w:u w:val="single"/>
                </w:rPr>
                <w:t>nine</w:t>
              </w:r>
            </w:hyperlink>
            <w:hyperlink w:anchor="i6860865a4aba44fdb1b1e45f9229390c_28">
              <w:r>
                <w:rPr>
                  <w:rStyle w:val="InternetLink"/>
                  <w:rFonts w:ascii="Arial;sans-serif" w:hAnsi="Arial;sans-serif"/>
                  <w:b w:val="false"/>
                  <w:color w:val="000080"/>
                  <w:sz w:val="20"/>
                  <w:u w:val="single"/>
                </w:rPr>
                <w:t xml:space="preserve"> months ended </w:t>
              </w:r>
            </w:hyperlink>
            <w:hyperlink w:anchor="i6860865a4aba44fdb1b1e45f9229390c_28">
              <w:r>
                <w:rPr>
                  <w:rStyle w:val="InternetLink"/>
                  <w:rFonts w:ascii="Arial;sans-serif" w:hAnsi="Arial;sans-serif"/>
                  <w:b w:val="false"/>
                  <w:color w:val="000080"/>
                  <w:sz w:val="20"/>
                  <w:u w:val="single"/>
                </w:rPr>
                <w:t>September</w:t>
              </w:r>
            </w:hyperlink>
            <w:hyperlink w:anchor="i6860865a4aba44fdb1b1e45f9229390c_28">
              <w:r>
                <w:rPr>
                  <w:rStyle w:val="InternetLink"/>
                  <w:rFonts w:ascii="Arial;sans-serif" w:hAnsi="Arial;sans-serif"/>
                  <w:b w:val="false"/>
                  <w:color w:val="000080"/>
                  <w:sz w:val="20"/>
                  <w:u w:val="single"/>
                </w:rPr>
                <w:t xml:space="preserve"> 30, 2023 and 2022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0865a4aba44fdb1b1e45f9229390c_28">
              <w:r>
                <w:rPr>
                  <w:rStyle w:val="InternetLink"/>
                  <w:rFonts w:ascii="Arial;sans-serif" w:hAnsi="Arial;sans-serif"/>
                  <w:b w:val="false"/>
                  <w:strike w:val="false"/>
                  <w:dstrike w:val="false"/>
                  <w:color w:val="000000"/>
                  <w:sz w:val="20"/>
                  <w:u w:val="none"/>
                  <w:effect w:val="none"/>
                </w:rPr>
                <w:t>6</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0865a4aba44fdb1b1e45f9229390c_31">
              <w:r>
                <w:rPr>
                  <w:rStyle w:val="InternetLink"/>
                  <w:rFonts w:ascii="Arial;sans-serif" w:hAnsi="Arial;sans-serif"/>
                  <w:b w:val="false"/>
                  <w:color w:val="0000FF"/>
                  <w:sz w:val="20"/>
                  <w:u w:val="single"/>
                </w:rPr>
                <w:t>Notes to Condensed Consolidated Financial Statements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0865a4aba44fdb1b1e45f9229390c_31">
              <w:r>
                <w:rPr>
                  <w:rStyle w:val="InternetLink"/>
                  <w:rFonts w:ascii="Arial;sans-serif" w:hAnsi="Arial;sans-serif"/>
                  <w:b w:val="false"/>
                  <w:strike w:val="false"/>
                  <w:dstrike w:val="false"/>
                  <w:color w:val="000000"/>
                  <w:sz w:val="20"/>
                  <w:u w:val="none"/>
                  <w:effect w:val="none"/>
                </w:rPr>
                <w:t>7</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0865a4aba44fdb1b1e45f9229390c_64">
              <w:r>
                <w:rPr>
                  <w:rStyle w:val="InternetLink"/>
                  <w:rFonts w:ascii="Arial;sans-serif" w:hAnsi="Arial;sans-serif"/>
                  <w:b w:val="false"/>
                  <w:color w:val="0000FF"/>
                  <w:sz w:val="20"/>
                  <w:u w:val="single"/>
                </w:rPr>
                <w:t>Management’s Discussion and Analysis of Financial Condition and Results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0865a4aba44fdb1b1e45f9229390c_64">
              <w:r>
                <w:rPr>
                  <w:rStyle w:val="InternetLink"/>
                  <w:rFonts w:ascii="Arial;sans-serif" w:hAnsi="Arial;sans-serif"/>
                  <w:b w:val="false"/>
                  <w:strike w:val="false"/>
                  <w:dstrike w:val="false"/>
                  <w:color w:val="000000"/>
                  <w:sz w:val="20"/>
                  <w:u w:val="none"/>
                  <w:effect w:val="none"/>
                </w:rPr>
                <w:t>22</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0865a4aba44fdb1b1e45f9229390c_88">
              <w:r>
                <w:rPr>
                  <w:rStyle w:val="InternetLink"/>
                  <w:rFonts w:ascii="Arial;sans-serif" w:hAnsi="Arial;sans-serif"/>
                  <w:b w:val="false"/>
                  <w:color w:val="0000FF"/>
                  <w:sz w:val="20"/>
                  <w:u w:val="single"/>
                </w:rPr>
                <w:t>Quantitative and Qualitative Disclosures About Market Risk</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0865a4aba44fdb1b1e45f9229390c_88">
              <w:r>
                <w:rPr>
                  <w:rStyle w:val="InternetLink"/>
                  <w:rFonts w:ascii="Arial;sans-serif" w:hAnsi="Arial;sans-serif"/>
                  <w:b w:val="false"/>
                  <w:strike w:val="false"/>
                  <w:dstrike w:val="false"/>
                  <w:color w:val="000000"/>
                  <w:sz w:val="20"/>
                  <w:u w:val="none"/>
                  <w:effect w:val="none"/>
                </w:rPr>
                <w:t>34</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0865a4aba44fdb1b1e45f9229390c_91">
              <w:r>
                <w:rPr>
                  <w:rStyle w:val="InternetLink"/>
                  <w:rFonts w:ascii="Arial;sans-serif" w:hAnsi="Arial;sans-serif"/>
                  <w:b w:val="false"/>
                  <w:color w:val="0000FF"/>
                  <w:sz w:val="20"/>
                  <w:u w:val="single"/>
                </w:rPr>
                <w:t>Controls and Procedures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0865a4aba44fdb1b1e45f9229390c_91">
              <w:r>
                <w:rPr>
                  <w:rStyle w:val="InternetLink"/>
                  <w:rFonts w:ascii="Arial;sans-serif" w:hAnsi="Arial;sans-serif"/>
                  <w:b w:val="false"/>
                  <w:strike w:val="false"/>
                  <w:dstrike w:val="false"/>
                  <w:color w:val="000000"/>
                  <w:sz w:val="20"/>
                  <w:u w:val="none"/>
                  <w:effect w:val="none"/>
                </w:rPr>
                <w:t>35</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0865a4aba44fdb1b1e45f9229390c_94">
              <w:r>
                <w:rPr>
                  <w:rStyle w:val="InternetLink"/>
                  <w:rFonts w:ascii="Arial;sans-serif" w:hAnsi="Arial;sans-serif"/>
                  <w:b w:val="false"/>
                  <w:color w:val="0000FF"/>
                  <w:sz w:val="20"/>
                  <w:u w:val="single"/>
                </w:rPr>
                <w:t>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0865a4aba44fdb1b1e45f9229390c_94">
              <w:r>
                <w:rPr>
                  <w:rStyle w:val="InternetLink"/>
                  <w:rFonts w:ascii="Arial;sans-serif" w:hAnsi="Arial;sans-serif"/>
                  <w:b w:val="false"/>
                  <w:strike w:val="false"/>
                  <w:dstrike w:val="false"/>
                  <w:color w:val="000000"/>
                  <w:sz w:val="20"/>
                  <w:u w:val="none"/>
                  <w:effect w:val="none"/>
                </w:rPr>
                <w:t>36</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0865a4aba44fdb1b1e45f9229390c_97">
              <w:r>
                <w:rPr>
                  <w:rStyle w:val="InternetLink"/>
                  <w:rFonts w:ascii="Arial;sans-serif" w:hAnsi="Arial;sans-serif"/>
                  <w:b w:val="false"/>
                  <w:color w:val="0000FF"/>
                  <w:sz w:val="20"/>
                  <w:u w:val="single"/>
                </w:rPr>
                <w:t>Legal Proceedings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0865a4aba44fdb1b1e45f9229390c_97">
              <w:r>
                <w:rPr>
                  <w:rStyle w:val="InternetLink"/>
                  <w:rFonts w:ascii="Arial;sans-serif" w:hAnsi="Arial;sans-serif"/>
                  <w:b w:val="false"/>
                  <w:strike w:val="false"/>
                  <w:dstrike w:val="false"/>
                  <w:color w:val="000000"/>
                  <w:sz w:val="20"/>
                  <w:u w:val="none"/>
                  <w:effect w:val="none"/>
                </w:rPr>
                <w:t>36</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0865a4aba44fdb1b1e45f9229390c_100">
              <w:r>
                <w:rPr>
                  <w:rStyle w:val="InternetLink"/>
                  <w:rFonts w:ascii="Arial;sans-serif" w:hAnsi="Arial;sans-serif"/>
                  <w:b w:val="false"/>
                  <w:color w:val="0000FF"/>
                  <w:sz w:val="20"/>
                  <w:u w:val="single"/>
                </w:rPr>
                <w:t>Risk Factors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0865a4aba44fdb1b1e45f9229390c_100">
              <w:r>
                <w:rPr>
                  <w:rStyle w:val="InternetLink"/>
                  <w:rFonts w:ascii="Arial;sans-serif" w:hAnsi="Arial;sans-serif"/>
                  <w:b w:val="false"/>
                  <w:strike w:val="false"/>
                  <w:dstrike w:val="false"/>
                  <w:color w:val="000000"/>
                  <w:sz w:val="20"/>
                  <w:u w:val="none"/>
                  <w:effect w:val="none"/>
                </w:rPr>
                <w:t>36</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0865a4aba44fdb1b1e45f9229390c_103">
              <w:r>
                <w:rPr>
                  <w:rStyle w:val="InternetLink"/>
                  <w:rFonts w:ascii="Arial;sans-serif" w:hAnsi="Arial;sans-serif"/>
                  <w:b w:val="false"/>
                  <w:color w:val="0000FF"/>
                  <w:sz w:val="20"/>
                  <w:u w:val="single"/>
                </w:rPr>
                <w:t>Unregistered Sales of Equity Securities and Use of Proceeds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0865a4aba44fdb1b1e45f9229390c_103">
              <w:r>
                <w:rPr>
                  <w:rStyle w:val="InternetLink"/>
                  <w:rFonts w:ascii="Arial;sans-serif" w:hAnsi="Arial;sans-serif"/>
                  <w:b w:val="false"/>
                  <w:strike w:val="false"/>
                  <w:dstrike w:val="false"/>
                  <w:color w:val="000000"/>
                  <w:sz w:val="20"/>
                  <w:u w:val="none"/>
                  <w:effect w:val="none"/>
                </w:rPr>
                <w:t>77</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0865a4aba44fdb1b1e45f9229390c_106">
              <w:r>
                <w:rPr>
                  <w:rStyle w:val="InternetLink"/>
                  <w:rFonts w:ascii="Arial;sans-serif" w:hAnsi="Arial;sans-serif"/>
                  <w:b w:val="false"/>
                  <w:color w:val="0000FF"/>
                  <w:sz w:val="20"/>
                  <w:u w:val="single"/>
                </w:rPr>
                <w:t>Defaults Upon Senior Securities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0865a4aba44fdb1b1e45f9229390c_106">
              <w:r>
                <w:rPr>
                  <w:rStyle w:val="InternetLink"/>
                  <w:rFonts w:ascii="Arial;sans-serif" w:hAnsi="Arial;sans-serif"/>
                  <w:b w:val="false"/>
                  <w:strike w:val="false"/>
                  <w:dstrike w:val="false"/>
                  <w:color w:val="000000"/>
                  <w:sz w:val="20"/>
                  <w:u w:val="none"/>
                  <w:effect w:val="none"/>
                </w:rPr>
                <w:t>77</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0865a4aba44fdb1b1e45f9229390c_109">
              <w:r>
                <w:rPr>
                  <w:rStyle w:val="InternetLink"/>
                  <w:rFonts w:ascii="Arial;sans-serif" w:hAnsi="Arial;sans-serif"/>
                  <w:b w:val="false"/>
                  <w:color w:val="0000FF"/>
                  <w:sz w:val="20"/>
                  <w:u w:val="single"/>
                </w:rPr>
                <w:t>Mine Safety Disclosures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0865a4aba44fdb1b1e45f9229390c_109">
              <w:r>
                <w:rPr>
                  <w:rStyle w:val="InternetLink"/>
                  <w:rFonts w:ascii="Arial;sans-serif" w:hAnsi="Arial;sans-serif"/>
                  <w:b w:val="false"/>
                  <w:strike w:val="false"/>
                  <w:dstrike w:val="false"/>
                  <w:color w:val="000000"/>
                  <w:sz w:val="20"/>
                  <w:u w:val="none"/>
                  <w:effect w:val="none"/>
                </w:rPr>
                <w:t>77</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0865a4aba44fdb1b1e45f9229390c_112">
              <w:r>
                <w:rPr>
                  <w:rStyle w:val="InternetLink"/>
                  <w:rFonts w:ascii="Arial;sans-serif" w:hAnsi="Arial;sans-serif"/>
                  <w:b w:val="false"/>
                  <w:color w:val="0000FF"/>
                  <w:sz w:val="20"/>
                  <w:u w:val="single"/>
                </w:rPr>
                <w:t>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0865a4aba44fdb1b1e45f9229390c_112">
              <w:r>
                <w:rPr>
                  <w:rStyle w:val="InternetLink"/>
                  <w:rFonts w:ascii="Arial;sans-serif" w:hAnsi="Arial;sans-serif"/>
                  <w:b w:val="false"/>
                  <w:strike w:val="false"/>
                  <w:dstrike w:val="false"/>
                  <w:color w:val="000000"/>
                  <w:sz w:val="20"/>
                  <w:u w:val="none"/>
                  <w:effect w:val="none"/>
                </w:rPr>
                <w:t>77</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0865a4aba44fdb1b1e45f9229390c_115">
              <w:r>
                <w:rPr>
                  <w:rStyle w:val="InternetLink"/>
                  <w:rFonts w:ascii="Arial;sans-serif" w:hAnsi="Arial;sans-serif"/>
                  <w:b w:val="false"/>
                  <w:color w:val="0000FF"/>
                  <w:sz w:val="20"/>
                  <w:u w:val="single"/>
                </w:rPr>
                <w:t>Exhibits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0865a4aba44fdb1b1e45f9229390c_115">
              <w:r>
                <w:rPr>
                  <w:rStyle w:val="InternetLink"/>
                  <w:rFonts w:ascii="Arial;sans-serif" w:hAnsi="Arial;sans-serif"/>
                  <w:b w:val="false"/>
                  <w:strike w:val="false"/>
                  <w:dstrike w:val="false"/>
                  <w:color w:val="000000"/>
                  <w:sz w:val="20"/>
                  <w:u w:val="none"/>
                  <w:effect w:val="none"/>
                </w:rPr>
                <w:t>79</w:t>
              </w:r>
            </w:hyperlink>
          </w:p>
        </w:tc>
      </w:tr>
      <w:tr>
        <w:trPr/>
        <w:tc>
          <w:tcPr>
            <w:tcW w:w="9662"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6860865a4aba44fdb1b1e45f9229390c_118">
              <w:r>
                <w:rPr>
                  <w:rStyle w:val="InternetLink"/>
                  <w:rFonts w:ascii="Arial;sans-serif" w:hAnsi="Arial;sans-serif"/>
                  <w:b w:val="false"/>
                  <w:color w:val="0000FF"/>
                  <w:sz w:val="20"/>
                  <w:u w:val="single"/>
                </w:rPr>
                <w:t>Signatures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0865a4aba44fdb1b1e45f9229390c_118">
              <w:r>
                <w:rPr>
                  <w:rStyle w:val="InternetLink"/>
                  <w:rFonts w:ascii="Arial;sans-serif" w:hAnsi="Arial;sans-serif"/>
                  <w:b w:val="false"/>
                  <w:strike w:val="false"/>
                  <w:dstrike w:val="false"/>
                  <w:color w:val="000000"/>
                  <w:sz w:val="20"/>
                  <w:u w:val="none"/>
                  <w:effect w:val="none"/>
                </w:rPr>
                <w:t>80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250"/>
                <wp:effectExtent l="0" t="0" r="0" b="0"/>
                <wp:wrapNone/>
                <wp:docPr id="2" name="Frame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i</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center"/>
        <w:rPr>
          <w:rFonts w:ascii="Arial;sans-serif" w:hAnsi="Arial;sans-serif"/>
          <w:b/>
          <w:color w:val="000000"/>
          <w:sz w:val="20"/>
        </w:rPr>
      </w:pPr>
      <w:r>
        <w:rPr>
          <w:rFonts w:ascii="Arial;sans-serif" w:hAnsi="Arial;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120"/>
        <w:jc w:val="both"/>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NGM BIOPHARMACEUTICALS, INC.</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amounts)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47"/>
        <w:gridCol w:w="2264"/>
        <w:gridCol w:w="2242"/>
        <w:gridCol w:w="224"/>
        <w:gridCol w:w="909"/>
        <w:gridCol w:w="115"/>
        <w:gridCol w:w="109"/>
        <w:gridCol w:w="109"/>
        <w:gridCol w:w="109"/>
        <w:gridCol w:w="220"/>
        <w:gridCol w:w="894"/>
        <w:gridCol w:w="163"/>
      </w:tblGrid>
      <w:tr>
        <w:trPr/>
        <w:tc>
          <w:tcPr>
            <w:tcW w:w="2847"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2022*</w:t>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Assets</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73,456 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marketable securities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114,569 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198,036 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receivable from collaboration</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177,038 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288,859 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192,150 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307,402 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Liabilities and stockholders' equity</w:t>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33,638 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 current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22,345 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47,842 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22,345 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47,842 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6)</w:t>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Preferred stock, $0.001 par value; 10,000 shares authorized; no shares issued or outstanding as of September 30, 2023 and December 31, 2022, respectively</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Common stock, $0.001 par value; 400,000 shares authorized; 82,716 and 81,885 shares issued and outstanding as of September 30, 2023 and December 31, 2022, respectively</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866,138 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841,413 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(696,338)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(581,633)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169,805 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259,560 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192,150 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307,402 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Arial;sans-serif" w:hAnsi="Arial;sans-serif"/>
          <w:b w:val="false"/>
          <w:i/>
          <w:color w:val="000000"/>
          <w:sz w:val="20"/>
        </w:rPr>
      </w:pPr>
      <w:r>
        <w:rPr>
          <w:rFonts w:ascii="Arial;sans-serif" w:hAnsi="Arial;sans-serif"/>
          <w:b w:val="false"/>
          <w:i/>
          <w:color w:val="000000"/>
          <w:sz w:val="20"/>
        </w:rPr>
        <w:t>See accompanying notes to these unaudited condensed consolidated financial statements.</w:t>
      </w:r>
    </w:p>
    <w:p>
      <w:pPr>
        <w:pStyle w:val="TextBody"/>
        <w:bidi w:val="0"/>
        <w:spacing w:lineRule="auto" w:line="288" w:before="240" w:after="120"/>
        <w:jc w:val="both"/>
        <w:rPr>
          <w:rFonts w:ascii="Arial;sans-serif" w:hAnsi="Arial;sans-serif"/>
          <w:b w:val="false"/>
          <w:color w:val="000000"/>
          <w:sz w:val="20"/>
        </w:rPr>
      </w:pPr>
      <w:r>
        <w:rPr>
          <w:rFonts w:ascii="Arial;sans-serif" w:hAnsi="Arial;sans-serif"/>
          <w:b w:val="false"/>
          <w:color w:val="000000"/>
          <w:sz w:val="20"/>
        </w:rPr>
        <w:t>*The condensed consolidated balance sheet as of December 31, 2022 has been derived from the audited financial statements as of that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250"/>
                <wp:effectExtent l="0" t="0" r="0" b="0"/>
                <wp:wrapNone/>
                <wp:docPr id="3" name="Frame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NGM BIOPHARMACEUTICALS, INC.</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amounts)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tbl>
      <w:tblPr>
        <w:tblW w:w="10205" w:type="dxa"/>
        <w:jc w:val="left"/>
        <w:tblInd w:w="0" w:type="dxa"/>
        <w:tblLayout w:type="fixed"/>
        <w:tblCellMar>
          <w:top w:w="28" w:type="dxa"/>
          <w:left w:w="28" w:type="dxa"/>
          <w:bottom w:w="28" w:type="dxa"/>
          <w:right w:w="28" w:type="dxa"/>
        </w:tblCellMar>
      </w:tblPr>
      <w:tblGrid>
        <w:gridCol w:w="1667"/>
        <w:gridCol w:w="1229"/>
        <w:gridCol w:w="1234"/>
        <w:gridCol w:w="211"/>
        <w:gridCol w:w="780"/>
        <w:gridCol w:w="109"/>
        <w:gridCol w:w="109"/>
        <w:gridCol w:w="109"/>
        <w:gridCol w:w="109"/>
        <w:gridCol w:w="211"/>
        <w:gridCol w:w="780"/>
        <w:gridCol w:w="109"/>
        <w:gridCol w:w="109"/>
        <w:gridCol w:w="109"/>
        <w:gridCol w:w="109"/>
        <w:gridCol w:w="211"/>
        <w:gridCol w:w="885"/>
        <w:gridCol w:w="109"/>
        <w:gridCol w:w="109"/>
        <w:gridCol w:w="109"/>
        <w:gridCol w:w="109"/>
        <w:gridCol w:w="211"/>
        <w:gridCol w:w="885"/>
        <w:gridCol w:w="109"/>
        <w:gridCol w:w="109"/>
        <w:gridCol w:w="109"/>
        <w:gridCol w:w="109"/>
        <w:gridCol w:w="157"/>
      </w:tblGrid>
      <w:tr>
        <w:trPr/>
        <w:tc>
          <w:tcPr>
            <w:tcW w:w="1667"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4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revenue</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37,152 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22,942 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96,150 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134,345 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9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31,613 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56,215 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126,052 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165,104 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9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(31,031)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(48,304)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(121,800)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(127,952)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(28,797)</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(47,261)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(114,705)</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(126,230)</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(0.35)</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(0.59)</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used to compute net loss per share, basic and diluted</w:t>
            </w:r>
          </w:p>
        </w:tc>
        <w:tc>
          <w:tcPr>
            <w:tcW w:w="991" w:type="dxa"/>
            <w:gridSpan w:val="2"/>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82,707 </w:t>
            </w:r>
          </w:p>
        </w:tc>
        <w:tc>
          <w:tcPr>
            <w:tcW w:w="109"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80,623 </w:t>
            </w:r>
          </w:p>
        </w:tc>
        <w:tc>
          <w:tcPr>
            <w:tcW w:w="109"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82,393 </w:t>
            </w:r>
          </w:p>
        </w:tc>
        <w:tc>
          <w:tcPr>
            <w:tcW w:w="109"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79,331 </w:t>
            </w:r>
          </w:p>
        </w:tc>
        <w:tc>
          <w:tcPr>
            <w:tcW w:w="109"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center"/>
        <w:rPr/>
      </w:pPr>
      <w:r>
        <w:rPr/>
      </w:r>
    </w:p>
    <w:p>
      <w:pPr>
        <w:pStyle w:val="TextBody"/>
        <w:bidi w:val="0"/>
        <w:spacing w:lineRule="auto" w:line="288" w:before="240" w:after="120"/>
        <w:jc w:val="center"/>
        <w:rPr>
          <w:rFonts w:ascii="Arial;sans-serif" w:hAnsi="Arial;sans-serif"/>
          <w:b w:val="false"/>
          <w:i/>
          <w:color w:val="000000"/>
          <w:sz w:val="20"/>
        </w:rPr>
      </w:pPr>
      <w:r>
        <w:rPr>
          <w:rFonts w:ascii="Arial;sans-serif" w:hAnsi="Arial;sans-serif"/>
          <w:b w:val="false"/>
          <w:i/>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250"/>
                <wp:effectExtent l="0" t="0" r="0" b="0"/>
                <wp:wrapNone/>
                <wp:docPr id="4" name="Frame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NGM BIOPHARMACEUTICALS, INC.</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CONDENSED CONSOLIDATED STATEMENTS OF COMPREHENSIVE 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tbl>
      <w:tblPr>
        <w:tblW w:w="10205" w:type="dxa"/>
        <w:jc w:val="left"/>
        <w:tblInd w:w="0" w:type="dxa"/>
        <w:tblLayout w:type="fixed"/>
        <w:tblCellMar>
          <w:top w:w="28" w:type="dxa"/>
          <w:left w:w="28" w:type="dxa"/>
          <w:bottom w:w="28" w:type="dxa"/>
          <w:right w:w="28" w:type="dxa"/>
        </w:tblCellMar>
      </w:tblPr>
      <w:tblGrid>
        <w:gridCol w:w="1528"/>
        <w:gridCol w:w="1286"/>
        <w:gridCol w:w="1297"/>
        <w:gridCol w:w="211"/>
        <w:gridCol w:w="784"/>
        <w:gridCol w:w="109"/>
        <w:gridCol w:w="109"/>
        <w:gridCol w:w="109"/>
        <w:gridCol w:w="109"/>
        <w:gridCol w:w="211"/>
        <w:gridCol w:w="784"/>
        <w:gridCol w:w="109"/>
        <w:gridCol w:w="109"/>
        <w:gridCol w:w="109"/>
        <w:gridCol w:w="109"/>
        <w:gridCol w:w="211"/>
        <w:gridCol w:w="889"/>
        <w:gridCol w:w="109"/>
        <w:gridCol w:w="109"/>
        <w:gridCol w:w="109"/>
        <w:gridCol w:w="109"/>
        <w:gridCol w:w="211"/>
        <w:gridCol w:w="889"/>
        <w:gridCol w:w="109"/>
        <w:gridCol w:w="109"/>
        <w:gridCol w:w="109"/>
        <w:gridCol w:w="109"/>
        <w:gridCol w:w="160"/>
      </w:tblGrid>
      <w:tr>
        <w:trPr/>
        <w:tc>
          <w:tcPr>
            <w:tcW w:w="152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(28,797)</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(47,261)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(114,705)</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(126,230)</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gain (loss), net of tax:</w:t>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unrealized gain (loss) on available-for-sale marketable securities</w:t>
            </w:r>
          </w:p>
        </w:tc>
        <w:tc>
          <w:tcPr>
            <w:tcW w:w="99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comprehensive loss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(28,726)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(47,099)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(114,481)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(127,016)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center"/>
        <w:rPr/>
      </w:pPr>
      <w:r>
        <w:rPr/>
      </w:r>
    </w:p>
    <w:p>
      <w:pPr>
        <w:pStyle w:val="TextBody"/>
        <w:bidi w:val="0"/>
        <w:spacing w:lineRule="auto" w:line="288" w:before="240" w:after="120"/>
        <w:jc w:val="center"/>
        <w:rPr>
          <w:rFonts w:ascii="Arial;sans-serif" w:hAnsi="Arial;sans-serif"/>
          <w:b w:val="false"/>
          <w:i/>
          <w:color w:val="000000"/>
          <w:sz w:val="20"/>
        </w:rPr>
      </w:pPr>
      <w:r>
        <w:rPr>
          <w:rFonts w:ascii="Arial;sans-serif" w:hAnsi="Arial;sans-serif"/>
          <w:b w:val="false"/>
          <w:i/>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250"/>
                <wp:effectExtent l="0" t="0" r="0" b="0"/>
                <wp:wrapNone/>
                <wp:docPr id="5" name="Frame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NGM BIOPHARMACEUTICALS, INC.</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100" w:after="120"/>
        <w:jc w:val="center"/>
        <w:rPr/>
      </w:pPr>
      <w:r>
        <w:rPr/>
      </w:r>
    </w:p>
    <w:p>
      <w:pPr>
        <w:pStyle w:val="TextBody"/>
        <w:bidi w:val="0"/>
        <w:spacing w:before="100" w:after="120"/>
        <w:jc w:val="both"/>
        <w:rPr/>
      </w:pPr>
      <w:r>
        <w:rPr/>
      </w:r>
    </w:p>
    <w:tbl>
      <w:tblPr>
        <w:tblW w:w="10205" w:type="dxa"/>
        <w:jc w:val="left"/>
        <w:tblInd w:w="0" w:type="dxa"/>
        <w:tblLayout w:type="fixed"/>
        <w:tblCellMar>
          <w:top w:w="28" w:type="dxa"/>
          <w:left w:w="28" w:type="dxa"/>
          <w:bottom w:w="28" w:type="dxa"/>
          <w:right w:w="28" w:type="dxa"/>
        </w:tblCellMar>
      </w:tblPr>
      <w:tblGrid>
        <w:gridCol w:w="1046"/>
        <w:gridCol w:w="706"/>
        <w:gridCol w:w="712"/>
        <w:gridCol w:w="323"/>
        <w:gridCol w:w="323"/>
        <w:gridCol w:w="186"/>
        <w:gridCol w:w="109"/>
        <w:gridCol w:w="109"/>
        <w:gridCol w:w="109"/>
        <w:gridCol w:w="196"/>
        <w:gridCol w:w="331"/>
        <w:gridCol w:w="109"/>
        <w:gridCol w:w="109"/>
        <w:gridCol w:w="109"/>
        <w:gridCol w:w="109"/>
        <w:gridCol w:w="196"/>
        <w:gridCol w:w="738"/>
        <w:gridCol w:w="109"/>
        <w:gridCol w:w="109"/>
        <w:gridCol w:w="109"/>
        <w:gridCol w:w="109"/>
        <w:gridCol w:w="318"/>
        <w:gridCol w:w="711"/>
        <w:gridCol w:w="179"/>
        <w:gridCol w:w="109"/>
        <w:gridCol w:w="109"/>
        <w:gridCol w:w="109"/>
        <w:gridCol w:w="212"/>
        <w:gridCol w:w="838"/>
        <w:gridCol w:w="117"/>
        <w:gridCol w:w="109"/>
        <w:gridCol w:w="109"/>
        <w:gridCol w:w="109"/>
        <w:gridCol w:w="218"/>
        <w:gridCol w:w="822"/>
        <w:gridCol w:w="180"/>
      </w:tblGrid>
      <w:tr>
        <w:trPr/>
        <w:tc>
          <w:tcPr>
            <w:tcW w:w="10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46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Stockholders' Equity</w:t>
            </w:r>
          </w:p>
        </w:tc>
      </w:tr>
      <w:tr>
        <w:trPr/>
        <w:tc>
          <w:tcPr>
            <w:tcW w:w="2464" w:type="dxa"/>
            <w:gridSpan w:val="3"/>
            <w:vMerge w:val="continue"/>
            <w:tcBorders/>
            <w:tcMar>
              <w:top w:w="0" w:type="dxa"/>
              <w:left w:w="0" w:type="dxa"/>
              <w:bottom w:w="0" w:type="dxa"/>
              <w:right w:w="0" w:type="dxa"/>
            </w:tcMar>
            <w:vAlign w:val="center"/>
          </w:tcPr>
          <w:p>
            <w:pPr>
              <w:pStyle w:val="Normal"/>
              <w:bidi w:val="0"/>
              <w:jc w:val="left"/>
              <w:rPr/>
            </w:pPr>
            <w:r>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81,885 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(581,633)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259,560 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gain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(47,647)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(47,647)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March 31, 2023</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82,056 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(629,280)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220,934 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under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to participants in 401(k)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(38,261)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(38,261)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82,715 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(667,541)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192,121 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gain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(28,797)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(28,797)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September 30, 2023</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82,715 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866,138 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(696,338)</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169,805 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20"/>
        <w:jc w:val="both"/>
        <w:rPr/>
      </w:pPr>
      <w:r>
        <w:rPr/>
      </w:r>
    </w:p>
    <w:p>
      <w:pPr>
        <w:pStyle w:val="TextBody"/>
        <w:bidi w:val="0"/>
        <w:spacing w:before="120" w:after="120"/>
        <w:jc w:val="both"/>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88" w:before="240" w:after="120"/>
        <w:jc w:val="center"/>
        <w:rPr>
          <w:rFonts w:ascii="Arial;sans-serif" w:hAnsi="Arial;sans-serif"/>
          <w:b w:val="false"/>
          <w:i/>
          <w:color w:val="000000"/>
          <w:sz w:val="20"/>
        </w:rPr>
      </w:pPr>
      <w:r>
        <w:rPr>
          <w:rFonts w:ascii="Arial;sans-serif" w:hAnsi="Arial;sans-serif"/>
          <w:b w:val="false"/>
          <w:i/>
          <w:color w:val="000000"/>
          <w:sz w:val="20"/>
        </w:rPr>
        <w:t>See accompanying notes to these unaudited condensed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250"/>
                <wp:effectExtent l="0" t="0" r="0" b="0"/>
                <wp:wrapNone/>
                <wp:docPr id="6" name="Frame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NGM BIOPHARMACEUTICALS, INC.</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98"/>
        <w:gridCol w:w="725"/>
        <w:gridCol w:w="731"/>
        <w:gridCol w:w="323"/>
        <w:gridCol w:w="323"/>
        <w:gridCol w:w="186"/>
        <w:gridCol w:w="109"/>
        <w:gridCol w:w="109"/>
        <w:gridCol w:w="109"/>
        <w:gridCol w:w="196"/>
        <w:gridCol w:w="331"/>
        <w:gridCol w:w="109"/>
        <w:gridCol w:w="109"/>
        <w:gridCol w:w="109"/>
        <w:gridCol w:w="109"/>
        <w:gridCol w:w="196"/>
        <w:gridCol w:w="737"/>
        <w:gridCol w:w="109"/>
        <w:gridCol w:w="109"/>
        <w:gridCol w:w="109"/>
        <w:gridCol w:w="109"/>
        <w:gridCol w:w="311"/>
        <w:gridCol w:w="694"/>
        <w:gridCol w:w="175"/>
        <w:gridCol w:w="109"/>
        <w:gridCol w:w="109"/>
        <w:gridCol w:w="109"/>
        <w:gridCol w:w="208"/>
        <w:gridCol w:w="816"/>
        <w:gridCol w:w="115"/>
        <w:gridCol w:w="109"/>
        <w:gridCol w:w="109"/>
        <w:gridCol w:w="109"/>
        <w:gridCol w:w="213"/>
        <w:gridCol w:w="800"/>
        <w:gridCol w:w="174"/>
      </w:tblGrid>
      <w:tr>
        <w:trPr/>
        <w:tc>
          <w:tcPr>
            <w:tcW w:w="109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55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Stockholders' Equity</w:t>
            </w:r>
          </w:p>
        </w:tc>
      </w:tr>
      <w:tr>
        <w:trPr/>
        <w:tc>
          <w:tcPr>
            <w:tcW w:w="2554" w:type="dxa"/>
            <w:gridSpan w:val="3"/>
            <w:vMerge w:val="continue"/>
            <w:tcBorders/>
            <w:tcMar>
              <w:top w:w="0" w:type="dxa"/>
              <w:left w:w="0" w:type="dxa"/>
              <w:bottom w:w="0" w:type="dxa"/>
              <w:right w:w="0" w:type="dxa"/>
            </w:tcMar>
            <w:vAlign w:val="center"/>
          </w:tcPr>
          <w:p>
            <w:pPr>
              <w:pStyle w:val="Normal"/>
              <w:bidi w:val="0"/>
              <w:jc w:val="left"/>
              <w:rPr/>
            </w:pPr>
            <w:r>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2021</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77,962 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(418,966)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335,647 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(32,450)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(32,450)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March 31, 2022</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78,087 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(451,416)</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311,137 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under Open Market Sale Agreement, net of issuance costs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17,403 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upon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to participants in 401(k)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(46,519)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(46,519)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2022</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79,463 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(497,935)</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292,081 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under Open Market Sale Agreement, net of issuance costs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32,043 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gain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(47,261)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(47,261)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September 30, 2022</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81,714 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831,918 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(915)</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(545,196)</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285,889 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rFonts w:ascii="Arial;sans-serif" w:hAnsi="Arial;sans-serif"/>
          <w:b w:val="false"/>
          <w:i/>
          <w:color w:val="000000"/>
          <w:sz w:val="20"/>
        </w:rPr>
      </w:pPr>
      <w:r>
        <w:rPr>
          <w:rFonts w:ascii="Arial;sans-serif" w:hAnsi="Arial;sans-serif"/>
          <w:b w:val="false"/>
          <w:i/>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250"/>
                <wp:effectExtent l="0" t="0" r="0" b="0"/>
                <wp:wrapNone/>
                <wp:docPr id="7" name="Frame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NGM BIOPHARMACEUTICALS, INC.</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743" w:type="dxa"/>
        <w:jc w:val="left"/>
        <w:tblInd w:w="0" w:type="dxa"/>
        <w:tblLayout w:type="fixed"/>
        <w:tblCellMar>
          <w:top w:w="28" w:type="dxa"/>
          <w:left w:w="28" w:type="dxa"/>
          <w:bottom w:w="28" w:type="dxa"/>
          <w:right w:w="28" w:type="dxa"/>
        </w:tblCellMar>
      </w:tblPr>
      <w:tblGrid>
        <w:gridCol w:w="2499"/>
        <w:gridCol w:w="2197"/>
        <w:gridCol w:w="2203"/>
        <w:gridCol w:w="211"/>
        <w:gridCol w:w="916"/>
        <w:gridCol w:w="109"/>
        <w:gridCol w:w="109"/>
        <w:gridCol w:w="109"/>
        <w:gridCol w:w="109"/>
        <w:gridCol w:w="211"/>
        <w:gridCol w:w="916"/>
        <w:gridCol w:w="154"/>
      </w:tblGrid>
      <w:tr>
        <w:trPr/>
        <w:tc>
          <w:tcPr>
            <w:tcW w:w="2499"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br/>
              <w:t>September 30,</w:t>
            </w:r>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(126,230)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of discount) amortization of premium on marketable securities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lease expense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non-cash expenses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receivable from collaboration</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assets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and other liabilities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(114,035)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maturities of marketable securities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marketable securities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(172,486)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investing activities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employee stock purchase plan</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exercise of stock options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Open Market Sale Agreement, net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cash equivalents and restricted cash</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(47,891)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beginning of period</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105,403 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disclosures of non-cash investing and financing activities:</w:t>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purchases not yet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6899"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6899"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6899"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Arial;sans-serif" w:hAnsi="Arial;sans-serif"/>
          <w:b w:val="false"/>
          <w:i/>
          <w:color w:val="000000"/>
          <w:sz w:val="20"/>
        </w:rPr>
      </w:pPr>
      <w:r>
        <w:rPr>
          <w:rFonts w:ascii="Arial;sans-serif" w:hAnsi="Arial;sans-serif"/>
          <w:b w:val="false"/>
          <w:i/>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250"/>
                <wp:effectExtent l="0" t="0" r="0" b="0"/>
                <wp:wrapNone/>
                <wp:docPr id="8" name="Frame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NGM BIOPHARMACEUTICALS,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20"/>
        <w:jc w:val="both"/>
        <w:rPr/>
      </w:pPr>
      <w:r>
        <w:rPr/>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1. Organization and Description of Business</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NGM Biopharmaceuticals, Inc. and its wholly-owned subsidiary, NGM Biopharmaceuticals Australia Pty Ltd., or NGM Australia, collectively referred to as the Company, is a biopharmaceutical company focused on discovering and developing novel, potentially life-changing medicines based on scientific understanding of key biological pathways underlying grievous diseases with critical unmet or underserved patient need. The Company's portfolio of product candidates range from early discovery to Phase 2b development. </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was incorporated in Delaware in December 2007 and commenced operations in 2008. The Company's headquarters are located at 333 Oyster Point Blvd., South San Francisco, California 94080.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2. Summary of Significant Accounting Policies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Basis of Presentation and Principles of Consolidation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accordance with U.S. generally accepted accounting principles, or U.S. GAAP, and Regulation S-X for interim consolidated financial statements. These unaudited condensed consolidated financial statements should be read in conjunction with the audited consolidated financial statements and notes for the year ended December 31, 2022 included in the Company’s Annual Report on Form 10-K for the year ended December 31, 2022 filed with the U.S Securities and Exchange Commission, or SEC, on February 28, 2023. These unaudited condensed consolidated financial statements reflect all adjustments that management believes are necessary for a fair presentation of the periods presented. All such adjustments are of a normal recurring nature and are not necessarily indicative of results expected for the full fiscal year ending December 31, 2023, or for any subsequent interim period.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These unaudited condensed consolidated financial statements include the consolidated accounts of NGM Biopharmaceuticals, Inc. and its wholly-owned foreign subsidiary, NGM Australia. All intercompany balances and transactions have been eliminated upon consolidation.</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preparation of unaudited condensed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stock-based compensation expense, contract manufacturing accruals, clinical trial accruals and revenue recognition in accordance with Accounting Standards Update, or ASU, 2014-09, Revenue from Contracts with Customers (Topic 606), or ASC 606.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 and to the extent that there are differences between management's estimates and actual results, the Company's future financial statement presentation, financial condition, results of operations and cash flows may be affected. </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 xml:space="preserve">Sources and Uses of Liquidity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Since inception, the Company has incurred net losses and negative cash flow from operations. During the three and nine months ended September 30, 2023, net losses were $28.8 million and $114.7 million, respectively. As of September 30, 2023, the Company had an accumulated deficit of $696.3 million. The Company expects its accumulated deficit will continue to increase over time and does not expect to experience positive cash flows from operations in the near future.</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September 30, 2023, the Company had $166.0 million of cash, cash equivalents and short-term marketable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250"/>
                <wp:effectExtent l="0" t="0" r="0" b="0"/>
                <wp:wrapNone/>
                <wp:docPr id="9" name="Frame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ind w:left="0" w:right="0" w:firstLine="720"/>
        <w:jc w:val="both"/>
        <w:rPr/>
      </w:pPr>
      <w:r>
        <w:rPr>
          <w:rFonts w:ascii="Arial;sans-serif" w:hAnsi="Arial;sans-serif"/>
          <w:b w:val="false"/>
          <w:color w:val="000000"/>
          <w:sz w:val="20"/>
        </w:rPr>
        <w:t>In June 2020, the Company entered into an Open Market Sale Agreement</w:t>
      </w:r>
      <w:r>
        <w:rPr>
          <w:rFonts w:ascii="Arial;sans-serif" w:hAnsi="Arial;sans-serif"/>
          <w:b w:val="false"/>
          <w:color w:val="000000"/>
          <w:sz w:val="13"/>
        </w:rPr>
        <w:t>SM</w:t>
      </w:r>
      <w:r>
        <w:rPr>
          <w:rFonts w:ascii="Arial;sans-serif" w:hAnsi="Arial;sans-serif"/>
          <w:b w:val="false"/>
          <w:color w:val="000000"/>
          <w:sz w:val="20"/>
        </w:rPr>
        <w:t>, or the Sales Agreement, with Jefferies LLC, or Jefferies, pursuant to which the Company could sell, from time to time, through or to Jefferies, up to an aggregate of $150.0 million of the Company’s common stock. On June 7, 2023, the Company entered into Amendment No. 1, or the Amendment, to the Sales Agreement, and the Sales Agreement as amended is referred to as the Amended Sales Agreement.</w:t>
      </w:r>
      <w:r>
        <w:rPr>
          <w:color w:val="000000"/>
        </w:rPr>
        <w:t xml:space="preserve"> </w:t>
      </w:r>
      <w:r>
        <w:rPr>
          <w:rFonts w:ascii="Arial;sans-serif" w:hAnsi="Arial;sans-serif"/>
          <w:b w:val="false"/>
          <w:color w:val="000000"/>
          <w:sz w:val="20"/>
        </w:rPr>
        <w:t xml:space="preserve">In connection with the Amendment, the Company filed a new shelf registration statement on Form S-3 which the SEC declared effective on August 4, 2023. The Amended Sales Agreement provides for the issuance and sales of shares of the Company's common stock having an aggregate offering price of up to $100.0 million through or to Jefferies. As of September 30, 2023, up to $100.0 million of the Company's common stock remained available to be sold under the Amended Sales Agreement, subject to conditions specified in the Amended Sales Agreement. </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believes its existing cash, cash equivalents and short-term marketable securities will be sufficient to fund its operations for a period of at least one year from the issuance of these unaudited condensed consolidated financial statements.</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To fully implement the Company’s business plan and fund its operations, the Company needs to raise significant additional capital through public or private equity or debt offerings (which may include potential net proceeds from future sales of the Company's common stock, if any, under the Amended Sales Agreement), collaboration, out-licensing, partnership or other business development arrangements, or a combination of the foregoing. None may be possible and, as a result, the Company may need to significantly delay, scale back or discontinue development of or abandon some or all of its product candidates, or scale back or discontinue the Company's discovery research efforts, any of which could have a material adverse effect on the Company's business, operating results and prospects, or the Company may be required to cease operations altogether.</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Fair Value of Financial Instruments</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The carrying amounts of cash and cash equivalents, the related party receivable from collaboration and other current assets and liabilities approximate their respective fair values due to their short-term nature.</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Cash and Cash Equivalents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Cash and cash equivalents are stated at fair value. Cash equivalents are securities with an original maturity of three months or less at the time of purchase. The Company limits its credit risk associated with cash and cash equivalents by investing in highly rated money market funds and placing its cash with banks it believes are highly creditworthy in amounts that may at times exceed Federal Deposit Insurance Corporation, or FDIC, limits. As of September 30, 2023 and December 31, 2022, cash and cash equivalents consisted of bank deposits and investments in money market funds. The Company’s bank deposits as of September 30, 2023 and December 31, 2022 included certain amounts over the FDIC limits.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Marketable Securities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appropriate classification of the Company’s marketable securities is determined at the time of purchase and such designations are re-evaluated at each balance sheet date. All of the Company’s securities are considered as available-for-sale and carried at estimated fair values and reported in cash equivalents and short-term marketable securities. Unrealized gains and losses on available-for-sale securities are excluded from net loss and reported in accumulated other comprehensive loss as a separate component of stockholders’ equity. Interest income,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Company’s investments are regularly reviewed for any impairments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investment is impaired, the Company reduces the carrying value of the security it holds and records a loss for the amount of such decline. As of September 30, 2023, the Company did not record any impairments related to its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250"/>
                <wp:effectExtent l="0" t="0" r="0" b="0"/>
                <wp:wrapNone/>
                <wp:docPr id="10" name="Frame1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Restricted Cash</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Company’s restricted cash balances represent collateral required under the Company’s facility lease agreements. Collateral that will not be returned to the Company within twelve months from the date of these condensed consolidated financial statements is classified as a non-current asset.</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Concentration of Credit and Other Risks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Cash, cash equivalents and marketable securities from the Company’s available-for-sale and marketable securities portfolio potentially subject the Company to concentrations of credit risk. The Company is invested in money market funds and marketable securities through custodial relationships with major United States, or U.S., banks. Under its investment policy, the Company limits amounts invested in such securities by credit rating, maturity, industry group, investment type and issuer, except for securities issued by the U.S. government.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Related party receivables from collaboration and partnering arrangements are typically unsecured. Accordingly, the Company may be exposed to credit risk generally associated with its current amended and restated research collaboration, product development and license agreement, or the Amended Collaboration Agreement, with Merck Sharp &amp; Dohme LLC, or Merck, and any future collaboration or partnering arrangements with other potential future partners. To date, the Company has not experienced any losses related to these receivables.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Amounts recognized as revenue prior to the Company having an unconditional right (other than a right that is conditioned only on the passage of time) to receipt are recorded as contract assets in the Company's condensed consolidated balance sheets. Although the Company expects to have an unconditional right to receive such amounts, the Company may be exposed to the risk of not receiving the recorded amounts under its current collaboration agreement with Merck and any future collaboration or partnering arrangements with other potential future partners. To date, the Company has not experienced any losses related to contract assets.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Merck accounted for 100% of the Company’s revenue for the three and nine months ended September 30, 2023 and 2022.</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Property and Equipment, Net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Property and equipment are recorded at cost and consist of computer equipment, laboratory equipment and office furniture and leasehold improvements. Maintenance and repairs, and training on the use of equipment, are expensed as incurred. Costs that improve assets or extend their economic lives are capitalized. Depreciation is recognized using the straight-line method based on an estimated useful life of the asset, which is as follows:</w:t>
      </w:r>
    </w:p>
    <w:tbl>
      <w:tblPr>
        <w:tblW w:w="6960" w:type="dxa"/>
        <w:jc w:val="left"/>
        <w:tblInd w:w="0" w:type="dxa"/>
        <w:tblLayout w:type="fixed"/>
        <w:tblCellMar>
          <w:top w:w="28" w:type="dxa"/>
          <w:left w:w="28" w:type="dxa"/>
          <w:bottom w:w="28" w:type="dxa"/>
          <w:right w:w="28" w:type="dxa"/>
        </w:tblCellMar>
      </w:tblPr>
      <w:tblGrid>
        <w:gridCol w:w="1332"/>
        <w:gridCol w:w="1169"/>
        <w:gridCol w:w="1173"/>
        <w:gridCol w:w="958"/>
        <w:gridCol w:w="958"/>
        <w:gridCol w:w="1370"/>
      </w:tblGrid>
      <w:tr>
        <w:trPr/>
        <w:tc>
          <w:tcPr>
            <w:tcW w:w="133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Computer equipment</w:t>
            </w:r>
          </w:p>
        </w:tc>
        <w:tc>
          <w:tcPr>
            <w:tcW w:w="32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 years</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Laboratory equipment and office furniture</w:t>
            </w:r>
          </w:p>
        </w:tc>
        <w:tc>
          <w:tcPr>
            <w:tcW w:w="32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 years</w:t>
            </w:r>
          </w:p>
        </w:tc>
      </w:tr>
      <w:tr>
        <w:trPr/>
        <w:tc>
          <w:tcPr>
            <w:tcW w:w="3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Leasehold improvement</w:t>
            </w:r>
          </w:p>
        </w:tc>
        <w:tc>
          <w:tcPr>
            <w:tcW w:w="328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Shorter of life of asset or lease term</w:t>
            </w:r>
          </w:p>
        </w:tc>
      </w:tr>
    </w:tbl>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Leases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determines if an arrangement is a lease at inception. Lease assets represent the Company's right to use an underlying asset for the lease term and lease liabilities represent the Company's obligation to make lease payments arising from the lease. Lease liabilities are measured at the lease commencement date as the present value of future minimum lease payments over the term of the lease. Lease assets are measured as the lease liability plus initial direct costs and prepaid lease payments less lease incentives. In measuring the present value of the future minimum lease payments, the Company generally uses its incremental borrowing rate. The lease term is the noncancelable period of the lease and includes options to extend or terminate the lease when it is reasonably certain that an option will be exercised. Leases with terms of 12 months or less are not recorded on the Company's balance sheet. Lease expense is recognized on a straight-line basis over the lease terms, or in some cases, the useful life of the underlying asset. The Company accounts for the lease and non-lease components as a single lease component. The Company’s lease agreement for its corporate office space and facilities is classified as an operating lease.</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Impairment of Long-Lived Assets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 of an asset exceeds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250"/>
                <wp:effectExtent l="0" t="0" r="0" b="0"/>
                <wp:wrapNone/>
                <wp:docPr id="11" name="Frame1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its estimated undiscounted future cash flows, an impairment charge is recognized as the amount by which the carrying amount of the asset exceeds the estimated fair value of the asset. As of September 30, 2023 and December 31, 2022, no revision to the remaining useful lives or write-down of long-lived assets was required.</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Income Taxes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Income taxes are accounted for under the liability method. Deferred tax assets and liabilities are recognized for the future tax consequences attributable to the differences between the financial statement carrying amounts of existing assets and liabilities and their respective tax bases and the 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in which those temporary differences are expected to be recovered or settled. The effect on deferred tax assets and liabilities of a change in tax rates is recognized in the period such tax rate changes are enacted. The net deferred tax assets have been fully offset by a valuation allowance.</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ASC 606, the Company estimates each arrangement’s total transaction price, which includes unconstrained variable consideration, and the recognition of that transaction price based on a cost-based input method that requires estimates to determine, at each reporting period, the percentage of completion based on the estimated total effort required to complete the project and the total transaction price. The unconstrained variable consideration amount included in the transaction price represents an amount for which it is probable that a significant reversal of cumulative revenue recognized will not occur.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applies the following five-step revenue recognition model outlined in ASC 606 to adhere to this core principle: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All of the Company’s revenue to date has been generated from its collaboration agreements, primarily its collaboration agreement with Merck. The terms of these agreements generally require the Company to provide (i) license options for its compounds, (ii) research and development, or R&amp;D, services and (iii) non-mandatory services in connection with participation in research or steering committees. Payments received under these arrangements may include non-refundable upfront license fees, partial or complete reimbursement of R&amp;D costs, contingent consideration payments based on the achievement of defined collaboration objectives and royalties on sales of commercialized products. In some agreements, the collaboration partner is solely responsible for meeting defined objectives that trigger contingent or royalty payments. Often the partner only pursues such objectives subsequent to exercising an optional license on compounds identified as a result of the R&amp;D services performed under the collaboration agreement.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assesses whether the promises in its arrangements, including any options provided to the partner, are considered distinct performance obligations that should be accounted for separately. Judgment is required to determine whether the license to a compound is distinct from R&amp;D services or participation in research or steering committees, as well as whether options create material rights in the contract. In situations when a contract includes distinct R&amp;D services that are substantially the same and have the same pattern of transfer to the customer over time, they are recognized as a series of distinct services.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transaction price in each arrangement is generally comprised of a non-refundable upfront fee and unconstrained variable consideration related to the performance of R&amp;D services. The unconstrained variable consideration amount included in the transaction price represents an amount for which it is probable that a significant reversal of cumulative revenue recognized will not occur. The Company typically submits a budget for the R&amp;D services to the partner in advance of performing the services. The transaction price is allocated to the identified performance obligations based on the standalone selling price, or SSP, of each distinct performance obligation. Judgment is required to determine the SSP. In instances where the SSP is not directly observable, such as when a license or service is not sold separately, SSP is determined using information that may include market conditions and other observable inputs. The Company utilizes judgment to assess the nature of its performance obligations to determine whether they are satisfied over time or at a point in time and, if over time, the appropriate method of measuring progress toward completion. The Company evaluates the measure of progress each reporting period and, if necessary, adjusts the measure of performance and related revenue recognition.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Company’s collaboration agreements may include contingent payments related to specified development and regulatory milestones or contingent payments for royalties based on sales of a commercialized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250"/>
                <wp:effectExtent l="0" t="0" r="0" b="0"/>
                <wp:wrapNone/>
                <wp:docPr id="12" name="Frame1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product. Milestones can be achieved for such activities in connection with progress in clinical trials, regulatory filings in various geographical markets and marketing approvals from health authorities. Sales-based royalties are generally related to the volume of annual sales of a commercialized product. At the inception of each agreement that includes such payments, the Company 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Milestone payments that are not within the Company’s or its partner’s 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the Company re-evaluates the probability of achievement of each such milestone and any related constraint and, if necessary, adjusts its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Contract modifications, defined as changes in the scope or price (or both) of a contract that are approved by the parties to the contract, such as a contract amendment, exist when the parties to a contract approve a modification that either creates new, or changes existing, enforceable rights and obligations of the parties to the contract. Depending on facts and circumstances, the Company accounts for a contract modification as one of the following: (i) a separate contract; (ii) a termination of the existing contract and a creation of a new contract; or (iii) a combination of the preceding treatments. A contract modification is accounted for as a separate contract if the scope of the contract increases because of the addition of promised services that are distinct and if the price of the contract increases by an amount of consideration that reflects the Company’s standalone selling prices of the additional promised services. When a contract modification is not considered a separate contract and the remaining services are distinct from the services transferred on or before the date of the contract modification, the Company accounts for the contract modification as a termination of the existing contract and a creation of a new contract. When a contract modification is not considered a separate contract and the remaining services are not distinct, the Company accounts for the contract modification as an add-on to the existing contract and as an adjustment to revenue on a cumulative catch-up basis.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Research and Development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R&amp;D costs are expensed as incurred. R&amp;D expenses primarily include salaries and benefits for medical, clinical, quality, preclinical, manufacturing and research personnel, costs related to research activities, preclinical studies, clinical trials, drug manufacturing expenses and allocated overhead and facility occupancy costs. The Company accounts for non-refundable advance payments for goods or services that will be used in future R&amp;D activities as expenses when the goods have been received or when the service has been performed rather than when the payment is made.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Clinical trial costs are a component of R&amp;D expenses. The Company accrues estimated costs for its clinical trial activities performed by third parties, including clinical research organizations, or CROs, and other service providers based upon estimates of the proportion of work completed over the life of the individual clinical trial and patient enrollment rates in accordance with associated agreements. The Company's estimates are determined through detailed discussions with internal personnel and its service providers as to the progress of each clinical trial and by reviewing contracts, vendor agreements and purchase orders for previously agreed-upon rates and fees to be paid for such services.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Stock-Based Compensation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Company’s stock-based compensation programs include stock option and restricted stock unit, or RSU, grants, as well as shares issued under its 2019 Employee Stock Purchase Plan, or ESPP. Grants are awarded to employees, directors and non-employees. The Company measures stock-based compensation expense for all stock-based awards at the grant date based on the fair value measurement of the award. The expense is recorded on a straight-line basis over the requisite service period, which is generally the vesting period, for the entire award. Forfeitures are estimated at the time of grant and revised, if necessary, in subsequent periods if actual forfeitures materially differ from estimates. The Company calculates the fair value measurement of stock options using the Black-Scholes option-pricing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250"/>
                <wp:effectExtent l="0" t="0" r="0" b="0"/>
                <wp:wrapNone/>
                <wp:docPr id="13" name="Frame1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Comprehensive Loss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Comprehensive loss is composed of net loss and certain changes in stockholders’ equity that are excluded from net loss, primarily unrealized gains or losses, net of taxes, on the Company’s marketable securities. </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Net Loss per Share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Basic net loss per share is calculated by dividing net loss by the weighted average number of shares outstanding during the period, less shares subject to repurchase and excludes any dilutive effects of stock-based options and awards. Diluted net income per share is computed by giving effect to all potentially dilutive shares, including common stock issuable upon exercise of stock options and the assumed vesting of outstanding RSUs. However, where there is a diluted net loss per share, no adjustment is made for potentially issuable shares since their effect would be anti-dilutive. In this case, diluted net loss per share is equal to basic net loss per share.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Net loss per share was computed as follows (in thousands, except per share amounts):</w:t>
      </w:r>
    </w:p>
    <w:tbl>
      <w:tblPr>
        <w:tblW w:w="10205" w:type="dxa"/>
        <w:jc w:val="left"/>
        <w:tblInd w:w="0" w:type="dxa"/>
        <w:tblLayout w:type="fixed"/>
        <w:tblCellMar>
          <w:top w:w="28" w:type="dxa"/>
          <w:left w:w="28" w:type="dxa"/>
          <w:bottom w:w="28" w:type="dxa"/>
          <w:right w:w="28" w:type="dxa"/>
        </w:tblCellMar>
      </w:tblPr>
      <w:tblGrid>
        <w:gridCol w:w="1500"/>
        <w:gridCol w:w="1320"/>
        <w:gridCol w:w="1327"/>
        <w:gridCol w:w="211"/>
        <w:gridCol w:w="776"/>
        <w:gridCol w:w="109"/>
        <w:gridCol w:w="109"/>
        <w:gridCol w:w="109"/>
        <w:gridCol w:w="109"/>
        <w:gridCol w:w="211"/>
        <w:gridCol w:w="776"/>
        <w:gridCol w:w="109"/>
        <w:gridCol w:w="109"/>
        <w:gridCol w:w="109"/>
        <w:gridCol w:w="109"/>
        <w:gridCol w:w="211"/>
        <w:gridCol w:w="881"/>
        <w:gridCol w:w="109"/>
        <w:gridCol w:w="109"/>
        <w:gridCol w:w="109"/>
        <w:gridCol w:w="109"/>
        <w:gridCol w:w="211"/>
        <w:gridCol w:w="881"/>
        <w:gridCol w:w="109"/>
        <w:gridCol w:w="109"/>
        <w:gridCol w:w="109"/>
        <w:gridCol w:w="109"/>
        <w:gridCol w:w="156"/>
      </w:tblGrid>
      <w:tr>
        <w:trPr/>
        <w:tc>
          <w:tcPr>
            <w:tcW w:w="150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Numerator:</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Denominator:</w:t>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used in calculating net loss per share—basic and diluted</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per share—basic and 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(0.35)</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(0.59)</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Potentially dilutive securities that were not included in the diluted per share calculations because they would be anti-dilutive were as follows (in thousands):</w:t>
      </w:r>
    </w:p>
    <w:tbl>
      <w:tblPr>
        <w:tblW w:w="6932" w:type="dxa"/>
        <w:jc w:val="left"/>
        <w:tblInd w:w="0" w:type="dxa"/>
        <w:tblLayout w:type="fixed"/>
        <w:tblCellMar>
          <w:top w:w="28" w:type="dxa"/>
          <w:left w:w="28" w:type="dxa"/>
          <w:bottom w:w="28" w:type="dxa"/>
          <w:right w:w="28" w:type="dxa"/>
        </w:tblCellMar>
      </w:tblPr>
      <w:tblGrid>
        <w:gridCol w:w="1169"/>
        <w:gridCol w:w="1024"/>
        <w:gridCol w:w="1031"/>
        <w:gridCol w:w="538"/>
        <w:gridCol w:w="354"/>
        <w:gridCol w:w="354"/>
        <w:gridCol w:w="354"/>
        <w:gridCol w:w="354"/>
        <w:gridCol w:w="354"/>
        <w:gridCol w:w="534"/>
        <w:gridCol w:w="354"/>
        <w:gridCol w:w="512"/>
      </w:tblGrid>
      <w:tr>
        <w:trPr/>
        <w:tc>
          <w:tcPr>
            <w:tcW w:w="116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Three and Nine Months Ended</w:t>
              <w:br/>
              <w:t>September 30,</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2023</w:t>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2022</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Options to purchase common stock</w:t>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13,254 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13,223 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Shares committed under the ESPP</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971 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472 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RSUs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708 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8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14,933 </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13,695 </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Segment and Geographical Information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operates in one business segment. Substantially all of the Company’s long-lived assets, primarily comprised of property and equipment, are based in the United States. For the three and nine months ended September 30, 2023 and 2022, the Company’s revenues were entirely within the United States based upon the location of the Company and Merck.</w:t>
      </w:r>
    </w:p>
    <w:p>
      <w:pPr>
        <w:pStyle w:val="TextBody"/>
        <w:bidi w:val="0"/>
        <w:spacing w:lineRule="auto" w:line="288" w:before="120" w:after="120"/>
        <w:jc w:val="both"/>
        <w:rPr/>
      </w:pPr>
      <w:r>
        <w:rPr>
          <w:rFonts w:ascii="Arial;sans-serif" w:hAnsi="Arial;sans-serif"/>
          <w:b/>
          <w:i/>
          <w:color w:val="000000"/>
          <w:sz w:val="20"/>
        </w:rPr>
        <w:t>Recent Accounting Pronouncements</w:t>
      </w:r>
      <w:r>
        <w:rPr>
          <w:color w:val="000000"/>
        </w:rPr>
        <w:t xml:space="preserv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New accounting pronouncements are issued by the Financial Accounting Standards Board, or FASB, or other standard setting bodies and adopted by the Company as of the specified effective date. Unless otherwise discussed, the impact of recently issued standards that are not yet effective will not have a material impact on the Company’s results of operations and financial position upon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250"/>
                <wp:effectExtent l="0" t="0" r="0" b="0"/>
                <wp:wrapNone/>
                <wp:docPr id="14" name="Frame1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3. Fair Value Measurements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Cash equivalents and marketable securities are classified as available-for-sale securities and consisted of the following (in thousands):</w:t>
      </w:r>
    </w:p>
    <w:tbl>
      <w:tblPr>
        <w:tblW w:w="10205" w:type="dxa"/>
        <w:jc w:val="left"/>
        <w:tblInd w:w="0" w:type="dxa"/>
        <w:tblLayout w:type="fixed"/>
        <w:tblCellMar>
          <w:top w:w="28" w:type="dxa"/>
          <w:left w:w="28" w:type="dxa"/>
          <w:bottom w:w="28" w:type="dxa"/>
          <w:right w:w="28" w:type="dxa"/>
        </w:tblCellMar>
      </w:tblPr>
      <w:tblGrid>
        <w:gridCol w:w="1737"/>
        <w:gridCol w:w="1520"/>
        <w:gridCol w:w="1527"/>
        <w:gridCol w:w="211"/>
        <w:gridCol w:w="856"/>
        <w:gridCol w:w="109"/>
        <w:gridCol w:w="109"/>
        <w:gridCol w:w="109"/>
        <w:gridCol w:w="109"/>
        <w:gridCol w:w="364"/>
        <w:gridCol w:w="468"/>
        <w:gridCol w:w="189"/>
        <w:gridCol w:w="109"/>
        <w:gridCol w:w="109"/>
        <w:gridCol w:w="109"/>
        <w:gridCol w:w="309"/>
        <w:gridCol w:w="551"/>
        <w:gridCol w:w="161"/>
        <w:gridCol w:w="109"/>
        <w:gridCol w:w="109"/>
        <w:gridCol w:w="109"/>
        <w:gridCol w:w="211"/>
        <w:gridCol w:w="856"/>
        <w:gridCol w:w="155"/>
      </w:tblGrid>
      <w:tr>
        <w:trPr/>
        <w:tc>
          <w:tcPr>
            <w:tcW w:w="1737"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of September 30, 2023</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agency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159,814 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Classified as: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Short-term marketable securities (amortized cost of $114,647)</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114,569 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159,814 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45"/>
        <w:gridCol w:w="1516"/>
        <w:gridCol w:w="1523"/>
        <w:gridCol w:w="211"/>
        <w:gridCol w:w="856"/>
        <w:gridCol w:w="109"/>
        <w:gridCol w:w="109"/>
        <w:gridCol w:w="109"/>
        <w:gridCol w:w="109"/>
        <w:gridCol w:w="309"/>
        <w:gridCol w:w="551"/>
        <w:gridCol w:w="161"/>
        <w:gridCol w:w="109"/>
        <w:gridCol w:w="109"/>
        <w:gridCol w:w="109"/>
        <w:gridCol w:w="268"/>
        <w:gridCol w:w="613"/>
        <w:gridCol w:w="140"/>
        <w:gridCol w:w="109"/>
        <w:gridCol w:w="109"/>
        <w:gridCol w:w="109"/>
        <w:gridCol w:w="211"/>
        <w:gridCol w:w="856"/>
        <w:gridCol w:w="155"/>
      </w:tblGrid>
      <w:tr>
        <w:trPr/>
        <w:tc>
          <w:tcPr>
            <w:tcW w:w="174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of December 31, 2022</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agency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260,880 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Classified as: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Short-term marketable securities (amortized cost of $198,338)</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198,036 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260,880 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cash and cash equivalents amount in the table above excludes cash on deposit with banks of $6.2 million and $10.6 million as of September 30, 2023 and December 31, 2022, respectively.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To date, the Company has not recorded any impairment charges against the market value of its marketable securities. In determining whether an investment is impaired,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of September 30, 2023 and December 31, 2022, all of the Company’s marketable securities had remaining contractual maturities of less than one year. As of September 30, 2023, the Company had twelve marketable securities in an unrealized loss position compared to 19 marketable securities in an unrealized loss position as of December 31, 2022. Marketable securities that were in unrealized loss positions as of September 30, 2023 and December 31, 2022 had been in an unrealized loss position for less than twelve months. The Company does not need to, nor does it intend to, sell marketable securities that are in an unrealized loss position, and it is highly unlikely that the Company will be required to sell the investments before recovery of their amortized cost basis, which may be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250"/>
                <wp:effectExtent l="0" t="0" r="0" b="0"/>
                <wp:wrapNone/>
                <wp:docPr id="15" name="Frame1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Assets and Liabilities Measured at Fair Value on a Recurring Basis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by major security type, the Company's available-for-sale securities that were measured at fair value on a recurring basis and were categorized using the fair value hierarchy (in thousands):</w:t>
      </w:r>
    </w:p>
    <w:tbl>
      <w:tblPr>
        <w:tblW w:w="8249" w:type="dxa"/>
        <w:jc w:val="left"/>
        <w:tblInd w:w="0" w:type="dxa"/>
        <w:tblLayout w:type="fixed"/>
        <w:tblCellMar>
          <w:top w:w="28" w:type="dxa"/>
          <w:left w:w="28" w:type="dxa"/>
          <w:bottom w:w="28" w:type="dxa"/>
          <w:right w:w="28" w:type="dxa"/>
        </w:tblCellMar>
      </w:tblPr>
      <w:tblGrid>
        <w:gridCol w:w="1152"/>
        <w:gridCol w:w="1011"/>
        <w:gridCol w:w="1016"/>
        <w:gridCol w:w="211"/>
        <w:gridCol w:w="751"/>
        <w:gridCol w:w="109"/>
        <w:gridCol w:w="109"/>
        <w:gridCol w:w="109"/>
        <w:gridCol w:w="109"/>
        <w:gridCol w:w="211"/>
        <w:gridCol w:w="751"/>
        <w:gridCol w:w="109"/>
        <w:gridCol w:w="109"/>
        <w:gridCol w:w="109"/>
        <w:gridCol w:w="109"/>
        <w:gridCol w:w="211"/>
        <w:gridCol w:w="406"/>
        <w:gridCol w:w="109"/>
        <w:gridCol w:w="109"/>
        <w:gridCol w:w="109"/>
        <w:gridCol w:w="109"/>
        <w:gridCol w:w="211"/>
        <w:gridCol w:w="856"/>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of September 30, 2023</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agency bonds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159,814 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59" w:type="dxa"/>
        <w:jc w:val="left"/>
        <w:tblInd w:w="0" w:type="dxa"/>
        <w:tblLayout w:type="fixed"/>
        <w:tblCellMar>
          <w:top w:w="28" w:type="dxa"/>
          <w:left w:w="28" w:type="dxa"/>
          <w:bottom w:w="28" w:type="dxa"/>
          <w:right w:w="28" w:type="dxa"/>
        </w:tblCellMar>
      </w:tblPr>
      <w:tblGrid>
        <w:gridCol w:w="1152"/>
        <w:gridCol w:w="1011"/>
        <w:gridCol w:w="1016"/>
        <w:gridCol w:w="211"/>
        <w:gridCol w:w="856"/>
        <w:gridCol w:w="109"/>
        <w:gridCol w:w="109"/>
        <w:gridCol w:w="109"/>
        <w:gridCol w:w="109"/>
        <w:gridCol w:w="211"/>
        <w:gridCol w:w="856"/>
        <w:gridCol w:w="109"/>
        <w:gridCol w:w="109"/>
        <w:gridCol w:w="109"/>
        <w:gridCol w:w="109"/>
        <w:gridCol w:w="211"/>
        <w:gridCol w:w="406"/>
        <w:gridCol w:w="109"/>
        <w:gridCol w:w="109"/>
        <w:gridCol w:w="109"/>
        <w:gridCol w:w="109"/>
        <w:gridCol w:w="211"/>
        <w:gridCol w:w="856"/>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of December 31, 2022</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agency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260,880 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estimates the fair values of investments in commercial paper, corporate and agency bond securities and U.S. government agency securities using Level 2 inputs by taking into consideration valuations obtained from third-party pricing services.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There were no transfers of assets or liabilities between the fair value measurement levels during the nine months ended September 30, 2023 and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4. Balance Sheet Components</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Cash, Cash Equivalents and Restricted Cash</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 reconciliation of cash, cash equivalents and restricted cash reported within the condensed consolidated balance sheets to the amount reported within the condensed consolidated statements of cash flows is as follows (in thousands):</w:t>
      </w:r>
    </w:p>
    <w:tbl>
      <w:tblPr>
        <w:tblW w:w="7377" w:type="dxa"/>
        <w:jc w:val="left"/>
        <w:tblInd w:w="0" w:type="dxa"/>
        <w:tblLayout w:type="fixed"/>
        <w:tblCellMar>
          <w:top w:w="28" w:type="dxa"/>
          <w:left w:w="28" w:type="dxa"/>
          <w:bottom w:w="28" w:type="dxa"/>
          <w:right w:w="28" w:type="dxa"/>
        </w:tblCellMar>
      </w:tblPr>
      <w:tblGrid>
        <w:gridCol w:w="1574"/>
        <w:gridCol w:w="1385"/>
        <w:gridCol w:w="1391"/>
        <w:gridCol w:w="266"/>
        <w:gridCol w:w="947"/>
        <w:gridCol w:w="137"/>
        <w:gridCol w:w="109"/>
        <w:gridCol w:w="109"/>
        <w:gridCol w:w="109"/>
        <w:gridCol w:w="255"/>
        <w:gridCol w:w="909"/>
        <w:gridCol w:w="186"/>
      </w:tblGrid>
      <w:tr>
        <w:trPr/>
        <w:tc>
          <w:tcPr>
            <w:tcW w:w="157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2022</w:t>
            </w:r>
          </w:p>
        </w:tc>
      </w:tr>
      <w:tr>
        <w:trPr/>
        <w:tc>
          <w:tcPr>
            <w:tcW w:w="435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51,476 </w:t>
            </w:r>
          </w:p>
        </w:tc>
        <w:tc>
          <w:tcPr>
            <w:tcW w:w="13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73,456 </w:t>
            </w:r>
          </w:p>
        </w:tc>
        <w:tc>
          <w:tcPr>
            <w:tcW w:w="18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5,454 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3,954 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cash equivalents and restricted cash</w:t>
            </w:r>
          </w:p>
        </w:tc>
        <w:tc>
          <w:tcPr>
            <w:tcW w:w="26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56,930 </w:t>
            </w:r>
          </w:p>
        </w:tc>
        <w:tc>
          <w:tcPr>
            <w:tcW w:w="13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77,410 </w:t>
            </w:r>
          </w:p>
        </w:tc>
        <w:tc>
          <w:tcPr>
            <w:tcW w:w="18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250"/>
                <wp:effectExtent l="0" t="0" r="0" b="0"/>
                <wp:wrapNone/>
                <wp:docPr id="16" name="Frame1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Property and Equipment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Property and equipment consisted of the following (in thousands):</w:t>
      </w:r>
    </w:p>
    <w:tbl>
      <w:tblPr>
        <w:tblW w:w="7406" w:type="dxa"/>
        <w:jc w:val="left"/>
        <w:tblInd w:w="0" w:type="dxa"/>
        <w:tblLayout w:type="fixed"/>
        <w:tblCellMar>
          <w:top w:w="28" w:type="dxa"/>
          <w:left w:w="28" w:type="dxa"/>
          <w:bottom w:w="28" w:type="dxa"/>
          <w:right w:w="28" w:type="dxa"/>
        </w:tblCellMar>
      </w:tblPr>
      <w:tblGrid>
        <w:gridCol w:w="1586"/>
        <w:gridCol w:w="1393"/>
        <w:gridCol w:w="1400"/>
        <w:gridCol w:w="266"/>
        <w:gridCol w:w="947"/>
        <w:gridCol w:w="137"/>
        <w:gridCol w:w="109"/>
        <w:gridCol w:w="109"/>
        <w:gridCol w:w="109"/>
        <w:gridCol w:w="255"/>
        <w:gridCol w:w="909"/>
        <w:gridCol w:w="186"/>
      </w:tblGrid>
      <w:tr>
        <w:trPr/>
        <w:tc>
          <w:tcPr>
            <w:tcW w:w="158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2022</w:t>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2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25,801 </w:t>
            </w:r>
          </w:p>
        </w:tc>
        <w:tc>
          <w:tcPr>
            <w:tcW w:w="13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25,866 </w:t>
            </w:r>
          </w:p>
        </w:tc>
        <w:tc>
          <w:tcPr>
            <w:tcW w:w="18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Laboratory equipment and office furniture</w:t>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23,979 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23,807 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equipment</w:t>
            </w:r>
          </w:p>
        </w:tc>
        <w:tc>
          <w:tcPr>
            <w:tcW w:w="121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1,433 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1,433 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Construction-in-progress</w:t>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and equipment, gross</w:t>
            </w:r>
          </w:p>
        </w:tc>
        <w:tc>
          <w:tcPr>
            <w:tcW w:w="121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51,604 </w:t>
            </w:r>
          </w:p>
        </w:tc>
        <w:tc>
          <w:tcPr>
            <w:tcW w:w="13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51,390 </w:t>
            </w:r>
          </w:p>
        </w:tc>
        <w:tc>
          <w:tcPr>
            <w:tcW w:w="18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 and amortization</w:t>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(44,323)</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(42,894)</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and equipment, net</w:t>
            </w:r>
          </w:p>
        </w:tc>
        <w:tc>
          <w:tcPr>
            <w:tcW w:w="26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7,281 </w:t>
            </w:r>
          </w:p>
        </w:tc>
        <w:tc>
          <w:tcPr>
            <w:tcW w:w="13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8,496 </w:t>
            </w:r>
          </w:p>
        </w:tc>
        <w:tc>
          <w:tcPr>
            <w:tcW w:w="18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Depreciation expense was $0.5 million and $1.7 million for the three and nine months ended September 30, 2023, respectively, compared to $0.6 million and $3.4 million for the same periods in 2022. </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Accrued Liabilities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Accrued liabilities consisted of the following (in thousands):</w:t>
      </w:r>
    </w:p>
    <w:tbl>
      <w:tblPr>
        <w:tblW w:w="7526" w:type="dxa"/>
        <w:jc w:val="left"/>
        <w:tblInd w:w="0" w:type="dxa"/>
        <w:tblLayout w:type="fixed"/>
        <w:tblCellMar>
          <w:top w:w="28" w:type="dxa"/>
          <w:left w:w="28" w:type="dxa"/>
          <w:bottom w:w="28" w:type="dxa"/>
          <w:right w:w="28" w:type="dxa"/>
        </w:tblCellMar>
      </w:tblPr>
      <w:tblGrid>
        <w:gridCol w:w="1630"/>
        <w:gridCol w:w="1433"/>
        <w:gridCol w:w="1436"/>
        <w:gridCol w:w="266"/>
        <w:gridCol w:w="947"/>
        <w:gridCol w:w="137"/>
        <w:gridCol w:w="109"/>
        <w:gridCol w:w="109"/>
        <w:gridCol w:w="109"/>
        <w:gridCol w:w="255"/>
        <w:gridCol w:w="909"/>
        <w:gridCol w:w="186"/>
      </w:tblGrid>
      <w:tr>
        <w:trPr/>
        <w:tc>
          <w:tcPr>
            <w:tcW w:w="16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2022</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Clinical trials and research and development costs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Personnel-related costs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Manufacturing costs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accrued liabilities</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16,167 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33,638 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5. Research Collaboration and License Agreements</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Merck</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2015, the Company entered into a research collaboration, product development and license agreement with Merck, which, together with amendments made prior to June 30, 2021, is referred to as the Original Collaboration Agreement, covering the discovery, development and commercialization of novel therapies across a range of therapeutic areas, including a broad, multi-year drug discovery and early development program that was financially supported by Merck, and scientifically directed by the Company with input from Merck. The original research phase of the collaboration was for five years and was extended by Merck for an additional two years through March 2022. As part of that extension, Merck agreed to continue to fund up to $75.0 million of the Company's R&amp;D efforts each year consistent with the initial five-year research term and, in lieu of a $20.0 million extension fee payable to the Company, Merck agreed to make additional payments totaling up to $20.0 million in support of the Company's R&amp;D activities during 2021 through the first quarter of 2022.</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On June 30, 2021, the Company entered into an amended and restated research collaboration, product development and license agreement with Merck, or the Amended Collaboration Agreement, replacing the Original Collaboration Agreement and extending the research phase of the collaboration generally through March 31, 2024, with possible extensions for each of the various programs to allow the Company or Merck to complete ongoing development, but with a narrower scope than in the Original Collaboration Agreement. Under the Amended Collaboration Agreement, the collaboration was focused primarily on the identification, research and development of collaboration compounds directed to targets of interest to Merck in the fields of ophthalmology and cardiovascular or metabolic, or CVM, disease, including heart failure. The collaboration scope also included certain laboratory testing and other activities on compounds that are directed to one of up to two undisclosed targets outside of the fields of ophthalmology and CVM disease, or the Lab Programs.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Currently, the only ongoing research activities to be funded under the Amended Collaboration Agreement are certain CVM-related activities. The research phase for the CVM-related continuing programs will continue until March 31, 2024, unless the parties mutually agree to extend the research phase to March 31, 2026, in which case Merck would provide up to a total of $20.0 million in research funding during those additional two years. The Company does not expect the research phase to be extended. Remaining activities under the Lab Programs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250"/>
                <wp:effectExtent l="0" t="0" r="0" b="0"/>
                <wp:wrapNone/>
                <wp:docPr id="17" name="Frame1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substantially completed in the first quarter of 2023. The ophthalmology compounds in the collaboration under the Amended Collaboration Agreement initially included NGM621 (and its related compounds) and compounds directed against two other undisclosed ophthalmology targets (and their related compounds). Merck had a one-time option to license NGM621, its related compounds and the ophthalmology bundle upon completion of the Phase 2 CATALINA trial. In December 2022, Merck notified the Company that it would not exercise its option to license NGM621 and its related compounds, nor would Merck exercise the related ophthalmology bundle option; accordingly, these options expired unexercised in January 2023 and the programs are now wholly-owned by the Company. Further, Merck did not elect for the Company to continue to conduct R&amp;D during an extended or tail period on any compounds from the Company's other ophthalmology programs that were subject to the collaboration. Because Merck did not exercise its ophthalmology license options or make an R&amp;D tail period election, the programs are now wholly-owned by the Company and the Company does not have any funding from Merck to pursue such ophthalmology programs.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Pursuant to the Amended Collaboration Agreement, the Company gained the right, in its sole discretion, to independently research, develop and commercialize the collaboration compounds known as NGM120, NGM707, NGM831 and NGM438, their related compounds and all other preclinical and research assets that the Company researched or developed under the Original Collaboration Agreement but that were not included within the R&amp;D scope of the continuing collaboration, which are referred to as the released NGM compounds. Merck retained the right to receive royalties at low single-digit rates on the sales of any released NGM compounds that receive regulatory approval and, if the Company decides during a certain time period to engage in a formal partnering process for a released NGM compound or negotiations regarding a license or asset sale of a released NGM compound, the Company is obligated to notify Merck, provide Merck with certain information and engage in good faith, non-exclusive negotiations with respect to such released NGM compound with Merck at Merck’s request.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Under the Amended Collaboration Agreement, Merck continued to have a Merck license option, as it did under the Original Agreement, to each continuing collaboration compound that is identified, researched and developed under the Amended Collaboration Agreement and reaches the specified option exercise point for such continuing collaboration compound as described below, and to its related compounds (each such continuing collaboration compound and its related compounds are referred to generally as a continuing program). In addition, under the terms of the Amended Collaboration Agreement, new CVM-related programs may be added to the continuing collaboration if recommended by the Company and selected by Merck, and Merck would have a Merck license option to such CVM-related continuing program. We do not expect any new CVM-related programs to be added to the collaboration.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Merck license option exercise point for a continuing collaboration compound from the CVM-related continuing programs or the Lab Programs will be the designation by Merck of such continuing collaboration compound as a research program development candidate that Merck intends to progress into preclinical development.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Under the Amended Collaboration Agreement, if Merck exercises the Merck license option for a continuing collaboration compound from a CVM-related continuing program or the Lab Programs, Merck will pay the Company a $6.0 million option exercise fee at the time of selection to progress such licensed continuing collaboration compound or any of its related compounds into preclinical development and an additional $10.0 million milestone payment if such continuing collaboration compounds or one of its related compounds subsequently completes a human proof-of-concept trial. Merck will be responsible, at its own cost, for any further development and commercialization activities for continuing collaboration compounds within any such licensed continuing program.</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March 2022, the Company and Merck entered into a letter agreement, or the Letter Agreement, regarding NGM621 manufacturing activities that the Company undertook with the intention of avoiding a significant delay between the completion of the CATALINA trial and the start of any Phase 3 clinical trial for NGM621.</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concluded that the Amended Collaboration Agreement is a separate arrangement containing a three-year performance obligation to provide distinct R&amp;D services in accordance with ASC 606. The total transaction price under the Amended Collaboration Agreement is $118.8 million which includes $86.0 million in research funding for the four calendar quarters that ended on March 31, 2022, $15.0 million in research funding for the ophthalmology and CVM-related continuing programs and the Lab Programs during the remaining two years of the research phase after March 2022, $13.1 million in estimated NGM621 reimbursable expenses and costs during the remaining two years of the research phase after March 2022 and $4.75 million for reimbursable amounts paid in 2022 to a third-party manufacturer in accordance with the terms of the Letter Agreement. The Company will continue to re-evaluate the transaction price as uncertain events are resolved or other changes in circumstances occur. The Company continues performing its R&amp;D services in the area of both the continuing collaboration compounds and the released NGM compounds and has one performance obligation across all continuing programs. The Company will continue to use the cost-based input method to calculate the amount of revenue to recognize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250"/>
                <wp:effectExtent l="0" t="0" r="0" b="0"/>
                <wp:wrapNone/>
                <wp:docPr id="18" name="Frame1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services are being rendered from April 1, 2021 through March 31, 2024. For the period that started on October 1, 2023 and ends on March 31, 2024, the Company expects Merck will provide minimal funding for the ongoing CVM-related activities and this amount is included in the transaction price.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considered whether the Merck license option created material rights in the contract and concluded that the fee attached to the exercise of such option approximated the SSP of the promised goods or services included in the option. Therefore, the Company concluded that such option did not give rise to a material right, was not a performance obligation in the Amended Collaboration Agreement and, if and when exercised, would be accounted for as separate arrangements under ASC 606.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Merck owned approximately 16% of the Company's outstanding shares as of September 30, 2023.</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Summary of Related Party Revenue</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recognized revenue from its collaboration and license agreements as follows (in thousands):</w:t>
      </w:r>
    </w:p>
    <w:tbl>
      <w:tblPr>
        <w:tblW w:w="7291" w:type="dxa"/>
        <w:jc w:val="left"/>
        <w:tblInd w:w="0" w:type="dxa"/>
        <w:tblLayout w:type="fixed"/>
        <w:tblCellMar>
          <w:top w:w="28" w:type="dxa"/>
          <w:left w:w="28" w:type="dxa"/>
          <w:bottom w:w="28" w:type="dxa"/>
          <w:right w:w="28" w:type="dxa"/>
        </w:tblCellMar>
      </w:tblPr>
      <w:tblGrid>
        <w:gridCol w:w="734"/>
        <w:gridCol w:w="644"/>
        <w:gridCol w:w="647"/>
        <w:gridCol w:w="211"/>
        <w:gridCol w:w="481"/>
        <w:gridCol w:w="109"/>
        <w:gridCol w:w="109"/>
        <w:gridCol w:w="109"/>
        <w:gridCol w:w="109"/>
        <w:gridCol w:w="211"/>
        <w:gridCol w:w="646"/>
        <w:gridCol w:w="109"/>
        <w:gridCol w:w="109"/>
        <w:gridCol w:w="109"/>
        <w:gridCol w:w="109"/>
        <w:gridCol w:w="211"/>
        <w:gridCol w:w="646"/>
        <w:gridCol w:w="109"/>
        <w:gridCol w:w="109"/>
        <w:gridCol w:w="109"/>
        <w:gridCol w:w="109"/>
        <w:gridCol w:w="211"/>
        <w:gridCol w:w="751"/>
        <w:gridCol w:w="109"/>
        <w:gridCol w:w="109"/>
        <w:gridCol w:w="109"/>
        <w:gridCol w:w="109"/>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revenue</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37,152 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For the three and nine months ended September 30, 2023, the Company recognized collaboration and license revenue primarily related to reimbursable R&amp;D activities associated with the performance obligation under the Amended Collaboration Agreement under which Merck is providing significantly less annual R&amp;D funding than it had provided through March 31, 2022. Revenue recognized related to the reimbursable R&amp;D activities was recognized using the cost-based input model related to R&amp;D activities.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Related Party Contract Assets and Liabilities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Amounts recognized as revenue prior to the Company having an unconditional right (or a right that is conditioned only on the passage of time) to receipt are recorded as contract assets in the Company's condensed consolidated balance sheets. If the Company expects to have an unconditional right to receive the consideration in the next twelve months, the contract asset will be classified in current assets. As of September 30, 2023 and December 31, 2022, the Company did not have a related party contract asset.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Amounts received prior to satisfying the revenue recognition criteria are recorded as contract liabilities in the Company’s condensed consolidated balance sheets. If the related performance obligation is expected to be satisfied within the next twelve months, the contract liability will be classified in current liabilities. The Company recorded contract liabilities in current liabilities of $0.1 million and $0.4 million as of September 30, 2023 and December 31, 2022,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6. Commitments and Contingencies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Operating Leases and Lease Guarantee</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In December 2015, the Company entered into an operating lease agreement, or the 333 Oyster Point lease agreement, for its corporate office space and facilities at 333 Oyster Point Blvd., South San Francisco, California, or the 333 Oyster Point facility, for approximately 122,000 square feet that expires in December 2023. The 333 Oyster Point lease agreement provided a tenant improvement allowance of $15.2 million that the Company used in 2016 towards $22.3 million in total leasehold improvements that are amortized over the lease term of seven years. As of September 30, 2023, restricted cash in current assets on the Company's condensed consolidated balance sheets included a letter of credit in the amount of $1.5 million required under the 333 Oyster Point lease agreement.</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As of September 30, 2023, the remaining lease term for the 333 Oyster Point lease agreement was three months and the discount rate used to determine the Company's operating lease liability was 2.85%. Cash payments included in the measurement of the lease liabilities totaled $4.1 million and $4.0 million in the nine-month periods ended September 30,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250"/>
                <wp:effectExtent l="0" t="0" r="0" b="0"/>
                <wp:wrapNone/>
                <wp:docPr id="19" name="Frame1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During the three and nine months ended September 30, 2023 and September 30, 2022, the components of lease costs, which were included in general and administrative expenses on the Company's condensed consolidated statements of operations, were as follows (in thousands): </w:t>
      </w:r>
    </w:p>
    <w:tbl>
      <w:tblPr>
        <w:tblW w:w="6735" w:type="dxa"/>
        <w:jc w:val="left"/>
        <w:tblInd w:w="0" w:type="dxa"/>
        <w:tblLayout w:type="fixed"/>
        <w:tblCellMar>
          <w:top w:w="28" w:type="dxa"/>
          <w:left w:w="28" w:type="dxa"/>
          <w:bottom w:w="28" w:type="dxa"/>
          <w:right w:w="28" w:type="dxa"/>
        </w:tblCellMar>
      </w:tblPr>
      <w:tblGrid>
        <w:gridCol w:w="787"/>
        <w:gridCol w:w="693"/>
        <w:gridCol w:w="695"/>
        <w:gridCol w:w="211"/>
        <w:gridCol w:w="481"/>
        <w:gridCol w:w="109"/>
        <w:gridCol w:w="109"/>
        <w:gridCol w:w="109"/>
        <w:gridCol w:w="109"/>
        <w:gridCol w:w="211"/>
        <w:gridCol w:w="481"/>
        <w:gridCol w:w="109"/>
        <w:gridCol w:w="109"/>
        <w:gridCol w:w="109"/>
        <w:gridCol w:w="109"/>
        <w:gridCol w:w="211"/>
        <w:gridCol w:w="646"/>
        <w:gridCol w:w="109"/>
        <w:gridCol w:w="109"/>
        <w:gridCol w:w="109"/>
        <w:gridCol w:w="109"/>
        <w:gridCol w:w="211"/>
        <w:gridCol w:w="646"/>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br/>
              <w:t>September 30,</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21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costs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1,624 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lease costs (1)</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 cost</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879 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2,691 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2,586 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Arial;sans-serif" w:hAnsi="Arial;sans-serif"/>
          <w:b w:val="false"/>
          <w:color w:val="000000"/>
          <w:sz w:val="16"/>
        </w:rPr>
      </w:pPr>
      <w:r>
        <w:rPr>
          <w:rFonts w:ascii="Arial;sans-serif" w:hAnsi="Arial;sans-serif"/>
          <w:b w:val="false"/>
          <w:color w:val="000000"/>
          <w:sz w:val="16"/>
        </w:rPr>
        <w:t>_____________</w:t>
      </w:r>
    </w:p>
    <w:p>
      <w:pPr>
        <w:pStyle w:val="TextBody"/>
        <w:bidi w:val="0"/>
        <w:spacing w:lineRule="auto" w:line="288" w:before="60" w:after="120"/>
        <w:ind w:left="0" w:right="0" w:hanging="540"/>
        <w:jc w:val="both"/>
        <w:rPr>
          <w:rFonts w:ascii="Arial;sans-serif" w:hAnsi="Arial;sans-serif"/>
          <w:b w:val="false"/>
          <w:color w:val="000000"/>
          <w:sz w:val="16"/>
        </w:rPr>
      </w:pPr>
      <w:r>
        <w:rPr>
          <w:rFonts w:ascii="Arial;sans-serif" w:hAnsi="Arial;sans-serif"/>
          <w:b w:val="false"/>
          <w:color w:val="000000"/>
          <w:sz w:val="16"/>
        </w:rPr>
        <w:t>(1)Variable lease costs include certain additional charges for operating costs, including insurance, maintenance, taxes and other costs incurred, which are billed based on both usage and as a percentage of the Company’s share of total square footage.</w:t>
      </w:r>
    </w:p>
    <w:p>
      <w:pPr>
        <w:pStyle w:val="TextBody"/>
        <w:bidi w:val="0"/>
        <w:spacing w:lineRule="auto" w:line="288" w:before="180" w:after="120"/>
        <w:ind w:left="0" w:right="0" w:firstLine="720"/>
        <w:jc w:val="both"/>
        <w:rPr>
          <w:rFonts w:ascii="Arial;sans-serif" w:hAnsi="Arial;sans-serif"/>
          <w:b w:val="false"/>
          <w:color w:val="000000"/>
          <w:sz w:val="20"/>
        </w:rPr>
      </w:pPr>
      <w:r>
        <w:rPr>
          <w:rFonts w:ascii="Arial;sans-serif" w:hAnsi="Arial;sans-serif"/>
          <w:b w:val="false"/>
          <w:color w:val="000000"/>
          <w:sz w:val="20"/>
        </w:rPr>
        <w:t>As of September 30, 2023, the maturities of the Company’s operating lease liabilities and future minimum lease payments were as follows (in thousands):</w:t>
      </w:r>
    </w:p>
    <w:tbl>
      <w:tblPr>
        <w:tblW w:w="9126" w:type="dxa"/>
        <w:jc w:val="left"/>
        <w:tblInd w:w="0" w:type="dxa"/>
        <w:tblLayout w:type="fixed"/>
        <w:tblCellMar>
          <w:top w:w="28" w:type="dxa"/>
          <w:left w:w="28" w:type="dxa"/>
          <w:bottom w:w="28" w:type="dxa"/>
          <w:right w:w="28" w:type="dxa"/>
        </w:tblCellMar>
      </w:tblPr>
      <w:tblGrid>
        <w:gridCol w:w="2938"/>
        <w:gridCol w:w="2582"/>
        <w:gridCol w:w="2595"/>
        <w:gridCol w:w="211"/>
        <w:gridCol w:w="646"/>
        <w:gridCol w:w="154"/>
      </w:tblGrid>
      <w:tr>
        <w:trPr/>
        <w:tc>
          <w:tcPr>
            <w:tcW w:w="2938"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undiscounted lease payments for the remainder of the year ending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present value adjustment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July 2022, the Company entered into an operating lease agreement, or the 2024 Lease Agreement, for its corporate office space and facilities at 333 Oyster Point Blvd., South San Francisco, California, which the Company currently occupies pursuant to the 333 Oyster Point lease agreement that expires on December 31, 2023. Pursuant to the 2024 Lease Agreement, the lease term with the new landlord begins on January 1, 2024 (the lease commencement date) and expires on December 31, 2033, and the Company will pay an initial monthly base rent of approximately $0.9 million for the first year, which is subject to increase at an annual rate of 3.5% each year thereafter, plus certain operating and tax expenses. Base rent during the initial ten-year term of the 2024 Lease Agreement will total $124.1 million. The 2024 Lease Agreement provides a tenant improvement allowance of approximately $4.9 million. The Company has an option to extend the 2024 Lease Agreement for a period of either eight years or ten years after the initial term. In July 2022, pursuant to the 2024 Lease Agreement, the Company provided the landlord with a letter of credit in the amount of $2.5 million that was reported as restricted cash in non-current assets on the Company's condensed consolidated balance sheets as of September 30, 2023 and December 31, 2022. </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Indemnification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accordance with the Company’s amended and restated certificate of incorporation and its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Company’s exposure under these agreements is unknown because it involves claims that may be made against it in the future but have not yet been made. The Company believes that the fair value of these indemnification obligations is minimal and, accordingly, it has not recognized any liabilities relating to these obligations for any period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250"/>
                <wp:effectExtent l="0" t="0" r="0" b="0"/>
                <wp:wrapNone/>
                <wp:docPr id="20" name="Frame2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7. Stock-Based Compensation</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Stock Option Activity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following is a summary of the activity under the Company's equity incentive plans:</w:t>
      </w:r>
    </w:p>
    <w:tbl>
      <w:tblPr>
        <w:tblW w:w="10205" w:type="dxa"/>
        <w:jc w:val="left"/>
        <w:tblInd w:w="0" w:type="dxa"/>
        <w:tblLayout w:type="fixed"/>
        <w:tblCellMar>
          <w:top w:w="28" w:type="dxa"/>
          <w:left w:w="28" w:type="dxa"/>
          <w:bottom w:w="28" w:type="dxa"/>
          <w:right w:w="28" w:type="dxa"/>
        </w:tblCellMar>
      </w:tblPr>
      <w:tblGrid>
        <w:gridCol w:w="1476"/>
        <w:gridCol w:w="1275"/>
        <w:gridCol w:w="1283"/>
        <w:gridCol w:w="444"/>
        <w:gridCol w:w="435"/>
        <w:gridCol w:w="437"/>
        <w:gridCol w:w="121"/>
        <w:gridCol w:w="121"/>
        <w:gridCol w:w="121"/>
        <w:gridCol w:w="234"/>
        <w:gridCol w:w="719"/>
        <w:gridCol w:w="121"/>
        <w:gridCol w:w="109"/>
        <w:gridCol w:w="109"/>
        <w:gridCol w:w="109"/>
        <w:gridCol w:w="467"/>
        <w:gridCol w:w="467"/>
        <w:gridCol w:w="469"/>
        <w:gridCol w:w="109"/>
        <w:gridCol w:w="109"/>
        <w:gridCol w:w="109"/>
        <w:gridCol w:w="281"/>
        <w:gridCol w:w="865"/>
        <w:gridCol w:w="215"/>
      </w:tblGrid>
      <w:tr>
        <w:trPr/>
        <w:tc>
          <w:tcPr>
            <w:tcW w:w="147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03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Remaining</w:t>
              <w:br/>
              <w:t>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Aggregate</w:t>
              <w:br/>
              <w:t>Intrinsic</w:t>
              <w:br/>
              <w:t>Value</w:t>
              <w:br/>
              <w:t>(In Thousands)</w:t>
            </w:r>
          </w:p>
        </w:tc>
      </w:tr>
      <w:tr>
        <w:trPr/>
        <w:tc>
          <w:tcPr>
            <w:tcW w:w="4034" w:type="dxa"/>
            <w:gridSpan w:val="3"/>
            <w:vMerge w:val="continue"/>
            <w:tcBorders/>
            <w:tcMar>
              <w:top w:w="0" w:type="dxa"/>
              <w:left w:w="0" w:type="dxa"/>
              <w:bottom w:w="0" w:type="dxa"/>
              <w:right w:w="0" w:type="dxa"/>
            </w:tcMar>
            <w:vAlign w:val="center"/>
          </w:tcPr>
          <w:p>
            <w:pPr>
              <w:pStyle w:val="Normal"/>
              <w:bidi w:val="0"/>
              <w:jc w:val="left"/>
              <w:rPr/>
            </w:pPr>
            <w:r>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w:t>
              <w:br/>
              <w:t xml:space="preserve">Options </w:t>
              <w:br/>
              <w:t>(In Thousands)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Balances at December 31, 2022</w:t>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14,215 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1,749 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granted</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5,161 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exercised</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forfeited</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(2,602)</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expired</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(3,169)</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Balances at September 30, 2023</w:t>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13,254 </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 and expected to vest at September 30, 2023</w:t>
            </w:r>
          </w:p>
        </w:tc>
        <w:tc>
          <w:tcPr>
            <w:tcW w:w="87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12,863 </w:t>
            </w:r>
          </w:p>
        </w:tc>
        <w:tc>
          <w:tcPr>
            <w:tcW w:w="4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12.12 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September 30, 2023</w:t>
            </w:r>
          </w:p>
        </w:tc>
        <w:tc>
          <w:tcPr>
            <w:tcW w:w="87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7,042 </w:t>
            </w:r>
          </w:p>
        </w:tc>
        <w:tc>
          <w:tcPr>
            <w:tcW w:w="4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14.73 </w:t>
            </w:r>
          </w:p>
        </w:tc>
        <w:tc>
          <w:tcPr>
            <w:tcW w:w="1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The aggregate intrinsic values of options outstanding, vested and expected to vest, and exercisable were calculated as the difference between the exercise price of the options and the estimated fair value of the Company’s common stock. As of September 30, 2023, the Company's outstanding options had no intrinsic value because the estimated fair value of the Company's common stock was less than the exercise price of the options outstanding.</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weighted-average grant date fair value of stock options granted during the nine months ended September 30, 2023 was $3.09 per share.</w:t>
      </w:r>
    </w:p>
    <w:p>
      <w:pPr>
        <w:pStyle w:val="TextBody"/>
        <w:bidi w:val="0"/>
        <w:spacing w:lineRule="auto" w:line="288" w:before="240" w:after="120"/>
        <w:jc w:val="left"/>
        <w:rPr>
          <w:rFonts w:ascii="Arial;sans-serif" w:hAnsi="Arial;sans-serif"/>
          <w:b/>
          <w:i/>
          <w:color w:val="000000"/>
          <w:sz w:val="20"/>
        </w:rPr>
      </w:pPr>
      <w:r>
        <w:rPr>
          <w:rFonts w:ascii="Arial;sans-serif" w:hAnsi="Arial;sans-serif"/>
          <w:b/>
          <w:i/>
          <w:color w:val="000000"/>
          <w:sz w:val="20"/>
        </w:rPr>
        <w:t>Employee Stock Purchase Plan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Under the ESPP, eligible employees are granted the right to purchase shares of the Company's common stock through payroll deductions that cannot exceed 15% of each employee’s salary. The ESPP provides for a 24-month offering period, which includes four six-month purchase periods. At the end of each purchase period, eligible employees are permitted to purchase shares of common stock at the lower of 85% of fair market value at the beginning of the offering period or fair market value at the end of the purchase period. The ESPP is considered a compensatory plan. As of September 30, 2023, 1,087,768 shares of common stock had been purchased under the ESPP.</w:t>
      </w:r>
    </w:p>
    <w:p>
      <w:pPr>
        <w:pStyle w:val="TextBody"/>
        <w:bidi w:val="0"/>
        <w:spacing w:lineRule="auto" w:line="288" w:before="240" w:after="120"/>
        <w:jc w:val="left"/>
        <w:rPr>
          <w:rFonts w:ascii="Arial;sans-serif" w:hAnsi="Arial;sans-serif"/>
          <w:b/>
          <w:i/>
          <w:color w:val="000000"/>
          <w:sz w:val="20"/>
        </w:rPr>
      </w:pPr>
      <w:r>
        <w:rPr>
          <w:rFonts w:ascii="Arial;sans-serif" w:hAnsi="Arial;sans-serif"/>
          <w:b/>
          <w:i/>
          <w:color w:val="000000"/>
          <w:sz w:val="20"/>
        </w:rPr>
        <w:t xml:space="preserve">Restricted Stock Units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During the three and nine months ended September 30, 2023, the Company granted 1.0 million RSUs covering an equal number of shares of the Company's common stock to employees with a weighted-average grant date fair value of $4.36 per RSU. The fair value of RSUs is determined on the date of grant based on the market price of the Company's common stock as of that date. The fair value of the RSUs is recognized as an expense ratably over the vesting period of four years. No shares underlying the RSUs have vested or been released and 0.3 million shares have been forfeited as of September 30, 2023.</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Stock-Based Compensation Expense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Stock-based compensation expense was calculated based on awards previously granted to employees, directors and non-employees that are ultimately expected to vest and was reduced for estimated forfeitures.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250"/>
                <wp:effectExtent l="0" t="0" r="0" b="0"/>
                <wp:wrapNone/>
                <wp:docPr id="21" name="Frame2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Stock-based compensation expense was allocated as follows (in thousands):</w:t>
      </w:r>
    </w:p>
    <w:tbl>
      <w:tblPr>
        <w:tblW w:w="8849" w:type="dxa"/>
        <w:jc w:val="left"/>
        <w:tblInd w:w="0" w:type="dxa"/>
        <w:tblLayout w:type="fixed"/>
        <w:tblCellMar>
          <w:top w:w="28" w:type="dxa"/>
          <w:left w:w="28" w:type="dxa"/>
          <w:bottom w:w="28" w:type="dxa"/>
          <w:right w:w="28" w:type="dxa"/>
        </w:tblCellMar>
      </w:tblPr>
      <w:tblGrid>
        <w:gridCol w:w="1358"/>
        <w:gridCol w:w="1194"/>
        <w:gridCol w:w="1197"/>
        <w:gridCol w:w="211"/>
        <w:gridCol w:w="646"/>
        <w:gridCol w:w="109"/>
        <w:gridCol w:w="109"/>
        <w:gridCol w:w="109"/>
        <w:gridCol w:w="109"/>
        <w:gridCol w:w="211"/>
        <w:gridCol w:w="646"/>
        <w:gridCol w:w="109"/>
        <w:gridCol w:w="109"/>
        <w:gridCol w:w="109"/>
        <w:gridCol w:w="109"/>
        <w:gridCol w:w="211"/>
        <w:gridCol w:w="751"/>
        <w:gridCol w:w="109"/>
        <w:gridCol w:w="109"/>
        <w:gridCol w:w="109"/>
        <w:gridCol w:w="109"/>
        <w:gridCol w:w="211"/>
        <w:gridCol w:w="751"/>
        <w:gridCol w:w="154"/>
      </w:tblGrid>
      <w:tr>
        <w:trPr/>
        <w:tc>
          <w:tcPr>
            <w:tcW w:w="135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br/>
              <w:t>September 30,</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374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11,143 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12,804 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7,689 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22,423 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23,611 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Stock-based compensation expense for the nine months ended September 30, 2023 included $0.7 million in restructuring charges. See Note 9 for information regarding the Company's workforce reduction in the second quarter of 2023.</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September 30, 2023, total compensation cost not yet recognized related to unvested stock options was $33.6 million, which is expected to be recognized over a weighted-average period of 2.0 years. As of September 30, 2023, total compensation cost not yet recognized related to unvested RSUs was $2.3 million, which is expected to be recognized over a weighted-average period of 3.3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8. Income Taxes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Since inception, the Company has incurred net losses, and the Company expects to record a net loss for the year ending December 31, 2023. Additionally, the Company’s net deferred tax assets have been fully offset by a valuation allowance. Therefore, the Company did not record a tax provision for income taxes for the three and nine months ended September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9. Workforce Reduction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During the second quarter of 2023, the Company announced and substantially completed a restructuring of the Company's workforce pursuant to which the Company’s workforce was reduced by 74 people, or approximately 33% of the Company’s existing headcount as of April 3, 2023. The Company incurred approximately $4.9 million in restructuring charges in connection with the restructuring, consisting of (i) approximately $4.2 million in cash-based expenses related to employee severance and notice period payments, benefits and related costs, and (ii) approximately $0.7 million in non-cash stock-based compensation expense related to the vesting of share-based awards.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restructuring charges are included in the Company's condensed consolidated statements of income for the nine months ended September 30, 2023 as follows (in thousands):</w:t>
      </w:r>
    </w:p>
    <w:tbl>
      <w:tblPr>
        <w:tblW w:w="4350" w:type="dxa"/>
        <w:jc w:val="left"/>
        <w:tblInd w:w="0" w:type="dxa"/>
        <w:tblLayout w:type="fixed"/>
        <w:tblCellMar>
          <w:top w:w="28" w:type="dxa"/>
          <w:left w:w="28" w:type="dxa"/>
          <w:bottom w:w="28" w:type="dxa"/>
          <w:right w:w="28" w:type="dxa"/>
        </w:tblCellMar>
      </w:tblPr>
      <w:tblGrid>
        <w:gridCol w:w="902"/>
        <w:gridCol w:w="793"/>
        <w:gridCol w:w="795"/>
        <w:gridCol w:w="387"/>
        <w:gridCol w:w="1188"/>
        <w:gridCol w:w="285"/>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br/>
              <w:t>September 30, 2023</w:t>
            </w:r>
          </w:p>
        </w:tc>
      </w:tr>
      <w:tr>
        <w:trPr/>
        <w:tc>
          <w:tcPr>
            <w:tcW w:w="24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8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3,811 </w:t>
            </w:r>
          </w:p>
        </w:tc>
        <w:tc>
          <w:tcPr>
            <w:tcW w:w="28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restructuring expense</w:t>
            </w:r>
          </w:p>
        </w:tc>
        <w:tc>
          <w:tcPr>
            <w:tcW w:w="38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4,916 </w:t>
            </w:r>
          </w:p>
        </w:tc>
        <w:tc>
          <w:tcPr>
            <w:tcW w:w="28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All restructuring charges were incurred in the second quarter of 2023, and cash payments were substantially completed by the end of the second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10. Subsequent Event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On October 17, 2023, the Company's Compensation Committee, or the Committee, of the Board of Directors, or the Board, approved an option repricing program, or the repricing program, which will be effective on the second business day following the filing of this Quarterly Report on Form 10-Q, or the Effective Date. The repricing program generally applies to options to purchase shares of the Company’s common stock that: (i) were granted under the Company’s equity incentive plans; (ii) as of the Effective Date, are held by the Company’s then-current employees (subject to the retention requirements below); and (iii) have an exercise price per share greater than $5.00. Such options, subject to the retention requirements below, are referred to as the Eligible Options. The Eligible Options include options held by certain of the Company's executive officers, but exclude options held by Siobhan Nolan Mangini who is stepping down as Chief Financial Officer on November 3, 2023 and is stepping down as President on December 1, 2023. Options held by non-employee members of the Board are not eligible for the repricing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250"/>
                <wp:effectExtent l="0" t="0" r="0" b="0"/>
                <wp:wrapNone/>
                <wp:docPr id="22" name="Frame2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of the Effective Date, the Eligible Options will be immediately repriced such that the exercise price per share for such options will be reduced to the closing price of the Company’s common stock on the Effective Date, subject to certain retention requirements outlined below. If an employee exercises Eligible Options in advance of the end of the retention period as described below, the employee will be required to pay a premium exercise price equal to the original exercise price per share of the Eligible Options. The Eligible Options that were previously incentive stock options will be amended to become nonstatutory stock options on or following the Effective Date. There will be no changes to the number of shares underlying the Eligible Options or to the vesting schedules or expiration dates of the Eligible Options.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order to exercise the Eligible Options at the reduced exercise price, holders of the Eligible Options are required to remain in service with the Company through the end of the relevant retention period. The retention period begins on the Effective Date and ends on the earliest of the following: (i) the date 12 months (or, in the case of the Eligible Options held by the Company's Chief Executive Officer that are unvested as of the Effective Date, 18 months) following the Effective Date; (ii) a Change in Control (as defined in the applicable equity incentive plan) if the Eligible Options are not assumed or continued by the successor or acquiror entity (or its parent company) in such Change in Control or substituted for a similar award of the successor or acquiror entity (or its parent company); and (iii) the optionholder’s termination of Continuous Service (as defined in the applicable equity incentive plan) (a) due to such individual’s death or disability, (b) by the Company (or successor entity in a Change in Control) other than for Cause (as defined in the applicable equity incentive plan) or (c) due to such optionholder’s resignation on or following a Change in Control under certain circumstances.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total number of shares underlying all Eligible Options is 7,037,470 shares.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is in the process of determining the incremental compensation expense associated with the repricing program.</w:t>
      </w:r>
    </w:p>
    <w:p>
      <w:pPr>
        <w:pStyle w:val="TextBody"/>
        <w:bidi w:val="0"/>
        <w:spacing w:before="12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250"/>
                <wp:effectExtent l="0" t="0" r="0" b="0"/>
                <wp:wrapNone/>
                <wp:docPr id="23" name="Frame2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240" w:after="120"/>
        <w:ind w:left="0" w:right="0" w:firstLine="720"/>
        <w:jc w:val="both"/>
        <w:rPr>
          <w:rFonts w:ascii="Arial;sans-serif" w:hAnsi="Arial;sans-serif"/>
          <w:b w:val="false"/>
          <w:i/>
          <w:color w:val="000000"/>
          <w:sz w:val="20"/>
        </w:rPr>
      </w:pPr>
      <w:r>
        <w:rPr>
          <w:rFonts w:ascii="Arial;sans-serif" w:hAnsi="Arial;sans-serif"/>
          <w:b w:val="false"/>
          <w:i/>
          <w:color w:val="000000"/>
          <w:sz w:val="20"/>
        </w:rPr>
        <w:t>The following discussion and analysis of our financial condition and results of operations should be read in conjunction with (1) the unaudited condensed consolidated financial statements and notes to the condensed consolidated financial statements included elsewhere in this Quarterly Report on Form 10-Q and (2) the audited consolidated financial statements and related notes and management’s discussion and analysis of financial condition and results of operations for the fiscal year ended December 31, 2022 included in our Annual Report on Form 10-K filed with the U.S. Securities and Exchange Commission, or SEC, on February 28, 2023, or the 2022 Annual Report on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events could differ materially from those anticipated in these forward-looking statements as a result of several factors that could impact our business, including those set forth in the section titled “Risk Factors” under Part II, Item 1A in this Quarterly Report on Form 10-Q. In some cases, you can identify forward-looking statements by terminology such as “anticipate,” "aspire," “believe,” “continue,” “could,” “estimate,” “expect,” “intend,” “may,” “plan,” “potential,” “predict,” “should,” “will” or the negative of these terms or other similar expressions.</w:t>
      </w:r>
    </w:p>
    <w:p>
      <w:pPr>
        <w:pStyle w:val="TextBody"/>
        <w:bidi w:val="0"/>
        <w:spacing w:lineRule="auto" w:line="288" w:before="240" w:after="120"/>
        <w:ind w:left="0" w:right="0" w:firstLine="720"/>
        <w:jc w:val="both"/>
        <w:rPr>
          <w:rFonts w:ascii="Arial;sans-serif" w:hAnsi="Arial;sans-serif"/>
          <w:b w:val="false"/>
          <w:i/>
          <w:color w:val="000000"/>
          <w:sz w:val="20"/>
        </w:rPr>
      </w:pPr>
      <w:r>
        <w:rPr>
          <w:rFonts w:ascii="Arial;sans-serif" w:hAnsi="Arial;sans-serif"/>
          <w:b w:val="false"/>
          <w:i/>
          <w:color w:val="000000"/>
          <w:sz w:val="20"/>
        </w:rPr>
        <w:t>In addition, statements that “we believe,” "we expect," "we anticipate"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Overview of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are a biopharmaceutical company focused on discovering and developing novel, potentially life-changing medicines based on scientific understanding of key biological pathways underlying grievous diseases with critical unmet or underserved patient need. These diseases represent a significant burden for patients and healthcare systems and, in some cases, are leading causes of morbidity and mortality. Since the commencement of our operations in 2008, we have generated a portfolio of product candidates ranging from early discovery to Phase 2b development. Our biology-centric drug discovery approach is therapeutic area agnostic and aims to seamlessly integrate interrogation of complex disease-associated biology and protein engineering expertise to unlock proprietary insights that are leveraged to generate promising product candidates and enable their rapid advancement into proof-of-concept studies. As explorers on the frontier of life-changing science, we aspire to operate one of the most productive research and development engines in the biopharmaceutical industry. All therapeutic candidates in our pipeline have been generated by our in-house discovery engine, led by biology and motivated by patient need.</w:t>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 xml:space="preserve">Pipeline Programs and Operational Updates </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Solid Tumor Oncology Programs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execution efforts and resources recently have been focused on our four solid tumor oncology programs, NGM707, NGM831, NGM438 and NGM120. While we have been investing our resources to advance development of our solid tumor oncology programs, we will consider collaboration, out-licensing, partnership or other business development arrangements, or the BD Arrangements, related to such programs.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solid tumor oncology product candidates are wholly-owned by us.</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NGM707</w:t>
      </w:r>
      <w:r>
        <w:rPr>
          <w:rFonts w:ascii="Arial;sans-serif" w:hAnsi="Arial;sans-serif"/>
          <w:b w:val="false"/>
          <w:color w:val="000000"/>
          <w:sz w:val="20"/>
        </w:rPr>
        <w:t>. NGM707</w:t>
      </w:r>
      <w:r>
        <w:rPr>
          <w:rFonts w:ascii="Arial;sans-serif" w:hAnsi="Arial;sans-serif"/>
          <w:b w:val="false"/>
          <w:color w:val="0E32E1"/>
          <w:sz w:val="20"/>
        </w:rPr>
        <w:t>,</w:t>
      </w:r>
      <w:r>
        <w:rPr>
          <w:color w:val="000000"/>
        </w:rPr>
        <w:t xml:space="preserve"> </w:t>
      </w:r>
      <w:r>
        <w:rPr>
          <w:rFonts w:ascii="Arial;sans-serif" w:hAnsi="Arial;sans-serif"/>
          <w:b w:val="false"/>
          <w:color w:val="000000"/>
          <w:sz w:val="20"/>
        </w:rPr>
        <w:t xml:space="preserve">the lead asset in our myeloid reprogramming and checkpoint inhibition portfolio, is a dual antagonist monoclonal antibody that is designed to improve patient immune responses to tumors by inhibiting both Immunoglobulin-like transcript 2, or ILT2 (also known as LILRB1), and Immunoglobulin-like transcript 4, or ILT4 (also known as LILRB2) receptors. We believe NGM707 has the potential to reprogram ILT4- and ILT2-expressing myeloid cells to shift them from a suppressive state that restricts anti-tumor immunity to a stimulatory state that may promote anti-tumor immunity. Blocking ILT2 also may reverse inhibition of ILT2-expressing lymphoid cells to further stimulate anti-tumor immune responses.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 xml:space="preserve">We are conducting an open-label Phase 1/2 clinical trial evaluating NGM707 as a monotherapy and in combination with KEYTRUDA® (pembrolizumab) for the treatment of patients with advanced or metastatic solid tumors.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250"/>
                <wp:effectExtent l="0" t="0" r="0" b="0"/>
                <wp:wrapNone/>
                <wp:docPr id="24" name="Frame2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A Phase 1, Part 1a cohort evaluating NGM707 as a monotherapy was initiated in 2021 and a Phase 1, Part 1b cohort evaluating NGM707 in combination with pembrolizumab was initiated in 2022. The Part 1a cohort has completed enrollment and enrollment in the Part 1b cohort is ongoing. Two Phase 2 expansion cohorts evaluating NGM707 in combination with pembrolizumab in specific tumor types were initiated in the first quarter of 2023.</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NGM831</w:t>
      </w:r>
      <w:r>
        <w:rPr>
          <w:rFonts w:ascii="Arial;sans-serif" w:hAnsi="Arial;sans-serif"/>
          <w:b w:val="false"/>
          <w:color w:val="000000"/>
          <w:sz w:val="20"/>
        </w:rPr>
        <w:t xml:space="preserve">. NGM831 is an antagonist antibody that is designed to block the interaction of the Immunoglobulin-like transcript 3, or ILT3 (also known as LILRB4) receptor, </w:t>
      </w:r>
      <w:r>
        <w:rPr>
          <w:rFonts w:ascii="Arial;sans-serif" w:hAnsi="Arial;sans-serif"/>
          <w:b w:val="false"/>
          <w:color w:val="000000"/>
          <w:sz w:val="20"/>
          <w:shd w:fill="FFFFFF" w:val="clear"/>
        </w:rPr>
        <w:t xml:space="preserve">with fibronectin, as well as other cognate ligands. </w:t>
      </w:r>
      <w:r>
        <w:rPr>
          <w:rFonts w:ascii="Arial;sans-serif" w:hAnsi="Arial;sans-serif"/>
          <w:b w:val="false"/>
          <w:color w:val="000000"/>
          <w:sz w:val="20"/>
        </w:rPr>
        <w:t>For tumors in which both ILT3 and fibronectin are upregulated, the ILT3-fibronectin signaling pathway may act as a stromal checkpoint to repress myeloid cell function and inhibit anti-tumor immunity. By inhibiting ILT3's interaction with fibronectin and its other ligands, we believe NGM831 has the potential to mobilize a patient's own immune system to fight tumors by shifting myeloid cells from a suppressive state to a stimulatory state and promoting anti-tumor activity.</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We are conducting an open-label Phase 1/1b clinical trial to evaluate NGM831 as a monotherapy and in combination with pembrolizumab for the treatment of patients with advanced or metastatic solid tumors. A Phase 1, Part 1a cohort evaluating NGM831 as a monotherapy and a Phase 1, Part 1b cohort evaluating NGM831 in combination with pembrolizumab were initiated in 2022. Both cohorts have completed enrollment.</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NGM438</w:t>
      </w:r>
      <w:r>
        <w:rPr>
          <w:rFonts w:ascii="Arial;sans-serif" w:hAnsi="Arial;sans-serif"/>
          <w:b w:val="false"/>
          <w:color w:val="000000"/>
          <w:sz w:val="20"/>
        </w:rPr>
        <w:t>. NGM438 is an antagonist antibody that is designed to inhibit leukocyte-associated immunoglobulin-like receptor 1, or LAIR1, and thereby promote anti-tumor immune responses. NGM438 has the potential to potently block the binding of all collagens to LAIR1, including tumor-derived collagens. Collagens produced by the tumor stroma, meaning the non-malignant, non-immune components of the tumor, are believed to bind LAIR1 to create an immuno-suppressive tumor microenvironment. The interaction of collagens from the tumor stroma with LAIR1 on immune cells represents a “stromal checkpoint” that restrains anti-tumor immune responses. Reinvigoration of these collagen-suppressed immune cells by blocking the binding of collagens to LAIR1 may address a key resistance mechanism that limits tumor responses to current immunotherapies.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We are conducting an open-label, Phase 1/1b clinical trial to evaluate NGM438 as a monotherapy and in combination with pembrolizumab for the treatment of patients with advanced or metastatic solid tumors. A Phase 1, Part 1a cohort evaluating NGM438 as a monotherapy and a Phase 1, Part 1b cohort evaluating NGM438 in combination with pembrolizumab were initiated in 2022. The Part 1a cohort has completed enrollment and the Part 1b cohort is nearing the completion of enrollment.</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NGM120</w:t>
      </w:r>
      <w:r>
        <w:rPr>
          <w:rFonts w:ascii="Arial;sans-serif" w:hAnsi="Arial;sans-serif"/>
          <w:b w:val="false"/>
          <w:color w:val="000000"/>
          <w:sz w:val="20"/>
        </w:rPr>
        <w:t xml:space="preserve">. NGM120 is an antagonist antibody that binds to glial cell-derived neurotrophic factor receptor alpha-like, or GFRAL, and is designed to block the effects of elevated serum levels of growth differentiation factor 15, or GDF15. We designed NGM120 as a potent, humanized monoclonal antibody inhibitor of GFRAL with the potential for once-monthly or less frequent dosing. Preclinical studies suggest that NGM120 may reduce tumor growth and improve survival in syngeneic orthotopic pancreatic tumor models in mice.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 xml:space="preserve">We are conducting a Phase 1/2 clinical trial to assess NGM120’s effect on cancer and cancer-related cachexia in patients with select advanced solid tumors, metastatic pancreatic cancer and metastatic castration-resistant prostate cancer, or mCRPC.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trial includes: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 xml:space="preserve">a Phase 1a cohort evaluating NGM120 as a monotherapy in patients with select advanced solid tumors,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a Phase 1b cohort evaluating NGM120 in combination with gemcitabine and Nab-paclitaxel in patients with metastatic pancreatic cancer,</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an additional Phase 1b cohort testing NGM120 in combination with one or more lines of hormone therapies in patients with mCRPC, and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a Phase 2 cohort evaluating NGM120 in combination with gemcitabine and Nab-paclitaxel as first-line treatment in patients with metastatic pancreatic cancer (referred to as the PINNACLES</w:t>
      </w:r>
      <w:r>
        <w:rPr>
          <w:color w:val="000000"/>
        </w:rPr>
        <w:t xml:space="preserve"> </w:t>
      </w:r>
      <w:r>
        <w:rPr>
          <w:rFonts w:ascii="Arial;sans-serif" w:hAnsi="Arial;sans-serif"/>
          <w:b w:val="false"/>
          <w:color w:val="000000"/>
          <w:sz w:val="22"/>
        </w:rPr>
        <w:t>trial)</w:t>
      </w:r>
      <w:r>
        <w:rPr>
          <w:rFonts w:ascii="Arial;sans-serif" w:hAnsi="Arial;sans-serif"/>
          <w:b w:val="false"/>
          <w:color w:val="000000"/>
          <w:sz w:val="20"/>
        </w:rPr>
        <w:t>.</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All four cohorts have completed enrollment.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250"/>
                <wp:effectExtent l="0" t="0" r="0" b="0"/>
                <wp:wrapNone/>
                <wp:docPr id="25" name="Frame2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Additional Programs Currently Without Significant Resource Allocation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Due to the need to conserve capital and prioritize focused execution, the remainder of our pipeline includes programs whose further development is primarily dependent on our ability to secure potential future BD Arrangements. These programs are in therapeutic areas where clinical development is relatively resource intensive and can have long timelines to generate proof-of-concept data. As a result, we are seeking BD Arrangements with third-party partners possessing sufficient resources and relevant domain expertise in the relevant therapeutic area in order to further clinical development of these programs. In the absence of such BD Arrangements for these programs, we are unlikely to be able to advance their development unless our portfolio prioritization changes and we are able to secure the additional capital necessary to fund such development. These programs are set forth below:</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NGM621</w:t>
      </w:r>
      <w:r>
        <w:rPr>
          <w:rFonts w:ascii="Arial;sans-serif" w:hAnsi="Arial;sans-serif"/>
          <w:b w:val="false"/>
          <w:color w:val="000000"/>
          <w:sz w:val="20"/>
        </w:rPr>
        <w:t>. NGM621 is a humanized Immunoglobulin 1, or IgG1, monoclonal antibody administered via intravitreal, or IVT, injection. NGM621 was engineered to potently bind to, and be a long-acting inhibitor of, complement C3 with the treatment goal of reducing the rate of disease progression in patients with geographic atrophy, or GA, secondary to age-related macular degeneration, or AMD. NGM621 is wholly-owned by us.</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 xml:space="preserve">Aldafermin. </w:t>
      </w:r>
      <w:r>
        <w:rPr>
          <w:rFonts w:ascii="Arial;sans-serif" w:hAnsi="Arial;sans-serif"/>
          <w:b w:val="false"/>
          <w:color w:val="000000"/>
          <w:sz w:val="20"/>
        </w:rPr>
        <w:t xml:space="preserve">Aldafermin is an engineered analog of human hormone fibroblast growth factor 19, or FGF19, that is administered through a once-daily subcutaneous injection. In May 2023, we reported positive topline data from the Phase 2b ALPINE 4 trial of aldafermin in 160 patients with compensated cirrhosis due to non-alcoholic steatohepatitis, or NASH (liver fibrosis stage 4, or F4, by the NASH Clinical Research Network classification). The 48-week trial assessed the efficacy, safety and tolerability of 0.3 mg, 1 mg and 3 mg doses of aldafermin compared to placebo. The primary objective of the ALPINE 4 study was to evaluate the impact on Enhanced Liver Fibrosis, or ELF, score at week 48. The ELF score is a reproducible, quantitative non-invasive liver prognostic test that evaluates liver fibrosis and correlates to liver-related outcomes. The study met its primary endpoint with a statistically significant reduction in ELF score from baseline to week 48 in patients treated with 3 mg of aldafermin versus patients receiving placebo. Patients receiving 3 mg of aldafermin had a 0.5 point greater reduction in ELF at week 48 compared to patients receiving placebo (p-value=0.0003). On the secondary endpoint of fibrosis improvement of ≥1 stage (for which the trial was not statistically powered), 21% (p-value=0.39) and 23% (p-value=0.36) of patients in the 1 mg and 3 mg cohorts, respectively, achieved fibrosis improvement versus 15% in the placebo cohort at week 48. A 0.3 mg aldafermin cohort was part of the original design of the trial and enrolled 7 patients prior to being discontinued in favor of enrolling more patients in the 1 mg and 3 mg arms of the trial. Patients in the 0.3 mg arm were primarily evaluated for safety. Aldafermin was generally well tolerated with no treatment-related serious adverse events and a safety and tolerability profile generally consistent with prior trials of aldafermin, including higher levels of gastrointestinal events in patients treated with aldafermin as compared to patients treated with placebo. In May 2023, we also announced positive data from a Phase 2 investigator-sponsored trial of aldafermin for the treatment of patients with diarrhea-predominant irritable bowel syndrome, or IBS-D, and bile acid malabsorption, or BAM, at Digestive Disease Week 2023. Aldafermin demonstrated statistically significant reductions in serum 7αC4 (a marker of bile acid synthesis) and fecal bile acids versus placebo in patients in the trial with idiopathic BAM with IBS-D. Aldafermin is wholly-owned by us. </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NGM313 (MK-3655)</w:t>
      </w:r>
      <w:r>
        <w:rPr>
          <w:rFonts w:ascii="Arial;sans-serif" w:hAnsi="Arial;sans-serif"/>
          <w:b w:val="false"/>
          <w:color w:val="000000"/>
          <w:sz w:val="20"/>
        </w:rPr>
        <w:t xml:space="preserve">. NGM313 is an agonistic antibody discovered by us that selectively activates fibroblast growth factor receptor 1c-beta-klotho, or FGFR1c/KLB, which regulates insulin sensitivity, blood glucose and liver fat and is administered every four weeks through a subcutaneous injection. NGM313 was licensed by Merck in November 2018 and was being developed by Merck in patients with NASH and liver fibrosis stage 2 or 3. In April 2023, the license rights granted to Merck with respect to NGM313 reverted to us and the program is now wholly-owned by us. </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 xml:space="preserve">NGM936. </w:t>
      </w:r>
      <w:r>
        <w:rPr>
          <w:rFonts w:ascii="Arial;sans-serif" w:hAnsi="Arial;sans-serif"/>
          <w:b w:val="false"/>
          <w:color w:val="000000"/>
          <w:sz w:val="20"/>
        </w:rPr>
        <w:t xml:space="preserve">NGM936 is a bispecific T cell engager therapeutic candidate for the treatment of hematologic malignancies that targets ILT3 and cluster of differentiation 3, or CD3. NGM936 is designed to direct T cell mediated killing of ILT3-positive cancer cells while sparing normal hematopoietic stem cells, or HSCs, and minimizing CD3-driven cytokine release. ILT3, a myeloid-cell restricted receptor, has enriched expression in myelomonocytic leukemia, monocytic leukemia and leukemia stem cells but is not expressed on healthy HSCs. This expression profile of ILT3 may make it an effective target for the treatment of monocytic acute myeloid leukemia, or AML, and multiple myeloma. NGM936 has been evaluated in preclinical studies, where it has demonstrated the ability to potently kill ILT3+ AML cells, kill ILT3+ multiple myeloma cells and preserve healthy bone marrow cells. NGM936 is wholly-owned by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250"/>
                <wp:effectExtent l="0" t="0" r="0" b="0"/>
                <wp:wrapNone/>
                <wp:docPr id="26" name="Frame2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additional programs that are in various stages of development ranging from functional validation to preclinical development.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success of each of our product candidates may be affected by numerous factors, including preclinical data, clinical data, competition, manufacturing capability, sales capability, any future BD Arrangements, the sufficiency of our cash resources, regulatory matters, third-party payor matters and commercial viability. We do not have any products approved for sale and do not anticipate generating revenue from product sales for the foreseeable future, if ever.</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Business Development and Merck Collaboration Updates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Pursuing BD Arrangements has been and is expected to continue to be a key component of our strategy. Given the breadth of opportunities that have been, and may in the future be, produced by our discovery engine, we are seeking BD Arrangements with third-party partners to progress, in whole or in part, the development of one or more of our product candidates. We believe that this strategy, if successfully implemented, may enable more of the programs in our pipeline to be advanced as effectively and efficiently as possible. As described above, further development of NGM621, aldafermin, NGM313 and NGM936 is primarily dependent on our ability to secure potential future BD Arrangements and, in the absence of such BD Arrangements, we are unlikely to be able to advance development of those programs unless our portfolio prioritization changes and we are able to secure the additional capital necessary to fund such development.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collaboration with Merck, described in "Business - Licensing and Collaboration Arrangements - Merck Collaboration" in Part I, Item 1 of the 2022 Annual Report on Form 10-K and Note 5, “Research Collaboration and License Agreements - Merck,” in our notes to the unaudited condensed consolidated financial statements included in Part I, Item 1 of this Quarterly Report on Form 10-Q, historically provided us with robust financial support that enabled us to broaden and accelerate our research efforts and to develop more product candidates for major indications than we likely could have advanced on our own. We do not have any committed external source of funds, other than pursuant to our collaboration with Merck under the amended and restated research collaboration, product development and license agreement we entered into with Merck on June 30, 2021, or the Amended Collaboration Agreement. Currently, the only ongoing activities funded under the Amended Collaboration Agreement are ongoing cardiovascular or metabolic-, or CVM-, related activities. In 2023, the research and development, or R&amp;D, funding we have received from Merck under the Amended Collaboration Agreement has been limited. In this regard, for the period that started on October 1, 2023 and ends on March 31, 2024, funding from Merck is expected to be minimal. The research phase for the CVM-related programs under the Amended Collaboration Agreement will continue through March 31, 2024, unless the parties mutually agree to extend the research phase through March 31, 2026, in which case Merck would provide up to a total of $20.0 million in R&amp;D funding during the additional two years of the CVM program research phase. We do not expect the research phase to be extended.</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Restructuring</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April 2023, we announced a restructuring of our workforce pursuant to which our workforce was reduced by 74 people, or approximately 33% of our existing headcount as of such date. The restructuring, including cash payments, was substantially completed by the end of the second quarter of 2023. We incurred approximately $4.9 million in restructuring charges in connection with the restructuring, consisting of (i) approximately $4.2 million in cash-based expenses related to employee severance and notice period payments, benefits and related costs, and (ii) approximately $0.7 million in non-cash stock-based compensation expense related to the vesting of share-based awards. </w:t>
      </w:r>
    </w:p>
    <w:p>
      <w:pPr>
        <w:pStyle w:val="TextBody"/>
        <w:bidi w:val="0"/>
        <w:spacing w:lineRule="auto" w:line="256" w:before="0" w:after="0"/>
        <w:jc w:val="left"/>
        <w:rPr>
          <w:rFonts w:ascii="Arial;sans-serif" w:hAnsi="Arial;sans-serif"/>
          <w:b/>
          <w:i/>
          <w:color w:val="000000"/>
          <w:sz w:val="20"/>
        </w:rPr>
      </w:pPr>
      <w:r>
        <w:rPr>
          <w:rFonts w:ascii="Arial;sans-serif" w:hAnsi="Arial;sans-serif"/>
          <w:b/>
          <w:i/>
          <w:color w:val="000000"/>
          <w:sz w:val="20"/>
        </w:rPr>
        <w:t>Operational Updates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do not own, and have no plans to establish, any manufacturing facilities. All of our manufacturing activities are outsourced to third-party contract development and manufacturing organizations or third-party contract manufacturing organizations, which we refer to collectively as CMOs, which are generally single-source suppliers of the drug product or drug substance they are manufacturing for us. We also utilize third-party contract research organizations, or CROs, to carry out many of our clinical development activities. We expect to be reliant on CMOs and CROs for these activities for the foreseeable future. Significant portions of our R&amp;D resources are focused, and will continue to be focused, on the manufacture and testing of clinical trial materials. If our CMOs and CROs fail to satisfy their contractual duties to us or meet expected deadlines or if our CMOs experience difficulties in scaling production, higher than anticipated costs or lower than anticipated yields, product loss due to contamination, equipment failure, improper installation or operation of equipment, vendor or operator error, turnover of qualified staff or improper storage conditions, difficulties with quality control, product stability or quality assurance testing, or difficulties procuring raw materials or components as a result of the COVID-19 or some future pandemic or otherwise, our ongoing and planned trials and possible acceleration or expansion of those trials may be delayed,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250"/>
                <wp:effectExtent l="0" t="0" r="0" b="0"/>
                <wp:wrapNone/>
                <wp:docPr id="27" name="Frame2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perhaps substantially, or abandoned, which could materially and adversely affect our business. For example, in 2022, our planned individual new drug application, or IND, submissions for NGM831 and NGM438 were delayed due to challenges at one of our CMOs with respect to the manufacture of those product candidates, primarily related to analytical method qualification and release testing. It is possible that we could experience further supply-related delays that would create supply challenges and possible timing delays for ongoing and planned clinical trials or delay the commencement of first-in-human testing of future product candidates. In addition, there have historically been times of increased competition in the biotechnology industry for available CMO manufacturing slots and other capabilities generally, which has had, and may in the future have, a negative impact on the availability of manufacturing capacity and therefore our ability to supply clinical trial materials for planned, ongoing, accelerated or expanded clinical trials. Our CMOs’ facilities and operations have also been adversely affected by labor, raw material and component shortages, high turnover of staff and difficulties in hiring trained and qualified replacement staff. Changes in economic conditions, supply chain constraints, labor, raw material and component shortages and steps taken by governments and central banks, particularly in response to the COVID-19 pandemic as well as other stimulus and spending programs, could lead to higher inflation than previously experienced or expected, which could, in turn, lead to an increase in costs. These supply chain effects, increased competition and higher costs of acquired goods and services have not materially impacted our results of operations for the three and nine months ended September 30, 2023, although they may negatively impact our business operations and our financial results in the future.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some of our product candidates are currently manufactured solely at a facility in Lithuania. Following Russia's invasion of Ukraine in February 2022, NATO deployed additional military forces to Eastern Europe, including to Lithuania. The ongoing conflict between Russia and Ukraine and the retaliatory measures taken or that may be taken by the United States, NATO and others, including significant sanctions against Russia, create global security concerns and regional instability, including due to the possibility of expanded regional or global conflict, and are likely to have short-term and likely longer-term negative impacts on regional and global economies, any or all of which could disrupt our supply chain and adversely affect our ability to conduct ongoing and future clinical trials of our product candidates and our ability to raise capital on favorable terms.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July 2022, we entered into an operating lease agreement, or the 2024 Lease Agreement, for our existing corporate office space and facilities at 333 Oyster Point Blvd., South San Francisco, California, which allows us to remain in our existing facilities through December 31, 2033, subject to our compliance with the 2024 Lease Agreement. We also have an option to extend the 2024 Lease Agreement for a period of either eight or ten years after the initial ten-year term of January 1, 2024 to December 31, 2033.</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seek to allocate our capital efficiently and strategically and fund our development portfolio based on each program’s scientific and other merits. Our discipline has been demonstrated by our decision not to proceed with development activities on multiple potentially viable product candidates for portfolio management and capital conservation reasons to concentrate our resources and focus our execution on selected programs. Given that we are no longer receiving meaningful research funding from Merck as compared to historical periods commensurate with the decreased scope of the collaboration, we need to devote a substantial amount of our own financial resources to fund our R&amp;D programs, and we may need to delay or suspend development activities on product candidates that we consider promising unless and until we are able to raise sufficient additional capital and/or we need to enter into additional BD Arrangements in order to proceed with such development through to regulatory approval.</w:t>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Financial Highlights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Since inception, we have funded our operations primarily through:</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fees received from collaboration partners, which since inception through September 30, 2023 includes reimbursement of R&amp;D expenses of $544.6 million and upfront cash licensing fees of $123.0 million, primarily from Merck, and a payment of $20.0 million from Merck to license NGM313 and related compounds;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proceeds from private placements of convertible preferred stock prior to our initial public offering, or IPO, including approximately $106.0 million of our Series E convertible preferred stock purchased by Merck;</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net proceeds from our IPO in 2019 of approximately $107.8 million, together with proceeds from the concurrent private placement of shares of common stock to Merck of $65.9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250"/>
                <wp:effectExtent l="0" t="0" r="0" b="0"/>
                <wp:wrapNone/>
                <wp:docPr id="28" name="Frame2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net proceeds of $134.6 million from the sale of approximately 5.3 million shares of our common stock in January 2021 upon completion of an underwritten public offering of our common stock, which included the full exercise by the underwriters of their option to purchase additional shares; and</w:t>
      </w:r>
    </w:p>
    <w:p>
      <w:pPr>
        <w:pStyle w:val="TextBody"/>
        <w:bidi w:val="0"/>
        <w:spacing w:lineRule="auto" w:line="288" w:before="60" w:after="60"/>
        <w:ind w:left="0" w:right="0" w:hanging="360"/>
        <w:jc w:val="both"/>
        <w:rPr/>
      </w:pPr>
      <w:r>
        <w:rPr>
          <w:color w:val="008080"/>
        </w:rPr>
        <w:t>•</w:t>
      </w:r>
      <w:r>
        <w:rPr>
          <w:rFonts w:ascii="Arial;sans-serif" w:hAnsi="Arial;sans-serif"/>
          <w:b w:val="false"/>
          <w:color w:val="000000"/>
          <w:sz w:val="20"/>
        </w:rPr>
        <w:t xml:space="preserve">net proceeds of $71.5 million through September 30, 2023 from sales of approximately 4.1 million shares of our common stock pursuant to at-the-market sales programs.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At September 30, 2023, we had $166.0 million in cash, cash equivalents and short-term marketable securities.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incurred net losses each year since our inception. As of September 30, 2023, we had an accumulated deficit of $696.3 million. Substantially all of our net losses have resulted from costs incurred in connection with our R&amp;D programs and general and administrative, or G&amp;A, costs associated with our operations. Our net losses may fluctuate significantly from quarter-to-quarter and year-to-year, depending on the timing of our clinical trials and our expenses on other R&amp;D activities, and the amount of R&amp;D funding we receive from future BD Arrangements, if any. For further discussion of our financial position and future sources of funding, see “Liquidity and Capital Resources”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Financial Operations Overview</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 xml:space="preserve">Related Party Revenue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revenue to date has been generated primarily from recognition of license fees and R&amp;D service funding pursuant to our collaboration with Merck. Merck is also a significant stockholder and, as such, collaboration revenue from Merck is referred to as related party revenue.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Since the Company's inception through September 30, 2023, Merck has paid us $619.8 million pursuant to the terms of our collaboration. Due to the nature of our collaboration with Merck and the timing of related revenue recognition, our revenue has fluctuated from period to period in the past and has decreased in 2023 given the substantial reduction in the level of funding we have received from Merck. In this regard, for the period that started on October 1, 2023 and ends on March 31, 2024, we expect funding and revenue recognized from Merck to be minimal. As a result, we believe that period-to-period comparisons of our revenue may not be meaningful and should not be relied upon as being indicative of future performance.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use the cost-based input method in accordance with Accounting Standards Codification 606, or ASC 606, to calculate the corresponding amount of revenue to recognize at each reporting period. In applying the cost-based input measure of revenue recognition, we measure actual costs incurred relative to budgeted costs to fulfill our performance obligation. We apply considerable judgment when we re-evaluate the estimate of expected costs to satisfy the performance obligation each reporting period and make adjustments for any significant changes. A significant change in the estimate of expected costs under the Amended Collaboration Agreement could have a material impact on revenue recognized (including the possible reversal of previously recognized revenue) at each reporting period. </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Our related party revenue was as follows (in thousands):</w:t>
      </w:r>
    </w:p>
    <w:tbl>
      <w:tblPr>
        <w:tblW w:w="6855" w:type="dxa"/>
        <w:jc w:val="left"/>
        <w:tblInd w:w="0" w:type="dxa"/>
        <w:tblLayout w:type="fixed"/>
        <w:tblCellMar>
          <w:top w:w="28" w:type="dxa"/>
          <w:left w:w="28" w:type="dxa"/>
          <w:bottom w:w="28" w:type="dxa"/>
          <w:right w:w="28" w:type="dxa"/>
        </w:tblCellMar>
      </w:tblPr>
      <w:tblGrid>
        <w:gridCol w:w="734"/>
        <w:gridCol w:w="644"/>
        <w:gridCol w:w="647"/>
        <w:gridCol w:w="211"/>
        <w:gridCol w:w="481"/>
        <w:gridCol w:w="109"/>
        <w:gridCol w:w="109"/>
        <w:gridCol w:w="109"/>
        <w:gridCol w:w="109"/>
        <w:gridCol w:w="211"/>
        <w:gridCol w:w="646"/>
        <w:gridCol w:w="109"/>
        <w:gridCol w:w="109"/>
        <w:gridCol w:w="109"/>
        <w:gridCol w:w="109"/>
        <w:gridCol w:w="211"/>
        <w:gridCol w:w="646"/>
        <w:gridCol w:w="109"/>
        <w:gridCol w:w="109"/>
        <w:gridCol w:w="109"/>
        <w:gridCol w:w="109"/>
        <w:gridCol w:w="211"/>
        <w:gridCol w:w="751"/>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br/>
              <w:t>September 30,</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20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revenue</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37,152 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Research and Development Expenses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R&amp;D efforts include drug discovery and other research activities and development activities relating to our product candidates, such as manufacturing drug substance, drug product and other clinical trial materials, conducting preclinical studies and clinical trials and providing support for these operations. Our R&amp;D expenses consist of both internal and external costs. Our internal costs include employee, consultant, facility and other R&amp;D operating expenses. Our external costs include fees paid to CROs and other service providers in connection with our clinical trials and preclinical studies, third-party license fees and CMO costs related to manufacturing drug substance, drug product and other clinical trial materials.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250"/>
                <wp:effectExtent l="0" t="0" r="0" b="0"/>
                <wp:wrapNone/>
                <wp:docPr id="29" name="Frame2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R&amp;D efforts are extensive and costly. Our R&amp;D expenses related to the development of our product candidates consist primarily of: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fees paid to our CROs in connection with our clinical trials and other related clinical trial fees, when applicable;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costs related to acquiring and manufacturing drug substance, drug product and clinical trial materials, and the costs of continued testing, such as process validation testing and stability testing, of drug substance and drug product;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costs related to toxicology testing and other research- and preclinical-related studies;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salaries and related overhead expenses, which include stock-based compensation and benefits, for personnel in R&amp;D functions;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fees paid to consultants for R&amp;D activities;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R&amp;D operating expenses, including facility costs and depreciation expenses; and </w:t>
      </w:r>
    </w:p>
    <w:p>
      <w:pPr>
        <w:pStyle w:val="TextBody"/>
        <w:bidi w:val="0"/>
        <w:spacing w:lineRule="auto" w:line="288" w:before="60" w:after="240"/>
        <w:ind w:left="0" w:right="0" w:hanging="360"/>
        <w:jc w:val="both"/>
        <w:rPr/>
      </w:pPr>
      <w:r>
        <w:rPr>
          <w:color w:val="000000"/>
        </w:rPr>
        <w:t>•</w:t>
      </w:r>
      <w:r>
        <w:rPr>
          <w:rFonts w:ascii="Arial;sans-serif" w:hAnsi="Arial;sans-serif"/>
          <w:b w:val="false"/>
          <w:color w:val="000000"/>
          <w:sz w:val="20"/>
        </w:rPr>
        <w:t xml:space="preserve">costs related to compliance with regulatory requirements.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need to devote a substantial amount of our own financial resources to our wholly-owned development programs, and we recently have been focusing primarily on our solid tumor oncology programs. As a result, further development of NGM621, aldafermin, NGM313 and NGM936 is currently primarily dependent on our ability to secure potential future BD Arrangements and, in the absence of such BD Arrangements, we are unlikely to be able to advance development of those programs unless our portfolio prioritization changes and we are able to secure the additional capital necessary to fund such development. For the foreseeable future, we anticipate a significant portion of our financial resources, other than the minimal funding we expect to receive from Merck which is dedicated to activities under the Amended Collaboration Agreement, will be directed to activities required to initiate and advance clinical trials of certain of our wholly-owned programs. We expect our R&amp;D expenses will decrease in 2023 compared to 2022 as we suspend development activities related to NGM621 and our other preclinical ophthalmology programs and complete activities related to ALPINE 4.</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successful development of our product candidates is highly uncertain. At this time, we cannot reasonably estimate the nature, timing or costs of the efforts that will be necessary to complete the remainder of the development of our product candidates or if we will be able to enter into BD Arrangements or otherwise raise adequate additional capital to meet our funding requirements to support such efforts. This is due to the numerous risks and uncertainties associated with developing medicines, including the uncertainty of:</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scope, rate of progress, results and expense of our ongoing, as well as any future, clinical trials and other R&amp;D-related activities;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impact and timing of any interactions with regulatory authorities, including timing and receipt of regulatory approvals;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ability to hire and retain key R&amp;D personnel;</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manufacturing scale-up challenges, production shortages or other supply disruptions for clinical trial materials, including raw materials and components;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effects of the COVID-19 pandemic on our employees, patients, clinical trial sites and our CROs, CMOs and other service providers;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the timely and quality performance of our CROs, CMOs and other service providers;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effect of products that may compete with our product candidates or other market developments;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ability to expand and enforce our intellectual property portfolio.</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 change in the outcome of any of the risks and uncertainties associated with the development of a product candidate could mean a significant change in the costs, as well as the timing, associated with the development of that product candidate. For example, if the FDA or a comparable foreign health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 For additional discussion of the risks and uncertainties associated with our R&amp;D efforts, see “Risk Factors—Risks Related to Our Business and Industry,” “—Risks Related to Our Dependence on Third Parties,” “—Risks Related to Regulatory Approvals” and "—Risks Related to Our Intellectual Property” in Part II, Item 1A of this Quarterly Report on Form 10-Q.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250"/>
                <wp:effectExtent l="0" t="0" r="0" b="0"/>
                <wp:wrapNone/>
                <wp:docPr id="30" name="Frame3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 xml:space="preserve">General and Administrative Expenses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G&amp;A expenses consist primarily of salaries and other related costs, including stock-based compensation and benefits. Other significant costs include legal fees relating to patent and corporate matters, facility costs not otherwise included in R&amp;D expenses and fees for accounting and other consulting services.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anticipate that our G&amp;A expenses in 2023 will decrease moderately compared to 2022 primarily due to the workforce restructuring implemented in the second quarter of 2023. Beginning in 2024, our G&amp;A expenses will include an increase in operating lease expenses under the 2024 Lease Agreement. Additionally, we anticipate continued costs associated with being a public company, including expenses related to services associated with maintaining compliance with Nasdaq listing rules and related SEC requirements and costs related to insurance, investor relations and compliance with Section 404 of the Sarbanes-Oxley Act of 2002, or the Sarbanes-Oxley Act. In addition, we may continue to incur expenses associated with negotiating and entering into BD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Our results of operations were as follows (in thousands):</w:t>
      </w:r>
    </w:p>
    <w:tbl>
      <w:tblPr>
        <w:tblW w:w="10205" w:type="dxa"/>
        <w:jc w:val="left"/>
        <w:tblInd w:w="0" w:type="dxa"/>
        <w:tblLayout w:type="fixed"/>
        <w:tblCellMar>
          <w:top w:w="28" w:type="dxa"/>
          <w:left w:w="28" w:type="dxa"/>
          <w:bottom w:w="28" w:type="dxa"/>
          <w:right w:w="28" w:type="dxa"/>
        </w:tblCellMar>
      </w:tblPr>
      <w:tblGrid>
        <w:gridCol w:w="861"/>
        <w:gridCol w:w="459"/>
        <w:gridCol w:w="461"/>
        <w:gridCol w:w="211"/>
        <w:gridCol w:w="772"/>
        <w:gridCol w:w="109"/>
        <w:gridCol w:w="109"/>
        <w:gridCol w:w="109"/>
        <w:gridCol w:w="109"/>
        <w:gridCol w:w="211"/>
        <w:gridCol w:w="772"/>
        <w:gridCol w:w="109"/>
        <w:gridCol w:w="109"/>
        <w:gridCol w:w="109"/>
        <w:gridCol w:w="109"/>
        <w:gridCol w:w="211"/>
        <w:gridCol w:w="751"/>
        <w:gridCol w:w="109"/>
        <w:gridCol w:w="109"/>
        <w:gridCol w:w="109"/>
        <w:gridCol w:w="109"/>
        <w:gridCol w:w="211"/>
        <w:gridCol w:w="877"/>
        <w:gridCol w:w="109"/>
        <w:gridCol w:w="109"/>
        <w:gridCol w:w="109"/>
        <w:gridCol w:w="109"/>
        <w:gridCol w:w="211"/>
        <w:gridCol w:w="877"/>
        <w:gridCol w:w="109"/>
        <w:gridCol w:w="109"/>
        <w:gridCol w:w="109"/>
        <w:gridCol w:w="109"/>
        <w:gridCol w:w="211"/>
        <w:gridCol w:w="772"/>
        <w:gridCol w:w="157"/>
      </w:tblGrid>
      <w:tr>
        <w:trPr/>
        <w:tc>
          <w:tcPr>
            <w:tcW w:w="86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(32,900)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(38,195)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(39,052)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(114,705)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(126,230)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 xml:space="preserve">Related Party Revenue from Merck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Revenue decreased $7.3 million and $32.9 million in the three and nine months ended September 30, 2023, respectively, compared to the same periods in 2022 due to a decrease in R&amp;D revenue under the Amended Collaboration Agreement with Merck. For the period that started on October 1, 2023 and ends on March 31, 2024, we expect funding and revenue recognized from Merck to be minimal.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250"/>
                <wp:effectExtent l="0" t="0" r="0" b="0"/>
                <wp:wrapNone/>
                <wp:docPr id="31" name="Frame3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Research and Development Expenses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R&amp;D expenses by program were as follows (in thousands):</w:t>
      </w:r>
    </w:p>
    <w:tbl>
      <w:tblPr>
        <w:tblW w:w="9255" w:type="dxa"/>
        <w:jc w:val="left"/>
        <w:tblInd w:w="0" w:type="dxa"/>
        <w:tblLayout w:type="fixed"/>
        <w:tblCellMar>
          <w:top w:w="28" w:type="dxa"/>
          <w:left w:w="28" w:type="dxa"/>
          <w:bottom w:w="28" w:type="dxa"/>
          <w:right w:w="28" w:type="dxa"/>
        </w:tblCellMar>
      </w:tblPr>
      <w:tblGrid>
        <w:gridCol w:w="1391"/>
        <w:gridCol w:w="1223"/>
        <w:gridCol w:w="1226"/>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856"/>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br/>
              <w:t>September 30,</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External R&amp;D expenses: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NGM707 (Anti-ILT2/ILT4 dual antagonist)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NGM438 (LAIR1 antagonist)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NGM831 (ILT3 antagonist)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Aldafermin (FGF19 analog)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NGM120 (GFRAL antagonist)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NGM621 (C3 inhibitor)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external R&amp;D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external R&amp;D expenses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Personnel-related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Internal and unallocated R&amp;D expenses (1)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R&amp;D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Arial;sans-serif" w:hAnsi="Arial;sans-serif"/>
          <w:b w:val="false"/>
          <w:color w:val="000000"/>
          <w:sz w:val="16"/>
        </w:rPr>
      </w:pPr>
      <w:r>
        <w:rPr>
          <w:rFonts w:ascii="Arial;sans-serif" w:hAnsi="Arial;sans-serif"/>
          <w:b w:val="false"/>
          <w:color w:val="000000"/>
          <w:sz w:val="16"/>
        </w:rPr>
        <w:t>_____________</w:t>
      </w:r>
    </w:p>
    <w:p>
      <w:pPr>
        <w:pStyle w:val="TextBody"/>
        <w:bidi w:val="0"/>
        <w:spacing w:lineRule="auto" w:line="288" w:before="60" w:after="120"/>
        <w:ind w:left="0" w:right="0" w:hanging="540"/>
        <w:jc w:val="both"/>
        <w:rPr>
          <w:rFonts w:ascii="Arial;sans-serif" w:hAnsi="Arial;sans-serif"/>
          <w:b w:val="false"/>
          <w:color w:val="000000"/>
          <w:sz w:val="16"/>
        </w:rPr>
      </w:pPr>
      <w:r>
        <w:rPr>
          <w:rFonts w:ascii="Arial;sans-serif" w:hAnsi="Arial;sans-serif"/>
          <w:b w:val="false"/>
          <w:color w:val="000000"/>
          <w:sz w:val="16"/>
        </w:rPr>
        <w:t>(1)Internal and unallocated R&amp;D expenses consist primarily of research supplies and consulting fees, which we deploy across multiple R&amp;D programs and include restructuring charges of $3.8 million in the nine months ended September 30, 2023.</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R&amp;D expenses decreased $23.2 million and $38.2 million in the three and nine months ended September 30, 2023, respectively, compared to the same periods in 2022. The decrease in the three-month period was primarily due to a decrease in personnel-related expenses of $5.6 million, decreases in expenses for our clinical trials of NGM621 of $5.0 million and NGM707 of $3.7 million, decreases in expenses for our manufacturing activities and our clinical trials of aldafermin of $2.6 million and decreases in expenses for our clinical trials of NGM120 of $1.3 million and NGM438 of $1.2 million. The decrease in the nine-month period was primarily due to a decrease in expenses for our clinical trial of NGM621 of $13.9 million, a decrease in personnel-related expenses of $9.0 million, decreases in expenses for our manufacturing activities and our clinical trials of aldafermin of $6.7 million and a decrease in expenses for our clinical trial of NGM120 of $3.0 million, partially offset by restructuring charges of $3.8 million.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expect our R&amp;D expenses will decrease in 2023 compared to 2022 as we suspend development activities related to NGM621 and our other preclinical ophthalmology programs and complete activities related to ALPINE 4.</w:t>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 xml:space="preserve">General and Administrative Expenses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G&amp;A expenses decreased $1.4 million and $0.9 million in the three and nine months ended September 30, 2023, respectively, compared to the same periods in 2022. The decrease in the three-month period was primarily due to a decrease in compensation-related expenses of $1.1 million and a decrease in legal-related expenses of $0.3 million. The decrease in the nine-month period was primarily due to a decrease in compensation-related expenses of $2.0 million and a decrease in depreciation expense of $1.5 million, partially offset by an increase in legal-related expenses of $1.3 million and restructuring charges of $1.1 million.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anticipate that our G&amp;A expenses in 2023 will decrease moderately compared to 2022 primarily due to the workforce restructuring implemented in the second quarter of 2023.</w:t>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Interest Income, net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Interest income, net, increased $1.3 million and $5.6 million in the three and nine months ended September 30, 2023, respectively, compared to the same periods in 2022 primarily due to higher yielding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250"/>
                <wp:effectExtent l="0" t="0" r="0" b="0"/>
                <wp:wrapNone/>
                <wp:docPr id="32" name="Frame3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300" w:after="120"/>
        <w:jc w:val="center"/>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Funding Requirements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no products approved for commercial sale, have not generated any revenue from product sales to date and we are not and may never be profitable. We have incurred losses in each year since commencing operations, and we expect to incur significant operating losses in 2023 and over the next several years. As of September 30, 2023, we had an accumulated deficit of $696.3 million, and we expect our accumulated deficit will continue to increase over time.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an active discovery research group and have spent significant resources to fund R&amp;D of multiple pipeline programs. We recently have been focusing most of our execution efforts and resources on our solid tumor oncology programs, NGM707, NGM831, NGM438 and NGM120. While we will consider BD Arrangements to advance development of these programs, we have been continuing to invest our resources in their development even in the absence of BD Arrangements.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Due to the need to conserve capital and prioritize focused execution, the remainder of our pipeline includes programs whose further development is primarily dependent on our ability to secure potential future BD Arrangements. We are seeking BD Arrangements with third-party partners possessing sufficient resources and relevant domain expertise in the relevant therapeutic area in order to further clinical development of these programs. In the absence of such BD Arrangements for these programs, we are unlikely to be able to advance their development unless our portfolio prioritization changes and we are able to secure the additional capital necessary to fund such development.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Prior to 2022, we received substantial R&amp;D funding from our collaboration with Merck. However, under the narrower scope of the Amended Collaboration Agreement, R&amp;D funding from Merck beginning April 2022 is substantially lower than the R&amp;D funding previously provided by Merck. In this regard, for the period that started on October 1, 2023 and ends on March 31, 2024, funding from Merck is expected to be minimal.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cash requirements for fiscal year 2023 continue to be driven by our R&amp;D and G&amp;A expenses. In 2022 and 2021, our R&amp;D expenses were $181.1 million and $161.7 million, respectively. In 2023, we expect our R&amp;D expenses to decrease compared to 2022 as we suspend development activities related to NGM621 and our other preclinical ophthalmology programs and complete activities related to ALPINE 4. In 2022 and 2021, our G&amp;A expenses were $40.5 million and $36.9 million, respectively. In 2023, we expect our G&amp;A expenses will decrease moderately compared to 2022 primarily due to the workforce restructuring implemented in the second quarter of 2023. Beginning in 2024, our operating lease costs will increase pursuant to the 2024 Lease Agreement we entered into in July 2022 for our current corporate office space and facilities in South San Francisco, California. Our current lease will expire on December 31, 2023. The 2024 Lease Agreement will commence on January 1, 2024 and expire on December 31, 2033. We will pay an initial monthly base rent of approximately $0.9 million for the first year, which is subject to increase at an annual rate of 3.5% each year thereafter, plus certain operating and tax expenses.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believe that our existing cash, cash equivalents and short-term marketable securities will be sufficient to fund our operations for at least one year from the date this Quarterly Report on Form 10-Q is filed. We have based these estimates on plans and assumptions that may prove to be insufficient or inaccurate (for example, with respect to anticipated costs, timing or success of certain activities), and we could utilize our available capital resources sooner than we currently expect. For example, although we implemented and substantially completed a workforce restructuring in the second quarter of 2023 as part of our broader efforts designed to reduce our operating expenses, we may not achieve the expected benefits of our cost preservation efforts on the expected timeline, or at all, and we could otherwise consume capital more rapidly than we currently anticipate. In addition,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under “Risk Factors” in Part II, Item 1A of this Quarterly Report on Form 10-Q. Nonetheless, in order to advance our current and potential future product candidates through development and to regulatory approval and commercialization, we need to raise significant additional capital and/or we need to enter into BD Arrangements to obtain funding or other resources for one or more of our wholly-owned programs. Neither may be possible and, as a result, we may need to significantly delay, scale back or discontinue development of or abandon some or all of our product candidates, or scale back or discontinue our discovery research efforts, any of which could have a material adverse effect on our business, operating results and prospects, or we may be required to cease operations altogether.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250"/>
                <wp:effectExtent l="0" t="0" r="0" b="0"/>
                <wp:wrapNone/>
                <wp:docPr id="33" name="Frame3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Sources of Liquidity</w:t>
      </w:r>
    </w:p>
    <w:p>
      <w:pPr>
        <w:pStyle w:val="TextBody"/>
        <w:bidi w:val="0"/>
        <w:spacing w:lineRule="auto" w:line="288" w:before="180" w:after="120"/>
        <w:jc w:val="both"/>
        <w:rPr>
          <w:rFonts w:ascii="Arial;sans-serif" w:hAnsi="Arial;sans-serif"/>
          <w:b/>
          <w:i/>
          <w:color w:val="000000"/>
          <w:sz w:val="20"/>
        </w:rPr>
      </w:pPr>
      <w:r>
        <w:rPr>
          <w:rFonts w:ascii="Arial;sans-serif" w:hAnsi="Arial;sans-serif"/>
          <w:b/>
          <w:i/>
          <w:color w:val="000000"/>
          <w:sz w:val="20"/>
        </w:rPr>
        <w:t>Cash and Investments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September 30, 2023, we had cash and cash equivalents of $51.5 million and short-term marketable securities of $114.6 million. </w:t>
      </w:r>
    </w:p>
    <w:p>
      <w:pPr>
        <w:pStyle w:val="TextBody"/>
        <w:bidi w:val="0"/>
        <w:spacing w:lineRule="auto" w:line="288" w:before="180" w:after="120"/>
        <w:jc w:val="both"/>
        <w:rPr>
          <w:rFonts w:ascii="Arial;sans-serif" w:hAnsi="Arial;sans-serif"/>
          <w:b/>
          <w:i/>
          <w:color w:val="000000"/>
          <w:sz w:val="20"/>
        </w:rPr>
      </w:pPr>
      <w:r>
        <w:rPr>
          <w:rFonts w:ascii="Arial;sans-serif" w:hAnsi="Arial;sans-serif"/>
          <w:b/>
          <w:i/>
          <w:color w:val="000000"/>
          <w:sz w:val="20"/>
        </w:rPr>
        <w:t>Merck Collaboration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revenue we receive under the Amended Collaboration Agreement with Merck is currently our only source of revenue. For the period that started on October 1, 2023 and ends on March 31, 2024, we expect to receive minimal funding from Merck. See “Overview of Our Business – Business Development and Merck Collaboration Updates” above.</w:t>
      </w:r>
    </w:p>
    <w:p>
      <w:pPr>
        <w:pStyle w:val="TextBody"/>
        <w:bidi w:val="0"/>
        <w:spacing w:lineRule="auto" w:line="288" w:before="180" w:after="120"/>
        <w:jc w:val="both"/>
        <w:rPr>
          <w:rFonts w:ascii="Arial;sans-serif" w:hAnsi="Arial;sans-serif"/>
          <w:b/>
          <w:i/>
          <w:color w:val="000000"/>
          <w:sz w:val="20"/>
        </w:rPr>
      </w:pPr>
      <w:r>
        <w:rPr>
          <w:rFonts w:ascii="Arial;sans-serif" w:hAnsi="Arial;sans-serif"/>
          <w:b/>
          <w:i/>
          <w:color w:val="000000"/>
          <w:sz w:val="20"/>
        </w:rPr>
        <w:t>Other Sources of Capital</w:t>
      </w:r>
    </w:p>
    <w:p>
      <w:pPr>
        <w:pStyle w:val="TextBody"/>
        <w:bidi w:val="0"/>
        <w:spacing w:lineRule="auto" w:line="288" w:before="120" w:after="120"/>
        <w:ind w:left="0" w:right="0" w:firstLine="720"/>
        <w:jc w:val="both"/>
        <w:rPr/>
      </w:pPr>
      <w:r>
        <w:rPr>
          <w:rFonts w:ascii="Arial;sans-serif" w:hAnsi="Arial;sans-serif"/>
          <w:b w:val="false"/>
          <w:color w:val="000000"/>
          <w:sz w:val="20"/>
        </w:rPr>
        <w:t>In June 2023, we entered into Amendment No. 1, or the Amendment, to the Open Market Sales Agreement</w:t>
      </w:r>
      <w:r>
        <w:rPr>
          <w:rFonts w:ascii="Arial;sans-serif" w:hAnsi="Arial;sans-serif"/>
          <w:b w:val="false"/>
          <w:color w:val="000000"/>
          <w:sz w:val="13"/>
        </w:rPr>
        <w:t>SM</w:t>
      </w:r>
      <w:r>
        <w:rPr>
          <w:rFonts w:ascii="Arial;sans-serif" w:hAnsi="Arial;sans-serif"/>
          <w:b w:val="false"/>
          <w:color w:val="000000"/>
          <w:sz w:val="20"/>
        </w:rPr>
        <w:t xml:space="preserve">, or the Sales Agreement, with Jefferies LLC, or Jefferies, and we refer to the Sales Agreement as amended as the Amended Sales Agreement. As of September 30, 2023, up to $100.0 million of the Company's common stock remained available to be sold through or to Jefferies under the Amended Sales Agreement, subject to conditions specified in the Amended Sales Agreement. We plan to finance our future cash needs through public or private equity or debt offerings, including under the Amended Sales Agreement, BD Arrangements or a combination of these potential financing sources. Additional capital may not be available in sufficient amounts, on reasonable terms or when we need it, if at all.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ability to raise additional capital through public or private equity or debt offerings may be adversely impacted by worsening global economic conditions and the disruptions to, and volatility in, the credit and financial markets in the United States and worldwide, and in the biotechnology industry specifically. While the long-term economic impact of either the COVID-19 pandemic or global geopolitical conflicts is difficult to assess or predict, each of these events has caused significant disruptions to the global financial markets and contributed to a general global economic slowdown.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Furthermore, higher inflation may result in increased operating costs (including labor costs) and may affect our operating budgets. In addition, the U.S. Federal Reserve has raised, and is expected to further raise, interest rates in response to concerns about inflation. Increases in interest rates, especially if coupled with reduced government spending and volatility in financial markets, may further increase economic uncertainty and heighten these risks. Moreover, the closures of Silicon Valley Bank, or SVB, and other banks in early 2023 have resulted in broader financial institution liquidity risk and concerns. Although we incurred no losses as a result of the closure of SVB or other banks, future adverse developments with respect to specific financial institutions or the broader financial services industry may lead to market-wide liquidity shortages that could materially harm our business and financial condition. In this regard, we continue to maintain our cash at SVB and other banks, often in balances that exceed the current FDIC insurance limits, and the failure of any bank in which we deposit our funds could reduce the amount of cash we have available for our operations or delay our ability to access such funds. Any such failure may increase the possibility of a sustained deterioration of financial market liquidity, or illiquidity at clearing, cash management and/or custodial financial institutions. In the event we have a commercial relationship with a bank that has failed or is otherwise distressed, we may experience delays or other issues in meeting our financial obligations. If other banks and financial institutions fail or become insolvent in the future in response to financial conditions affecting the banking system and financial markets, our ability to access our cash, cash equivalents and investments, including transferring funds, making payments or receiving funds may be threatened and our ability to raise additional capital could be substantially impaired, any of which could materially and adversely affect our business and financial condition. In any event, if the financial market disruptions and economic slowdown deepen or persist, we may not be able to access additional capital on favorable terms, or at all, which could negatively affect our financial condition and our ability to pursue our business strategy.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if we raise additional funds by issuing equity securities, our stockholders may experience dilution. Debt financing, if available, may involve restrictive covenants. Any debt financing or additional equity that we raise may contain terms that are not favorable to us or our stockholders. Furthermore, any securities that we may issue may have rights senior to those of our common stock and could contain covenants or protective rights that would lead to restrictions on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250"/>
                <wp:effectExtent l="0" t="0" r="0" b="0"/>
                <wp:wrapNone/>
                <wp:docPr id="34" name="Frame3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While we may consider BD Arrangements to advance development of our solid tumor oncology programs, we are seeking BD Arrangements with third-party partners to progress, in whole or in part, the development of one or more of our other programs whose further development is primarily dependent on our ability to secure potential future BD Arrangements. We believe that this strategy, if successfully implemented, may enable more of the product candidates in our pipeline to be advanced as effectively and efficiently as possible. If we are unable to secure BD Arrangements for NGM621 and our preclinical ophthalmology programs, aldafermin, NGM313 and NGM936, we may discontinue or abandon any or all of them altogether, in which case we will not realize any return on our investments in these programs. Even if we are successful in securing BD Arrangements for these or our solid tumor oncology programs, we will likely have limited control over the amount and timing of resources that our partners dedicate to the development or commercialization of the applicable product candidates. Our ability to generate revenue from any such BD Arrangement will depend on the specific terms of the BD Arrangement.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we are unable to raise adequate additional capital through public or private equity or debt offerings, BD Arrangements or otherwise, on acceptable terms or at all, we may be delayed in or prevented from pursuing our planned and any future development and commercialization efforts, which will have a material adverse effect on our business, operating results and prospects, or we may be required to cease operations altogether.</w:t>
      </w:r>
    </w:p>
    <w:p>
      <w:pPr>
        <w:pStyle w:val="TextBody"/>
        <w:bidi w:val="0"/>
        <w:spacing w:lineRule="auto" w:line="288" w:before="180" w:after="120"/>
        <w:jc w:val="both"/>
        <w:rPr>
          <w:rFonts w:ascii="Arial;sans-serif" w:hAnsi="Arial;sans-serif"/>
          <w:b/>
          <w:color w:val="000000"/>
          <w:sz w:val="20"/>
        </w:rPr>
      </w:pPr>
      <w:r>
        <w:rPr>
          <w:rFonts w:ascii="Arial;sans-serif" w:hAnsi="Arial;sans-serif"/>
          <w:b/>
          <w:color w:val="000000"/>
          <w:sz w:val="20"/>
        </w:rPr>
        <w:t>Cash Flow Activity</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cash flow activity for the periods indicated (in thousands):</w:t>
      </w:r>
    </w:p>
    <w:tbl>
      <w:tblPr>
        <w:tblW w:w="8124" w:type="dxa"/>
        <w:jc w:val="left"/>
        <w:tblInd w:w="0" w:type="dxa"/>
        <w:tblLayout w:type="fixed"/>
        <w:tblCellMar>
          <w:top w:w="28" w:type="dxa"/>
          <w:left w:w="28" w:type="dxa"/>
          <w:bottom w:w="28" w:type="dxa"/>
          <w:right w:w="28" w:type="dxa"/>
        </w:tblCellMar>
      </w:tblPr>
      <w:tblGrid>
        <w:gridCol w:w="1913"/>
        <w:gridCol w:w="1678"/>
        <w:gridCol w:w="1689"/>
        <w:gridCol w:w="211"/>
        <w:gridCol w:w="916"/>
        <w:gridCol w:w="109"/>
        <w:gridCol w:w="109"/>
        <w:gridCol w:w="109"/>
        <w:gridCol w:w="109"/>
        <w:gridCol w:w="211"/>
        <w:gridCol w:w="916"/>
        <w:gridCol w:w="154"/>
      </w:tblGrid>
      <w:tr>
        <w:trPr/>
        <w:tc>
          <w:tcPr>
            <w:tcW w:w="1913"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br/>
              <w:t>September 30,</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w:t>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(47,891)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Arial;sans-serif" w:hAnsi="Arial;sans-serif"/>
          <w:b/>
          <w:i/>
          <w:color w:val="000000"/>
          <w:sz w:val="20"/>
        </w:rPr>
      </w:pPr>
      <w:r>
        <w:rPr>
          <w:rFonts w:ascii="Arial;sans-serif" w:hAnsi="Arial;sans-serif"/>
          <w:b/>
          <w:i/>
          <w:color w:val="000000"/>
          <w:sz w:val="20"/>
        </w:rPr>
        <w:t xml:space="preserve">Operating Activities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nine months ended September 30, 2023, net cash used in operating activities was $109.2 million, which consisted of a net loss of $114.7 million, adjusted for non-cash charges of $22.3 million and a change in operating assets and liabilities of $16.8 million. The non-cash charges consisted primarily of stock-based compensation expense of $22.4 million. The change in operating assets and liabilities was mainly driven by decreases in accrued liabilities of $17.9 million, a related party receivable of $7.6 million, operating lease liability of $4.0 million, accounts payable of $3.2 million and prepaid expenses and other current assets of $1.0 million.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nine months ended September 30, 2022, net cash used in operating activities was $114.0 million, which consisted of a net loss of $126.2 million, adjusted for non-cash charges of $29.9 million and a change in operating assets and liabilities of $17.7 million. The non-cash charges consisted primarily of stock-based compensation expense of $23.6 million and depreciation expense of $3.4 million. The change in operating assets and liabilities was mainly driven by decreases in contract liabilities of $10.8 million, operating lease liability of $3.8 million and accounts payable of $1.7 million.</w:t>
      </w:r>
    </w:p>
    <w:p>
      <w:pPr>
        <w:pStyle w:val="TextBody"/>
        <w:bidi w:val="0"/>
        <w:spacing w:lineRule="auto" w:line="288" w:before="180" w:after="120"/>
        <w:jc w:val="both"/>
        <w:rPr>
          <w:rFonts w:ascii="Arial;sans-serif" w:hAnsi="Arial;sans-serif"/>
          <w:b/>
          <w:i/>
          <w:color w:val="000000"/>
          <w:sz w:val="20"/>
        </w:rPr>
      </w:pPr>
      <w:r>
        <w:rPr>
          <w:rFonts w:ascii="Arial;sans-serif" w:hAnsi="Arial;sans-serif"/>
          <w:b/>
          <w:i/>
          <w:color w:val="000000"/>
          <w:sz w:val="20"/>
        </w:rPr>
        <w:t>Investing Activities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nine months ended September 30, 2023, net cash provided by investing activities was $87.1 million, which consisted primarily of $160.0 million in net proceeds on maturity of marketable securities, partially offset by purchases of marketable securities of $71.8 million.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nine months ended September 30, 2022, net cash provided by investing activities was $12.6 million, which consisted primarily of $186.5 million in net proceeds on maturity of marketable securities, partially offset by purchases of marketable securities of $172.5 million.</w:t>
      </w:r>
    </w:p>
    <w:p>
      <w:pPr>
        <w:pStyle w:val="TextBody"/>
        <w:bidi w:val="0"/>
        <w:spacing w:lineRule="auto" w:line="288" w:before="180" w:after="120"/>
        <w:jc w:val="both"/>
        <w:rPr>
          <w:rFonts w:ascii="Arial;sans-serif" w:hAnsi="Arial;sans-serif"/>
          <w:b/>
          <w:i/>
          <w:color w:val="000000"/>
          <w:sz w:val="20"/>
        </w:rPr>
      </w:pPr>
      <w:r>
        <w:rPr>
          <w:rFonts w:ascii="Arial;sans-serif" w:hAnsi="Arial;sans-serif"/>
          <w:b/>
          <w:i/>
          <w:color w:val="000000"/>
          <w:sz w:val="20"/>
        </w:rPr>
        <w:t>Financing Activities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the nine months ended September 30, 2023, net cash provided by financing activities consisted of proceeds from our employee equity incentive and employee stock purchase plans. In the nine months ended September 30, 2022, net cash provided by financing activities consisted of net proceeds of $49.4 million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250"/>
                <wp:effectExtent l="0" t="0" r="0" b="0"/>
                <wp:wrapNone/>
                <wp:docPr id="35" name="Frame3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sale of shares of our common stock under the Sales Agreement and proceeds of $4.1 million from our employee equity incentive and employee stock purchase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contractual obligations related to our lease liabilities. In July 2022, we entered into the 2024 Lease Agreement for the corporate office space and facilities in South San Francisco, California that we currently occupy pursuant to a sublease agreement scheduled to expire on December 31, 2023. The initial term of the 2024 Lease Agreement will commence on January 1, 2024 and expire on December 31, 2033. Base rent during the initial ten-year term of the 2024 Lease Agreement will total $124.1 million. See Note 6 to our condensed consolidated financial statements included in Part I, Item 1,“Financial Statements” of this Quarterly Report on Form 10-Q for additional information.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enter into agreements in the normal course of business with CROs for clinical trials, CMOs and other vendors for preclinical studies, supplies, manufacturing and other services and products for operating purposes. These agreements are generally cancellable at any time by us, upon prior written notice, and may or may not include cancellation fees. Given that the amount and timing related to such payments are uncertain, they are not considered to be contractual obligations. As of September 30, 2023, we had not accrued for any termination or cancellation charges for any of these agreements as these were not considered probable. See "Liquidity and Capital Resources - Funding Requirements" above for information regarding our expected R&amp;D spend.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are obligated to make future payments to third parties under in-license agreements, including sublicense fees, low single-digit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condensed consolidated balance sheets and are not considered to be contractual obligations. See "Business - Licensing and Collaboration Arrangements" in Part I, Item 1 of our 2022 Annual Report on Form 10-K for additional information regarding our current in-license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Our management’s discussion and analysis of our financial condition and results of operations is based on our unaudited condensed consolidated financial statements, which we have prepared in accordance with U.S. generally accepted accounting principles, or U.S. GAAP. The preparation of our unaudited condensed consolidated financial statements requires us to make estimates and assumptions that affect the reported amounts of assets and liabilities and the disclosure of contingent assets and liabilities at the date of our condensed consolidated financial statements, as well as revenue and expenses during the reported periods. We evaluate these estimates and judgments on an ongoing basis. In accordance with U.S. GAAP,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We believe that there have been no significant changes in our critical accounting policies and estimates disclosed in our 2022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See Note 2 to our condensed consolidated financial statements included in Part I, Item 1, “Financial Statements,” of this Quarterly Report on Form 10-Q for a description of recent accounting pronouncements applicable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During the nine months ended September 30, 2023, there were no material changes to our market risk disclosures as set forth in Part II, Item 7A “Quantitative and Qualitative Disclosures About Market Risk” in our 2022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250"/>
                <wp:effectExtent l="0" t="0" r="0" b="0"/>
                <wp:wrapNone/>
                <wp:docPr id="36" name="Frame3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of September 30, 2023, management, with the participation of our Chief Executive Officer and Chief Financial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September 30, 2023, the design and operation of our disclosure controls and procedures were effective at a reasonable assurance level.</w:t>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During the quarter ended September 30, 2023, there have been no changes to our internal control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250"/>
                <wp:effectExtent l="0" t="0" r="0" b="0"/>
                <wp:wrapNone/>
                <wp:docPr id="37" name="Frame3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are not currently a party to any material litigation or other material legal proceedings.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lineRule="auto" w:line="288" w:before="240" w:after="120"/>
        <w:ind w:left="0" w:right="0" w:firstLine="720"/>
        <w:jc w:val="both"/>
        <w:rPr>
          <w:rFonts w:ascii="Arial;sans-serif" w:hAnsi="Arial;sans-serif"/>
          <w:b w:val="false"/>
          <w:i/>
          <w:color w:val="000000"/>
          <w:sz w:val="20"/>
        </w:rPr>
      </w:pPr>
      <w:r>
        <w:rPr>
          <w:rFonts w:ascii="Arial;sans-serif" w:hAnsi="Arial;sans-serif"/>
          <w:b w:val="false"/>
          <w:i/>
          <w:color w:val="000000"/>
          <w:sz w:val="20"/>
        </w:rPr>
        <w:t>An investment in our common stock involves a high degree of risk. You should carefully consider the risks and uncertainties described below before deciding whether to make an investment decision with respect to our common stock. You should also refer to the other information contained in this Quarterly Report on Form 10-Q, including in Part I, Item 2, “Management’s Discussion and Analysis of Financial Condition and Results of Operations” and in our condensed consolidated financial statements and related notes, as well as our other filings with the U.S. Securities and Exchange Commission, or SEC. Our business, financial condition, results of operations, stock price and prospects could be materially and adversely affected by any of these risks or uncertainties. In any such case, the trading price of our common stock could decline, and you could lose all or part of your investment. We caution you that the risks, uncertainties and other factors referred to below and elsewhere in this Quarterly Report on Form 10-Q may not contain all of the risks, uncertainties and other factors that may affect our future results and operations. Additional risks and uncertainties not presently known to us or that we currently deem immaterial may also impair our business operations and the market price of our common stock. Moreover, new risks will emerge from time to time. It is not possible for our management to predict all risks.</w:t>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Risk Factor Summary</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Below is a summary of material factors that make an investment in our common stock speculative or risky. Importantly, this summary does not address all of the risks and uncertainties that we face. Additional discussion of the risks and uncertainties summarized in this risk factor summary, as well as other risks and uncertainties that we face, can be found immediately following this risk factor summary. The below summary is qualified in its entirety by that more complete discussion of such risks and uncertainties. You should carefully consider the risks and uncertainties described immediately following this risk factor summary as part of your evaluation of an investment in our common stock.</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need to successfully complete rigorous preclinical and clinical testing of our product candidates before we can seek regulatory approval, and the regulatory approval processes of the U.S. Food and Drug Administration, or FDA, and comparable foreign health authorities are lengthy and inherently unpredictable, and if we are not successful at each step of the process, commercialization of our product candidates will be delayed or prevented.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product candidates are in early stages of development, with our most advanced product candidates only in Phase 2 development.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product candidates may fail to demonstrate safety and efficacy in ongoing and future clinical trials, may never achieve regulatory approval and, even if approved, may not be able to be successfully commercialized due to competition or other factors.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have incurred net losses every year since our inception, we have no meaningful source of revenue, we expect to continue to incur significant operating losses and we may never become profitable.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All of our revenue for recent periods has been received from a single collaboration partner, Merck Sharp &amp; Dohme LLC, or Merck, and that revenue will be minimal for the remainder of 2023 and in 2024.</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need significant additional capital to proceed with development and commercialization of our current and potential future product candidates and to finance our other operations, and that additional capital may not be available to us on acceptable terms, or at all; as a result, we may need to significantly delay, scale back or discontinue development of or abandon some or all of our product candidates, or scale back or discontinue our discovery research efforts, or we may be required to cease operations altogether.</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may depend in the future on collaboration, out-licensing, partnership or other business development arrangements, or BD Arrangements, with third-party partners for the development and commercialization of our product candidates and for revenue and, if we are unable to secure those BD Arrangements, or if any future BD Arrangements are not successful, we may not be able to capitalize on the market potential of our product candidates or continue their development. BD Arrangements involve numerous risks, any of which could materially and adversely affect our business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250"/>
                <wp:effectExtent l="0" t="0" r="0" b="0"/>
                <wp:wrapNone/>
                <wp:docPr id="38" name="Frame3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While we may consider BD Arrangements to advance development of our solid tumor oncology programs, we are seeking BD Arrangements with third-party partners to progress, in whole or in part, the development of one or more of our other programs whose further development is primarily dependent on our ability to secure potential future BD Arrangements, and if we are unable to secure BD Arrangements to support these programs, which include NGM621, aldafermin, NGM313 (MK-3655) and NGM936, we are unlikely to be able to advance their development unless our portfolio prioritization changes and we are able to secure the additional capital necessary to fund such development. We may discontinue or abandon any or all of our programs altogether, in which case we will not realize any return on our investments in those programs.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may not be able to obtain and maintain other relationships with third-party partners and service providers that are necessary to develop, manufacture and commercialize some or all of our product candidates.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rely completely on contract manufacturers for the manufacture of our product candidates and the process of manufacturing, and conducting release testing for, our biologic product candidates is complex, highly regulated and subject to many risks, any of which could substantially increase our costs and limit supply of our product candidates and any future products needed for clinical trials and commercialization.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may not successfully identify new product candidates to expand our development pipeline.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future success depends in part on our ability to attract and retain highly skilled employees, including members of our senior management team.</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face substantial competition, which may result in others discovering, developing or commercializing products before, or more successfully than, us.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success depends in significant part upon our ability to obtain and maintain intellectual property protection for our products and technologies.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principal stockholders, including entities affiliated with The Column Group, Merck and our management, own a substantial percentage of our stock and will be able to exert significant control over matters subject to stockholder approval.</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We or third parties we rely on or partner with could experience a cybersecurity incident that could harm our business.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market price of our common stock has been and may continue to be volatile, and you could lose all or part of your investment.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continue to incur increased costs as a result of operating as a public company and our management devotes substantial time to public company compliance initiatives; for example, we are obligated to develop and maintain proper and effective internal control over financial reporting and to comply with the requirements of Section 404 of the Sarbanes-Oxley Act of 2002, or the Sarbanes-Oxley Act.</w:t>
      </w:r>
    </w:p>
    <w:p>
      <w:pPr>
        <w:pStyle w:val="TextBody"/>
        <w:bidi w:val="0"/>
        <w:spacing w:lineRule="auto" w:line="288" w:before="240" w:after="120"/>
        <w:ind w:left="0" w:right="0" w:hanging="360"/>
        <w:jc w:val="center"/>
        <w:rPr>
          <w:rFonts w:ascii="Arial;sans-serif" w:hAnsi="Arial;sans-serif"/>
          <w:b/>
          <w:color w:val="000000"/>
          <w:sz w:val="20"/>
        </w:rPr>
      </w:pPr>
      <w:r>
        <w:rPr>
          <w:rFonts w:ascii="Arial;sans-serif" w:hAnsi="Arial;sans-serif"/>
          <w:b/>
          <w:color w:val="000000"/>
          <w:sz w:val="20"/>
        </w:rPr>
        <w:t>Risks Related to Our Financial Condition and Capital Needs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have incurred net losses every year since our inception and have no meaningful source of revenue. We expect to continue to incur significant operating losses and may never become profitable.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no products approved for commercial sale and have not generated any revenue from product sales to date. As a result, we are not profitable and have incurred losses in each year since commencing operations. Our net losses were $162.7 million, $120.3 million and $102.5 million for the years ended December 31, 2022, 2021 and 2020, respectively. As of September 30, 2023, we had an accumulated deficit of $696.3 million. </w:t>
      </w:r>
    </w:p>
    <w:p>
      <w:pPr>
        <w:pStyle w:val="TextBody"/>
        <w:bidi w:val="0"/>
        <w:spacing w:lineRule="auto" w:line="288" w:before="120" w:after="120"/>
        <w:ind w:left="0" w:right="0" w:firstLine="720"/>
        <w:jc w:val="both"/>
        <w:rPr/>
      </w:pPr>
      <w:r>
        <w:rPr>
          <w:rFonts w:ascii="Arial;sans-serif" w:hAnsi="Arial;sans-serif"/>
          <w:b w:val="false"/>
          <w:color w:val="000000"/>
          <w:sz w:val="20"/>
        </w:rPr>
        <w:t>We expect to continue to incur significant research and development, or R&amp;D, and other expenses related to our ongoing operations for the foreseeable future, particularly to fund R&amp;D of, and to seek regulatory approvals for, our product candidates. We incurred substantial net operating losses in 2022 and expect to continue to incur significant operating losses in 2023 and over the next several years as our research, development, manufacturing, preclinical studies, clinical trial and related activities continue. We expect our accumulated deficit will also increase in future periods. The size of our future net losses will depend, in part, on the amount of our expenses and our ability to generate revenue. All of our revenue from recent periods has been provided from Merck under the amended and restated research collaboration, product development and license agreement we entered into with Merck on June 30, 2021, or the Amended Collaboration Agreement. That revenue is substantially lower in 2023 than in 2022 and prior years and will be minimal thereafter. See the risk factor titled “</w:t>
      </w:r>
      <w:r>
        <w:rPr>
          <w:rFonts w:ascii="Arial;sans-serif" w:hAnsi="Arial;sans-serif"/>
          <w:b w:val="false"/>
          <w:i/>
          <w:color w:val="000000"/>
          <w:sz w:val="20"/>
        </w:rPr>
        <w:t>All of our revenue for recent periods has been received from a single collaboration partner, and that revenue will be minimal for the remainder of 2023 and in 2024.</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250"/>
                <wp:effectExtent l="0" t="0" r="0" b="0"/>
                <wp:wrapNone/>
                <wp:docPr id="39" name="Frame3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prior losses and expected future losses have had and will continue to have an adverse effect on our stockholders’ equity and working capital.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we will not be able to generate product revenue unless and until one of our product candidates successfully completes clinical trials, receives regulatory approval and is successfully commercialized. As our product candidates are in Phase 2 trials or in earlier stages of development, we do not expect to receive product revenue from our product candidates for a number of years, if ever.</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ability to generate any product revenue from our current or future product candidates also depends on a number of additional factors, including our ability or the ability of any potential future third-party partner to:</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successfully complete research and clinical development of current and future product candidates and obtain regulatory approval for those product candidates;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establish and maintain supply and manufacturing relationships with third parties, and ensure adequate, scaled up and legally compliant manufacturing of bulk drug substances and drug products to maintain sufficient supply;</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launch and commercialize any product candidates for which marketing approval is obtained, if any, and, if launched independently by us without a partner, successfully establish a sales force and marketing and distribution infrastructure;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demonstrate the necessary safety data (and, if accelerated approval is obtained, verify the clinical benefit) post-approval to ensure continued regulatory approval;</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obtain coverage and adequate product reimbursement from third-party payors, including government payors, for any approved products;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achieve market acceptance for any approved products;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establish, maintain, protect and enforce our intellectual property rights; and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attract, hire and retain qualified personnel.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Because of the numerous risks and uncertainties associated with pharmaceutical product development, including that our product candidates may not advance through development or be approved for commercial sale, we are unable to predict if or when we will generate product revenue or achieve or maintain profitability.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Even if we successfully complete development and regulatory processes for any product candidates that we take forward, we anticipate incurring significant costs associated with launching and commercializing any approved products. If we fail to become profitable or do not sustain profitability on a continuing basis, we may be unable to continue our operations at planned levels and be forced to reduce or cease our operations.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All of our revenue for recent periods has been received from a single collaboration partner, and that revenue will be minimal for the remainder of 2023 and in 2024.</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do not have any committed external source of funds, other than pursuant to our collaboration with Merck, which has provided us with substantial financial support since 2015. However, as described under “Management’s Discussion and Analysis of Financial Condition and Results of Operations-Overview of Our Business-Business Development and Merck Collaboration Updates” in Part I, Item 2 of this Quarterly Report on Form 10-Q, in 2023 the R&amp;D funding we have received from Merck under the collaboration has been substantially lower than the R&amp;D funding previously provided by Merck. For the period that started on October 1, 2023 and ends on March 31, 2024, we expect to receive minimal funding from Merck for the ongoing activities under the Amended Collaboration Agreement.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will need to devote a substantial amount of our own financial resources to our R&amp;D programs, particularly with respect to our wholly-owned programs that now include all of our ophthalmology programs and NGM313. In addition, our funding requirements would increase for any preclinical programs that remain within the scope of the collaboration in the event Merck does not elect to license these programs and we decide to continue them, in the event Merck elects to terminate its license to any program it licenses and we decide to continue it or in the event we opt to co-develop any Merck-licensed programs. For example, as a result of Merck’s decision not to exercise its option to license NGM621 and its related compounds, as described below, NGM621 and its related compounds are now wholly-owned by us. Further development of NGM621 is primarily dependent on our ability to secure potential future BD Arrangements with third-party partners and, in the absence of such BD Arrangements, we are unlikely to be able to advance development of NGM621 unless our portfolio prioritization changes and we are able to secure the additional capital necessary to fund such development. In addition, as a result of Merck's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250"/>
                <wp:effectExtent l="0" t="0" r="0" b="0"/>
                <wp:wrapNone/>
                <wp:docPr id="40" name="Frame4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decision to terminate its license to NGM313 and its related compounds, the license rights granted to Merck in 2018 with respect to NGM313 reverted to us and the program is now wholly-owned by us. Further development of NGM313 is also primarily dependent on our ability to secure potential future BD Arrangements and, in the absence of such BD Arrangements, we are unlikely to be able to advance development of NGM313 unless our portfolio prioritization changes and we are able to secure the additional capital necessary to fund such development.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Other than our Amended Collaboration Agreement with Merck, which is limited in funding, scope and duration, and may be unilaterally terminated by Merck under certain circumstances, we are not party to any agreements that could provide us with future revenue. Accordingly, in order to advance our current and potential future product candidates through development and to regulatory approval and commercialization, we need to raise significant additional capital and/or we will need to enter into BD Arrangements to obtain funding or other resources for one or more of our wholly-owned programs. Neither may be possible and, as a result, we may need to significantly delay, scale back or discontinue development of or abandon some or all of our product candidates, or scale back or discontinue our discovery research efforts, any of which could have a material adverse effect on our business, operating results and prospects, or we may be required to cease operations altogether.</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 xml:space="preserve">We need significant additional capital to proceed with development and commercialization of our current and potential future product candidates and our other operations. We may not be able to access sufficient capital on acceptable terms, if at all, and, as a result, we may need to significantly delay, scale back or discontinue development of or abandon some or all of our product candidates, or scale back or discontinue our discovery research efforts, any of which could have a material adverse effect on our business, operating results and prospects, or we may be required to cease operations altogether.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an R&amp;D company, our operations have consumed substantial amounts of cash since inception, and we need substantial additional capital to finance our operations and pursue our strategy, both in the short and the long term, and the amount of funding we will need depends on many factors, including:</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initiation, progress, timing, delays, costs and results of preclinical studies and clinical trials for our current and future product candidates;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outcome, timing and cost of seeking and obtaining regulatory approvals from the FDA and comparable foreign health authorities, including the potential for such authorities to require that we perform more studies than those that we currently expect or to change their requirements on studies that had previously been agreed to;</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cost and timing of selecting, auditing and potentially validating a manufacturing site for later-stage clinical and commercial-scale manufacturing;</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effect of products that may compete with our product candidates or other market developments;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market acceptance of any approved product candidates, including product pricing and product reimbursement by third-party payors;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whether Merck exercises its option to license any preclinical candidates that remain within the scope of the collaboration at the license option point as specified in the Amended Collaboration Agreement for each such candidate;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whether Merck terminates the research phase of the collaboration under pre-specified circumstances set forth in the Amended Collaboration Agreement or terminates a program that it has licensed, such as its decision to terminate its license for NGM313 and its related compounds;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cost of potentially acquiring, licensing or investing in additional businesses, products, product candidates and technologies;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cost of establishing sales, marketing and distribution capabilities for any of our product candidates for which we may receive regulatory approval and that we determine to commercialize ourselves or in collaboration with partners.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believe that our existing cash, cash equivalents and short-term marketable securities will be sufficient to fund our operations for at least one year from the date this Quarterly Report on Form 10-Q is filed. We have based these estimates on plans and assumptions that may prove to be insufficient or inaccurate (for example, with respect to anticipated costs, timing or success of certain activities), and we could utilize our available capital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250"/>
                <wp:effectExtent l="0" t="0" r="0" b="0"/>
                <wp:wrapNone/>
                <wp:docPr id="41" name="Frame4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sooner than we currently expect. For example, although we implemented and substantially completed a workforce restructuring in the second quarter of 2023 as part of our broader efforts designed to reduce our operating expenses, we may not achieve the expected benefits of our cost preservation efforts on the expected timeline, or at all, and we could otherwise consume capital more rapidly than we currently anticipate. In addition,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elsewhere in this “Risk Factors” section.</w:t>
      </w:r>
    </w:p>
    <w:p>
      <w:pPr>
        <w:pStyle w:val="TextBody"/>
        <w:bidi w:val="0"/>
        <w:spacing w:lineRule="auto" w:line="288" w:before="120" w:after="120"/>
        <w:ind w:left="0" w:right="0" w:firstLine="720"/>
        <w:jc w:val="both"/>
        <w:rPr/>
      </w:pPr>
      <w:r>
        <w:rPr>
          <w:rFonts w:ascii="Arial;sans-serif" w:hAnsi="Arial;sans-serif"/>
          <w:b w:val="false"/>
          <w:color w:val="000000"/>
          <w:sz w:val="20"/>
        </w:rPr>
        <w:t>On June 7, 2023, we entered into Amendment No. 1, or the Amendment, to the Open Market Sales Agreement</w:t>
      </w:r>
      <w:r>
        <w:rPr>
          <w:rFonts w:ascii="Arial;sans-serif" w:hAnsi="Arial;sans-serif"/>
          <w:b w:val="false"/>
          <w:color w:val="000000"/>
          <w:sz w:val="13"/>
        </w:rPr>
        <w:t>SM</w:t>
      </w:r>
      <w:r>
        <w:rPr>
          <w:rFonts w:ascii="Arial;sans-serif" w:hAnsi="Arial;sans-serif"/>
          <w:b w:val="false"/>
          <w:color w:val="000000"/>
          <w:sz w:val="20"/>
        </w:rPr>
        <w:t xml:space="preserve">, or the Sales Agreement, with Jefferies LLC, or Jefferies, and we refer to the Sales Agreement as amended as the Amended Sales Agreement. In connection with the Amendment, we filed a new shelf registration statement on Form S-3 which the SEC declared effective on August 4, 2023. The Amended Sales Agreement provides for the issuance and sales of shares of our common stock having an aggregate offering price of up to $100.0 million through or to Jefferies.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plan to finance our future cash needs through public or private equity or debt offerings, including under the Amended Sales Agreement, BD Arrangements or a combination of these potential financing sources. Additional capital may not be available in sufficient amounts, on reasonable terms or when we need it, if at all. While the long-term economic impact of either the COVID-19 pandemic or global geopolitical conflicts is difficult to assess or predict, each of these events has caused significant disruptions to the global financial markets and contributed to a general global economic slowdown. Furthermore, higher inflation may result in increased operating costs (including labor costs) and may affect our operating budgets. In addition, the U.S. Federal Reserve has raised, and is expected to further raise, interest rates in response to concerns about inflation. Increases in interest rates, especially if coupled with reduced government spending and volatility in financial markets, may further increase economic uncertainty and heighten these risks. Moreover, the closures of Silicon Valley Bank, or SVB, and other banks in early 2023 have resulted in broader financial institution liquidity risk and concerns. Although we incurred no losses as a result of the closure of SVB or other banks, future adverse developments with respect to specific financial institutions or the broader financial services industry may lead to market-wide liquidity shortages that could materially harm our business and financial condition. In this regard, we continue to maintain our cash at SVB and other banks, often in balances that exceed the current FDIC insurance limits, and the failure of any bank in which we deposit our funds could reduce the amount of cash we have available for our operations or delay our ability to access such funds. Any such failure may increase the possibility of a sustained deterioration of financial market liquidity, or illiquidity at clearing, cash management and/or custodial financial institutions. In the event we have a commercial relationship with a bank that has failed or is otherwise distressed, we may experience delays or other issues in meeting our financial obligations. If other banks and financial institutions fail or become insolvent in the future in response to financial conditions affecting the banking system and financial markets, our ability to access our cash, cash equivalents and investments, including transferring funds, making payments or receiving funds may be threatened and our ability to raise additional capital could be substantially impaired, any of which could materially and adversely affect our business and financial condition. In any event, if the financial market disruptions and economic slowdown deepen or persist, we may not be able to access additional capital on favorable terms, or at all, which could negatively affect our financial condition and our ability to pursue our business strategy.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adequate funds are not available from public or private equity or debt offerings on acceptable terms, in order to continue the development of product candidates outside of the scope of the collaboration with Merck we may need to:</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seek strategic alliances for R&amp;D programs when we otherwise would not, at an earlier stage than we would otherwise desire or on terms less favorable than might otherwise be available; or</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enter into BD Arrangements that could require us to relinquish, or license, on potentially unfavorable terms, our rights to intellectual property, product candidates or products that we otherwise would develop or seek to commercialize ourselves.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this regard, due to the need to conserve capital and prioritize focused execution, we are seeking BD Arrangements with third-party partners with sufficient resources and relevant domain expertise in order to further the clinical development, if any, of NGM621, aldafermin, NGM313 and NGM936. Further development of these programs, which are in therapeutic areas where clinical development is relatively resource intensive and can have long timelines to generate proof-of-concept data, is primarily dependent on our ability to secure potential future BD Arrangements. However, we may not be able to enter into such BD Arrangements on acceptable terms, if at all. We face significant competition in seeking appropriate partners. Whether we reach a definitive agreement for a BD Arrangement will depend, among other things, upon the potential partner’s evaluation of the subject product candidate and its market opportunity, our assessment of the partner’s resources and expertise and the terms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250"/>
                <wp:effectExtent l="0" t="0" r="0" b="0"/>
                <wp:wrapNone/>
                <wp:docPr id="42" name="Frame4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conditions of the potential BD Arrangement. In the absence of such BD Arrangements for these programs, we are unlikely to be able to advance their development unless our portfolio prioritization changes and we are able to secure the additional capital necessary to fund such development.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are also restricted under our existing Amended Collaboration Agreement with Merck, and may be restricted under future BD Arrangements, from entering into additional agreements on certain terms with potential partners. For example, under the current terms of the Amended Collaboration Agreement, we may not directly or indirectly research, develop, manufacture or commercialize, except pursuant to the Amended Collaboration Agreement, any medicine or product candidate that modulates a target then subject to the collaboration with specified activity. In addition, under the Amended Collaboration Agreement, we are prohibited from, directly or indirectly, researching, developing or commercializing any product for the treatment of heart failure with preserved ejection fraction during the research phase for the cardiovascular or metabolic-, or CVM-, related programs.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may not be able to raise adequate additional capital or negotiate potential future BD Arrangements on a timely basis, on acceptable terms or at all. If we are unable to do so, we may need to significantly delay, scale back or discontinue development of or abandon some or all of our product candidates, or scale back or discontinue our discovery research efforts, any of which could have a material adverse effect on our business, operating results and prospects, or we may be required to cease operations altogether.</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Raising additional capital may cause dilution to our existing stockholders, lead to restrictions on our operations or require us to relinquish rights to our product candidates or intellectual property.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we raise additional funds by issuing equity securities, our stockholders may experience dilution. Debt financing, if available, may involve restrictive covenants. Any debt financing or additional equity that we raise may contain terms that are not favorable to us or our stockholders. Our ability to raise capital may be adversely impacted by the trading prices of our common stock given our stock price performance over the past year. Furthermore, any securities that we may issue may have rights senior to those of our common stock and could contain covenants or protective rights that would lead to restrictions on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Risks Related to Our Dependence on Third Parties</w:t>
      </w:r>
    </w:p>
    <w:p>
      <w:pPr>
        <w:pStyle w:val="TextBody"/>
        <w:bidi w:val="0"/>
        <w:spacing w:lineRule="auto" w:line="288" w:before="180" w:after="120"/>
        <w:jc w:val="both"/>
        <w:rPr>
          <w:rFonts w:ascii="Arial;sans-serif" w:hAnsi="Arial;sans-serif"/>
          <w:b/>
          <w:i/>
          <w:color w:val="000000"/>
          <w:sz w:val="20"/>
        </w:rPr>
      </w:pPr>
      <w:r>
        <w:rPr>
          <w:rFonts w:ascii="Arial;sans-serif" w:hAnsi="Arial;sans-serif"/>
          <w:b/>
          <w:i/>
          <w:color w:val="000000"/>
          <w:sz w:val="20"/>
        </w:rPr>
        <w:t>Funding from Merck under the collaboration going forward is expected to be minimal, and we may never realize the anticipated benefits to us of the collaboration.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described in more detail under “Business-Licensing and Collaboration Arrangements-Merck Collaboration” in Part I, Item 1 of our 2022 Annual Report on Form 10-K and under “Management’s Discussion and Analysis of Financial Condition and Results of Operations-Overview of Our Business-Business Development and Merck Collaboration Updates” in Part I, Item 2 of this Quarterly Report on Form 10-Q, our continuing Merck collaboration involves a complex allocation of rights, provides for certain limited R&amp;D funding and, for remaining collaboration preclinical candidates for which Merck exercises its license option, if any, provides us with either milestone payments based on the achievement of specified clinical development, regulatory and commercial milestones and royalty-based revenue if certain product candidates are successfully commercialized or a cost and profit share arrangement with the possibility that we would provide sales representatives to co-detail the product candidates that Merck elects to advance in the United States.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2023, the R&amp;D funding we have received from Merck under the Amended Collaboration Agreement has been limited. For the period that started on October 1, 2023 and ends on March 31, 2024, we expect to receive minimal funding from Merck under the Amended Collaboration Agreement.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January 2023, we announced that Merck notified us of its decision to terminate the Phase 2b trial of NGM313 in patients with nonalcoholic steatohepatitis, or NASH, and liver fibrosis stage 2 or 3, or F2/F3, and Merck subsequently provided us with the required 90-days' notice of partial termination of the Amended Collaboration Agreement as it relates to NGM313 and its related compounds. As a result, in April 2023, the license rights granted to Merck in 2018 with respect to NGM313 reverted to us and the program is now wholly-owned by us. Further development of NGM313 is primarily dependent on our ability to secure potential future BD Arrangements. We have not yet received the full set of clinical data from the terminated Phase 2b trial from Merck, other than the topline data previously disclosed, and we will need to access and analyze that data in order to pursue such BD Arrangements. In the absence of such BD Arrangements, we are unlikely to be able to advance development of NGM313 unless our portfolio prioritization changes and we are able to secure the additional capital necessary to fund such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250"/>
                <wp:effectExtent l="0" t="0" r="0" b="0"/>
                <wp:wrapNone/>
                <wp:docPr id="43" name="Frame4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Similarly, in October 2022, we announced that our Phase 2 CATALINA trial evaluating NGM621 in patients with geographic atrophy, or GA, secondary to age-related macular degeneration, or AMD, did not meet its primary endpoint and, in December 2022, Merck notified us that it would not exercise its option to license NGM621 and its related compounds or the related ophthalmology bundle option and, as a result, those options expired unexercised in January 2023. Further, Merck did not elect for us to continue to conduct R&amp;D during an extended or tail period on any compounds from our other ophthalmology programs that were subject to the collaboration. Because Merck did not make such an election, we do not have any funding from Merck to pursue such ophthalmology programs after we complete certain wind down activities related to NGM621, and if we choose to develop these programs further, we will be responsible for funding them. As a result, while our ophthalmology programs, including NGM621, are now wholly-owned by us, further development of those programs is primarily dependent on our ability to secure potential future BD Arrangements and, in the absence of such BD Arrangements, we are unlikely to be able to advance development of NGM621 or the preclinical ophthalmology programs unless our portfolio prioritization changes and we are able to secure the additional capital necessary to fund such development.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do not know whether Merck will elect to exercise its option to license any CVM-related preclinical candidates that remain subject to the collaboration. Accordingly, the anticipated benefits to us of the collaboration with Merck may never be realized and it is possible that the Amended Collaboration Agreement will be terminated without Merck exercising its option to license any other programs or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Moreover, under the Amended Collaboration Agreement, Merck has the unilateral right to terminate all or part of the agreement at certain times and under certain circumstances. Merck also may unilaterally terminate its R&amp;D funding for programs that remain within the scope of the collaboration if we are acquired by a third party or in the event of an uncured material breach by us. Subject to certain limitations, Merck may partially terminate the Amended Collaboration Agreement for convenience as it relates to any future licensed program, as they did with respect to NGM313 in April 2023 and with respect to our growth differentiation factor 15, or GDF15, agonist program, which included product candidates NGM395 and NGM386, in 2019. Merck may also unilaterally terminate the Amended Collaboration Agreement as it relates to its rights to research and develop small molecule compounds. It may also unilaterally terminate the Amended Collaboration Agreement with respect to a specific licensed program in the event of an uncured material breach by us. If Merck terminates a program as a result of our uncured material breach, then we would lose our option to participate in a global cost and profit share arrangement if not yet exercised as of the time of termination and lose our co-detailing option (whether or not exercised as of that time) for the relevant licensed program.</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Merck terminates funding or terminates the Amended Collaboration Agreement, it could delay or preclude our ability to further our CVM-related research programs, which could materially and adversely affect our business. In addition, in the event that Merck decides to take over any CVM-related preclinical candidates that remain within the scope of the collaboration for development during any tail period, or exercises its license option for any such preclinical candidate, we could be subject to disputes with Merck with respect to their obligation to use commercially reasonable efforts with respect to the development and commercialization of the affected product candidate, and we could otherwise be subject to disputes with Merck over the scope of the parties’ respective rights under the Amended Collaboration Agreement, any of which could delay or preclude the development or commercialization of the affected product candidate and involve us in costly and time-consuming arbitration and litigation, which could divert management attention and resources and otherwise negatively affect our business and operations.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may depend in the future on BD Arrangements with third-party partners for the development and commercialization of our product candidates and for revenue. If we are unable to secure those BD Arrangements on beneficial terms, if at all, or if any such future arrangements are not successful, we may not be able to capitalize on the market potential of our product candidates or continue their development.</w:t>
      </w:r>
    </w:p>
    <w:p>
      <w:pPr>
        <w:pStyle w:val="TextBody"/>
        <w:bidi w:val="0"/>
        <w:spacing w:lineRule="auto" w:line="288" w:before="120" w:after="120"/>
        <w:ind w:left="0" w:right="0" w:firstLine="720"/>
        <w:jc w:val="both"/>
        <w:rPr/>
      </w:pPr>
      <w:r>
        <w:rPr>
          <w:rFonts w:ascii="Arial;sans-serif" w:hAnsi="Arial;sans-serif"/>
          <w:b w:val="false"/>
          <w:color w:val="000000"/>
          <w:sz w:val="20"/>
          <w:shd w:fill="FFFFFF" w:val="clear"/>
        </w:rPr>
        <w:t>Pursuing BD arrangements has been and is expected to continue to be a key component of our strategy, and we are seeking BD Arrangements with third-party partners to progress, in whole or in part, the development of one or more of our product candidates. While we may consider BD Arrangements to advance development of our solid tumor oncology programs, the further development of other programs in our pipeline, including NGM621, aldafermin, NGM313</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 xml:space="preserve">NGM936, is primarily dependent on our ability to secure potential future BD Arrangements for these programs. Due to the need to conserve capital and prioritize focused execution and unless our portfolio prioritization changes, if we are unable to secure BD Arrangements for these programs on beneficial terms, if at all, we are unlikely to be able to advance their development unless our portfolio prioritization changes and we are able to secure the additional capital necessary to fund such development. We may discontinue or abandon any or all of our programs altogether, in which case we will not realize any return on our investments in these programs. Even if we are successful in entering into any BD Arrangements with third-party partners for our programs, we will likely have limited control over the amount and timing of resources that our partners dedicate to the development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250"/>
                <wp:effectExtent l="0" t="0" r="0" b="0"/>
                <wp:wrapNone/>
                <wp:docPr id="44" name="Frame4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commercialization of the applicable product candidates. Our ability to generate revenue from any such arrangement will depend on the specific financial terms we reach with any partner, as well as each of our partners’ abilities to successfully perform the functions assigned to them in such arrangement towards developing, seeking regulatory approval for and commercializing our product candidates.</w:t>
      </w:r>
    </w:p>
    <w:p>
      <w:pPr>
        <w:pStyle w:val="TextBody"/>
        <w:bidi w:val="0"/>
        <w:spacing w:lineRule="auto" w:line="288" w:before="120" w:after="12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BD Arrangements involving our product candidates pose risks to us, including the following:</w:t>
      </w:r>
    </w:p>
    <w:p>
      <w:pPr>
        <w:pStyle w:val="TextBody"/>
        <w:bidi w:val="0"/>
        <w:spacing w:lineRule="auto" w:line="288" w:before="60" w:after="60"/>
        <w:ind w:left="0" w:right="0" w:hanging="360"/>
        <w:jc w:val="both"/>
        <w:rPr/>
      </w:pPr>
      <w:r>
        <w:rPr>
          <w:color w:val="000000"/>
          <w:shd w:fill="FFFFFF" w:val="clear"/>
        </w:rPr>
        <w:t>•</w:t>
      </w:r>
      <w:r>
        <w:rPr>
          <w:rFonts w:ascii="Arial;sans-serif" w:hAnsi="Arial;sans-serif"/>
          <w:b w:val="false"/>
          <w:color w:val="000000"/>
          <w:sz w:val="20"/>
        </w:rPr>
        <w:t>Partners have significant discretion in determining the efforts and resources that they will apply to these arrangements. For example, under the terms of the collaboration with Merck, if Merck exercises its option to acquire an exclusive license for any CVM-related preclinical candidate that remains within the scope of the collaboration, our ability to influence the resources Merck devotes to such candidate are substantially reduced until such time, if any, that we exercise our right to participate in a cost and profit share arrangement. Even after we exercise that right to participate in a cost and profit share arrangement, our ability to influence Merck will be limited.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Partners might opt not to pursue development and commercialization of our product candidates or not to continue or renew development or commercialization programs based on clinical trial results, changes in the partner’s strategic focus or available funding or external factors, such as an acquisition that diverts resources or creates competing priorities. For example, in June 2021, we and Merck entered into the Amended Collaboration Agreement that covers a narrower scope, focused primarily on ophthalmology- and CVM-related therapeutic areas, than had been covered under the original collaboration agreement we entered into with Merck in 2015. In addition, under the terms of the Amended Collaboration Agreement, it is possible for Merck to unilaterally terminate any other future licensed program, if any, (whether or not we have exercised our cost and profit share option) upon prior written notice, such as it did for NGM386 and NGM395 in 2019 and most recently for NGM313, without triggering a termination of the remainder of the Amended Collaboration Agreement. Moreover, Merck might also opt not to designate any collaboration preclinical candidates for further development during the tail period following the end of the research phase or exercise any of its options to acquire a license to a product candidate, as it did with respect to the preclinical ophthalmology product candidates.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Partners may delay clinical trials, provide insufficient funding for a clinical trial program, request the suspension or termination of a clinical trial or abandon a product candidate, repeat or conduct new clinical trials or require a new formulation of a product candidate for clinical testing.</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Partners could independently develop, or develop with third parties, products that compete directly or indirectly with our product candidates if the partners believe that competitive products are more likely to be successfully developed or can be commercialized under terms that are more economically attractive than ours.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 partner with marketing and distribution rights might not commit sufficient resources to the marketing and distribution of our product candidates.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Partners might not properly maintain or defend our intellectual property rights or may use our proprietary information in such a way as to invite litigation that could jeopardize or invalidate our proprietary information or expose us to potential litigation.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Disputes may arise between the partners and us that result in the delay or termination of the research, development or commercialization of our product candidates or that result in costly litigation or arbitration that diverts management attention and resources.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may lose certain valuable rights under circumstances identified in our BD Arrangements, including, in the case of our collaboration with Merck, if we undergo a change in control.</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BD Arrangements might be terminated and, if terminated, may result in a need for additional capital to pursue further development or commercialization of the applicable product candidates.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BD Arrangements might not lead to development or commercialization of product candidates in the most efficient manner, or at all. If a present or future partner of ours were to be involved in a business combination, the continued pursuit of and emphasis on our product development or commercialization program under such arrangement could be delayed, diminished or terminated.</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may not be able to obtain and maintain the relationships with third parties that are necessary to develop, commercialize and manufacture some or all of our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to our dependence on any potential future partners, we expect to depend on other third parties, including contract research organizations, or CROs, clinical data management organizations, clinical investigators, contract manufacturing organizations/contract development and manufacturing organizations, or CMOs,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250"/>
                <wp:effectExtent l="0" t="0" r="0" b="0"/>
                <wp:wrapNone/>
                <wp:docPr id="45" name="Frame4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pPr>
      <w:r>
        <w:rPr>
          <w:rFonts w:ascii="Arial;sans-serif" w:hAnsi="Arial;sans-serif"/>
          <w:b w:val="false"/>
          <w:color w:val="000000"/>
          <w:sz w:val="20"/>
        </w:rPr>
        <w:t xml:space="preserve">third-party partners and service providers to support our discovery efforts, to formulate product candidates, to conduct our clinical trials and certain aspects of our research and preclinical studies, to manufacture clinical and commercial-scale quantities of our drug substances and drug products and to market, sell and distribute any products we successfully develop and for which we obtain regulatory approval. Any problems we experience with any of these third parties could delay our research efforts or the development, manufacturing or commercialization of our product candidates or any future products, which could harm our results of operations. For more information, see the risk factors titled </w:t>
      </w:r>
      <w:r>
        <w:rPr>
          <w:color w:val="000000"/>
        </w:rPr>
        <w:t>“</w:t>
      </w:r>
      <w:r>
        <w:rPr>
          <w:rFonts w:ascii="Arial;sans-serif" w:hAnsi="Arial;sans-serif"/>
          <w:b w:val="false"/>
          <w:i/>
          <w:color w:val="000000"/>
          <w:sz w:val="20"/>
        </w:rPr>
        <w:t xml:space="preserve">We rely completely on CMOs for the manufacture of our product candidates, and we are subject to many manufacturing risks, any of which could substantially increase our costs and limit supply of our product candidates and any future products" </w:t>
      </w:r>
      <w:r>
        <w:rPr>
          <w:rFonts w:ascii="Arial;sans-serif" w:hAnsi="Arial;sans-serif"/>
          <w:b w:val="false"/>
          <w:color w:val="000000"/>
          <w:sz w:val="20"/>
        </w:rPr>
        <w:t xml:space="preserve">and </w:t>
      </w:r>
      <w:r>
        <w:rPr>
          <w:color w:val="000000"/>
        </w:rPr>
        <w:t>“</w:t>
      </w:r>
      <w:r>
        <w:rPr>
          <w:rFonts w:ascii="Arial;sans-serif" w:hAnsi="Arial;sans-serif"/>
          <w:b w:val="false"/>
          <w:i/>
          <w:color w:val="000000"/>
          <w:sz w:val="20"/>
        </w:rPr>
        <w:t>We have no experience in sales, marketing and distribution and may have to enter into agreements with third parties to perform these functions, which could prevent us from successfully commercializing our product candidates.”</w:t>
      </w:r>
      <w:r>
        <w:rPr>
          <w:color w:val="000000"/>
        </w:rPr>
        <w:t xml:space="preserv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cannot guarantee that we or, as applicable, any of our partners will be able to successfully negotiate agreements for, and maintain relationships with, third-party partners and service providers on favorable terms, if at all. If we or any of our partners are unable to obtain and maintain these agreements, we may not be able to clinically develop, formulate, manufacture, obtain regulatory approvals for or commercialize our product candidates, which will, in turn, adversely affect our business. If we or any of our partners need to enter into alternative arrangements, it would delay our product development and, if applicable, commercialization activities and such alternative arrangements may not be available on terms acceptable to us.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expect to continue to expend substantial management time and effort to enter into relationships with third parties and, if we successfully enter into such relationships, to manage these relationships. In addition, our reliance on these third parties for R&amp;D activities reduces our control over these activities but does not relieve us of our responsibilities. For example, we remain responsible for ensuring that each of our clinical trials is conducted in accordance with the general investigational plan and protocols for the trial. However, we cannot control the amount or timing of resources our partners will devote to our R&amp;D programs, product candidates or potential product candidates, and we cannot guarantee that these parties will fulfill their obligations to us under these arrangements in a timely fashion, if at all. If these third parties do not successfully carry out their contractual duties, meet expected deadlines or conduct our clinical trials or other R&amp;D activities in accordance with regulatory requirements, we will not be able to obtain, or may be delayed in obtaining, marketing approvals for our product candidates and will not be able to, or may be delayed in our efforts to, successfully commercialize any approved products. In addition, we base our expense accruals related to clinical trials on our estimates of the services received and efforts expended pursuant to contracts with multiple research institutions and CROs that conduct and manage clinical trials on our behalf and, if their estimates are not accurate, it could negatively affect the accuracy of our financial statements.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agreements we have or may enter into with third-party partners and service providers may give rise to disputes regarding the rights and obligations of the parties. Disagreements could develop over contract interpretation, rights to ownership or use of intellectual property, the scope and direction of R&amp;D, the approach for regulatory approvals or commercialization strategy. We are conducting research programs in a range of therapeutic areas, and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and time-consuming arbitration or litigation.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we are less knowledgeable about the reputation and quality of third-party contractors in countries outside of the United States where we conduct discovery research or preclinical and clinical development and manufacturing of our product candidates and, therefore, we may not choose the best parties for these relationships.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rely completely on CMOs for the manufacture of our product candidates, and we are subject to many manufacturing risks, any of which could substantially increase our costs and limit supply of our product candidates and any future products.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limited process development capabilities and require the services of third-party CMOs to provide additional process development and manufacturing capabilities. We do not have, and we do not currently plan to acquire or develop, the facilities or capabilities to manufacture bulk drug substance or filled drug product for use in clinical trials or commercialization. As a result, we rely completely on CMOs, which entails risks to which we would not be subject if we manufactured product candidates or products ourselves, including risks related to reliance on third parties for availability of drug product to use in our clinical trials and for regulatory compliance and quality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250"/>
                <wp:effectExtent l="0" t="0" r="0" b="0"/>
                <wp:wrapNone/>
                <wp:docPr id="46" name="Frame4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assurance with respect to such drug product,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their own business priorities, at a time that is costly or damaging to us.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product candidates are biologics, and the manufacture of biologic products is complex, highly regulated and requires significant expertise and capital investment, including the development of advanced manufacturing techniques and process controls. As a result, the manufacture of our product candidates is subject to many risks, including the following, some of which we have experienced: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product loss or other negative consequences due to contamination, equipment failure, improper installation or operation of equipment, vendor or operator error, shortages of qualified personnel or improper delivery or storage conditions;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difficulties with production costs and yields, quality control, product stability and quality assurance testing, including challenges related to bioanalytical method development and the qualification and implementation of those methods for release testing, which can delay availability of clinical trial materials;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negative consequences of failure to comply with strictly enforced federal, state and foreign regulations;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minor deviations from normal manufacturing processes, which have in the past and may in the future result in reduced production yields, product defects and other supply disruptions;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presence of microbial, viral or other contaminants discovered in our product candidates or in the manufacturing facilities in which they are made, which can necessitate closure of facilities for an extended period of time to investigate and eliminate the contamination;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the negative consequences of our CMOs’ failure to qualify upon an audit by regulatory authorities, by us or by our collaborators;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CMOs’ changing strategies and business priorities, which can affect the availability of facilities where we intend to manufacture our product candidates;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CMOs or their manufacturing facilities being adversely affected by labor, raw material and component shortages, turnover of qualified staff or financial difficulties of their owners or operators, including as a result of the effects of financial market disruptions and economic slowdowns, or by disease outbreaks, epidemics, pandemics, natural disasters, power failures, local political unrest or other factors.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For example, a CMO that produces aldafermin drug product was inspected by the FDA earlier this year and received multiple critical Form 483 observations on one of its aseptic fill/finish lines. If the CMO fails to address the FDA's concerns to the agency's satisfaction through the CMO's corrective actions, the CMO may receive additional warnings and, if we were to seek regulatory approval of aldafermin, any product that is manufactured on an affected line may not be qualified by the FDA, which could delay regulatory timelines significantly.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cannot ensure that issues relating to the manufacture or testing of our product candidates, such as those described above, will not occur or continue to occur in the future and if we or our CMOs experience any such issues there could be a shortage of drug substance or drug product for use in our clinical trials, which could delay clinical and regulatory timelines significantly and have an adverse effect on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to date our product candidates have been manufactured by CMOs solely for preclinical studies and relatively small clinical trials. We intend to continue to use CMOs for these purposes, and also for the supply of larger quantities that may be required to conduct accelerated or expanded early clinical trials or larger, later clinical trials and for commercialization if we advance any of our product candidates through regulatory approval and to commercialization. These manufacturers may not have sufficient manufacturing capacity and may not be able to scale up the production of drug substance or drug product in the quantities we need and at the level of quality required in a timely or effective manner, or at all. In particular, there is increased competition in the biotechnology industry for CMO manufacturing slots and other capabilities generally, which has had, and may continue to have, a negative impact on the availability of manufacturing capacity and therefore our ability to supply clinical trial materials for planned, ongoing or expanded clinical trials.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transfer of our small-scale manufacturing processes to CMOs for scale up and validation and any later scale up and validation of the manufacturing process in the CMOs’ facilities to manufacture larger quantities, involve difficult and complex processes. We may not be successful in transferring our production system to a CMO, either because it is unable to implement the process successfully in its facilities or for other reasons. Later scale-up activities are also difficult and costly and entail risks such as process reproducibility, stability, consistency and other technical challenges. If we are unable to adequately validate or scale up the manufacturing processes for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250"/>
                <wp:effectExtent l="0" t="0" r="0" b="0"/>
                <wp:wrapNone/>
                <wp:docPr id="47" name="Frame4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product candidates, we would need to undertake a transfer to another third party and repeat the manufacturing validation process, which can be expensive and time-consuming and could delay the initiation or completion of our clinical trials.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Similarly, we or our CMOs may make changes to our product candidates’ manufacturing processes at various points in product development for many reasons, including scaling up, facility fit, raw material or component availability, decreasing costs or timing of production, improving processing robustness and reliability, decreasing processing times or others. Such changes require further validation and may have unintended consequences, which could include causing our product candidates to perform differently when administered in clinical trials and affecting clinical trial results. In some circumstances, we may be required to perform comparability or other studies to demonstrate that the product used in earlier clinical trials or at earlier stages of a trial are comparable to the product we intend to use in later trials or later stages of an ongoing trial. These efforts are expensive and there is no assurance that they will be successful, which could impact our ability to continue or initiate clinical trials in a timely manner, or at all.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future adverse developments affecting manufacturing operations or the scale up or validation of manufacturing processes for our product candidates may result in shipment delays, lot failures, clinical trial delays or discontinuations, or, if we are commercializing products, inventory shortages, product withdrawals or recalls or other interruptions in supply. We may also have to record inventory write-offs and incur other charges and expenses for drug substance or drug product that fails to meet specifications or cannot be used before its expiration date. In addition, for out of specification materials, we may need to undertake costly remediation efforts or manufacture new batches at considerable cost and time delays or, in the longer run, seek more expensive manufacturing alternatives.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also have a single source of supply for most of our product candidates, including the drug substances used in manufacturing them. Single sourcing minimizes our leverage with our CMOs, who may take advantage of our reliance on them to increase the pricing of their manufacturing services or require us to change our intended manufacturing plans based on their strategies and priorities. Single sourcing also imposes a risk of interruption or delays in supply in the event of manufacturing, quality or compliance difficulties and/or other difficulties in timely supplying us with materials. For example, our investigational new drug application, or IND, submissions for NGM438 and NGM831 were delayed due to challenges at one of our CMOs, primarily related to analytical method qualification and release testing for those product candidates. It is possible that we could experience further supply-related delays that would adversely affect our ability to commence first-in-human testing of product candidates on our anticipated timing. Moreover, we do not currently have arrangements in place for redundant supply for drug substance or drug product. If one of our suppliers fails or refuses to supply us for any reason or we otherwise choose to engage a new supplier for one or more of our product candidates, including a second source supplier to mitigate the risks of single-source supply, it would take a significant amount of time and cost to implement and execute the necessary technology transfer to, and qualification of, a new supplier. The FDA or comparable foreign health authority must approve manufacturers of drug substance and drug product. If there are any delays in qualifying new suppliers or facilities or a new supplier is unable to meet the requirements of the FDA or comparable foreign health authority for approval, there could be a shortage of drug substance or drug product for use in clinical trials with respect to the affected product candidates which would adversely affect our ability to continue and complete clinical trials on our anticipated timing or at all.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product candidates use certain raw materials for their production, such as reagents that support cell growth, purification materials and testing and manufacturing supplies. Some of these materials only have a single supplier and are purchased as necessary without a long-term supply agreement in place. In addition, our drug products may require the use of syringe or other components, some of which have been the subject of shortages amplified by the COVID-19 pandemic due to their use in, among other things, COVID-19 vaccine production. If our CMOs are required to obtain an alternative source of certain raw materials and components, additional testing, validation activities and regulatory approvals may be required, which may negatively impact manufacturing and other development timelines. For example, one of our CMOs experienced shortages of the specific cell culture media used to manufacture one of our products due to global supply chain challenges and, while we have been successful in obtaining a replacement product, these types of substitutions may require additional and unplanned testing, qualification or validation activities. Any significant delay in the acquisition or decrease in the availability of these materials, components or other items, or failure to successfully qualify or validate alternative materials or components, could considerably delay the manufacture of our product candidates, which could adversely impact the timing or completion of any ongoing and planned trials or the timing of regulatory approvals, if any, of our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our CMOs’ facilities and operations have been adversely affected by labor, raw material and component shortages, high turnover of staff and difficulties in hiring trained and qualified replacement staff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250"/>
                <wp:effectExtent l="0" t="0" r="0" b="0"/>
                <wp:wrapNone/>
                <wp:docPr id="48" name="Frame4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pPr>
      <w:r>
        <w:rPr>
          <w:rFonts w:ascii="Arial;sans-serif" w:hAnsi="Arial;sans-serif"/>
          <w:b w:val="false"/>
          <w:color w:val="000000"/>
          <w:sz w:val="20"/>
        </w:rPr>
        <w:t>operations of our CMOs may be requisitioned, diverted or allocated by U.S. or foreign government orders such as under emergency, disaster and civil defense declarations in connection with the COVID-19 pandemic or otherwise. For a discussion of how the COVID-19 pandemic has affected or may affect drug or related component supplies for our clinical trials, refer to the risk factor titled “</w:t>
      </w:r>
      <w:r>
        <w:rPr>
          <w:rFonts w:ascii="Arial;sans-serif" w:hAnsi="Arial;sans-serif"/>
          <w:b w:val="false"/>
          <w:i/>
          <w:color w:val="000000"/>
          <w:sz w:val="20"/>
        </w:rPr>
        <w:t>Our business could be materially and adversely affected in the future by the effects of disease outbreaks, epidemics and pandemics, including the COVID-19 pandemic.</w:t>
      </w:r>
      <w:r>
        <w:rPr>
          <w:color w:val="000000"/>
        </w:rPr>
        <w:t xml:space="preserve">” </w:t>
      </w:r>
      <w:r>
        <w:rPr>
          <w:rFonts w:ascii="Arial;sans-serif" w:hAnsi="Arial;sans-serif"/>
          <w:b w:val="false"/>
          <w:color w:val="000000"/>
          <w:sz w:val="20"/>
        </w:rPr>
        <w:t>Changes in economic conditions, supply chain constraints, labor, raw material and component shortages and steps taken by governments and central banks, particularly in response to the COVID-19 pandemic as well as other stimulus and spending programs, could also lead to higher inflation than previously experienced or expected, which could, in turn, lead to an increase in costs.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Some of our product candidates are currently solely manufactured at a facility in Lithuania. Following Russia's invasion of Ukraine in February 2022, the response from the United States and its allies has included both significant sanctions and NATO's deployment of additional military forces to Eastern Europe, including to Lithuania. The ongoing conflict between Russia and Ukraine and the retaliatory measures taken or that may be taken by the United States, NATO and others, including significant sanctions against Russia, create global security concerns and regional instability, including due to the possibility of expanded regional or global conflict, and are likely to have short-term and likely longer-term negative impacts on regional and global economies, any or all of which could disrupt our supply chain and adversely affect our ability to conduct ongoing and future clinical trials of our product candidates and our ability to raise capital on favorable terms.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further delays or interruptions in the supply of clinical trial material could delay the completion or initiation of our clinical trials, increase the costs associated with maintaining clinical trial programs and, depending upon the period of delay, require us to commence new clinical trials at additional expense, terminate ongoing clinical trials or abandon planned clinical trials or expansions or accelerations of clinical trials completely.</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have no experience in sales, marketing and distribution and may have to enter into agreements with third parties to perform these functions, which could prevent us from successfully commercializing our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currently have no sales, marketing or distribution capabilities. To commercialize our product candidates outside of the Merck collaboration, or to commercialize products subject to the Merck collaboration for which we may in the future exercise our co-detailing rights in the United States, if any, or for which Merck decides not to exercise its license option, we must either develop our own sales, marketing and distribution capabilities or make arrangements with third parties to perform these services for us. If we exercise our co-detailing rights in the United States with respect to the Merck collaboration, we will be responsible for the costs of fielding such a sales force, subject to partial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operating results and prospects.</w:t>
      </w:r>
    </w:p>
    <w:p>
      <w:pPr>
        <w:pStyle w:val="TextBody"/>
        <w:bidi w:val="0"/>
        <w:spacing w:lineRule="auto" w:line="288" w:before="300" w:after="120"/>
        <w:jc w:val="center"/>
        <w:rPr>
          <w:rFonts w:ascii="Arial;sans-serif" w:hAnsi="Arial;sans-serif"/>
          <w:b/>
          <w:color w:val="000000"/>
          <w:sz w:val="20"/>
        </w:rPr>
      </w:pPr>
      <w:r>
        <w:rPr>
          <w:rFonts w:ascii="Arial;sans-serif" w:hAnsi="Arial;sans-serif"/>
          <w:b/>
          <w:color w:val="000000"/>
          <w:sz w:val="20"/>
        </w:rPr>
        <w:t>Risks Related to Our Business and Industry</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Our product candidates must undergo rigorous clinical trials before seeking regulatory approvals, and clinical trials may be delayed, suspended or terminated at any time for many reasons, any of which could delay or prevent regulatory approval and, if approval is granted, commercialization of our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All of our product candidates are subject to rigorous and extensive clinical trials before we can seek regulatory approval from the FDA and comparable foreign health authorities such as the European Commission. Clinical trials may be delayed, suspended or terminated at any time for reasons including but not limited to:</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ongoing discussions with the FDA or comparable foreign health authorities regarding the scope or design of our clinical trials;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delays in obtaining, or the inability to obtain, required approvals from institutional review boards and ethics committees or other governing entities at clinical trial sites selected for participation in our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250"/>
                <wp:effectExtent l="0" t="0" r="0" b="0"/>
                <wp:wrapNone/>
                <wp:docPr id="49" name="Frame4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delays in patient enrollment and other key trial activities, including as a result of events such as the COVID-19 pandemic or the significant competition for recruiting patients with cancer in clinical trials;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delays in reaching agreement on acceptable terms with prospective CROs and the failure of CROs, testing laboratories and other third parties to satisfy their contractual duties to us or meet expected deadlines;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deviations from the trial protocol by clinical trial sites and investigators, or failures to conduct the trial in accordance with regulatory requirements;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lower than anticipated retention rates of participants in clinical trials, including patients dropping out due to side effects, disease progression or concerns about the COVID-19 pandemic;</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failure of enrolled patients to complete treatment or to return for post-treatment follow-up;</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for clinical trials in selected patient populations, delays in identification and auditing of central or other laboratories and the transfer and validation of assays or tests to be used to identify selected patients and test any patient samples;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implementation of new, or changes to, guidance or interpretations from the FDA or comparable foreign health authorities with respect to approval pathways for product candidates we are pursuing;</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need to repeat clinical trials as a result of inconclusive or negative results, poorly executed testing or changes in required endpoints;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insufficient supply or deficient quality of drug substance, drug product or other clinical trial material necessary to conduct our clinical trials, as well as delays in the testing, validation, manufacturing and delivery to clinical trial sites of such material;</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withdrawal of clinical trial sites or investigators from our clinical trials for any reason, including as a result of changing standards of care or the ineligibility of a site to participate in our clinical trials;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unfavorable FDA or comparable foreign health authority inspection or review of a clinical trial site or records of any clinical or preclinical investigation;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drug-related adverse effects or tolerability issues experienced by participants in our clinical trials;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changes in government regulations or administrative actions;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lack of adequate funding to continue the clinical trials;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ability to hire and retain key R&amp;D personnel; or</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placement of a clinical hold on a trial by the FDA or comparable foreign health authorities.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cannot guarantee that we will be able to successfully accomplish required regulatory and/or manufacturing activities or all of the other activities necessary to initiate and complete clinical trials in a timely fashion, if at all. As a result, our preclinical studies and clinical trials may be extended, delayed or terminated, and we may be unable to obtain regulatory approvals or successfully commercialize our products. In addition, we have only limited experience in conducting late-stage clinical trials required to obtain regulatory approval. In any event, we do not know whether any of our clinical trials will begin as planned, will need to be restructured or will be completed on schedule, or at all.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product development costs will increase if we continue to experience delays in clinical testing. Significant clinical trial delays could also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 Our or our partners’ inability to timely complete clinical development could result in additional costs to us or impair our ability to generate product revenue or development, regulatory, commercialization and sales milestone payments and royalties on product sales.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If clinical trials of our product candidates fail to produce positive results or to demonstrate safety and efficacy to the satisfaction of the FDA or comparable health authorities or sufficient to demonstrate differentiation from other approved therapies or therapies in development, we may incur additional costs or experience delays in completing, or ultimately be unable to complete, the development and commercialization of our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product candidates are in early stages of development, with our most advanced product candidates only in Phase 2 development. Before obtaining marketing approval from health authorities for the sale of our product candidates, we or our partners must conduct extensive preclinical studies and clinical trials to demonstrate the safety and efficacy of the product candidates in humans. Preclinical studies and clinical trials are expensive, take several years to complete and may not yield results that support further clinical development or product approvals.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250"/>
                <wp:effectExtent l="0" t="0" r="0" b="0"/>
                <wp:wrapNone/>
                <wp:docPr id="50" name="Frame5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there is a high failure rate for drugs and biologic products proceeding through clinical trials and failure can occur at any stage of testing. For example, despite the results of preclinical and Phase 1 studies of NGM621, our Phase 2 CATALINA clinical trial evaluating NGM621 in patients with GA secondary to AMD did not meet its primary endpoint. Since Merck did not elect to exercise its option to license NGM621 and its related compounds, further development of NGM621 is primarily dependent on our ability to secure potential future BD Arrangements and, in the absence of such BD Arrangements, we are unlikely to be able to advance development of NGM621 unless our portfolio prioritization changes and we are able to secure the additional capital necessary to fund such development. Similarly, our Phase 2b ALPINE 2/3 trial evaluating aldafermin in patients with F2/F3 NASH did not meet its primary endpoint and, as a result, we decided to suspend further development of aldafermin in patients with F2/F3 NASH, allowing for the reallocation of resources to advancing our other programs. Further development of aldafermin is primarily dependent on our ability to secure potential future BD Arrangements and, in the absence of such BD Arrangements, we are unlikely to be able to advance development of aldafermin unless our portfolio prioritization changes and we are able to secure the additional capital necessary to fund such development.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Further, we expect that certain of our current product candidates will, and future product candidates may, require chronic administration. The need for chronic administration increases the risk that participants in our clinical trials will fail to comply with our dosing regimens. If participants fail to comply, we may not be able to generate clinical data in our trials acceptable to the FDA or comparable foreign health authorities. The need for chronic administration also increases the risk that our clinical drug development programs may not uncover all possible adverse events that patients who take our products may eventually experience. The number of patients exposed to treatment with, and the average exposure time to, our product candidates in clinical development programs may be inadequate to detect rare adverse events or chance findings that may only be detected once our products are administered to more patients and for longer periods of time.</w:t>
      </w:r>
    </w:p>
    <w:p>
      <w:pPr>
        <w:pStyle w:val="TextBody"/>
        <w:bidi w:val="0"/>
        <w:spacing w:lineRule="auto" w:line="288" w:before="120" w:after="120"/>
        <w:ind w:left="0" w:right="0" w:firstLine="720"/>
        <w:jc w:val="both"/>
        <w:rPr/>
      </w:pPr>
      <w:r>
        <w:rPr>
          <w:rFonts w:ascii="Arial;sans-serif" w:hAnsi="Arial;sans-serif"/>
          <w:b w:val="false"/>
          <w:color w:val="000000"/>
          <w:sz w:val="20"/>
        </w:rPr>
        <w:t>We may also not be successful in generating clinical data sufficient to differentiate our product candidates from other products in the same therapeutic area. If our competitors' products are, or are perceived to be, more effective, more convenient, less costly or safer than our products, or we are unable to demonstrate differentiation in any of those factors, we may not be able to achieve a competitive position in the market. For more information, refer to the risk factor titled “</w:t>
      </w:r>
      <w:r>
        <w:rPr>
          <w:rFonts w:ascii="Arial;sans-serif" w:hAnsi="Arial;sans-serif"/>
          <w:b w:val="false"/>
          <w:i/>
          <w:color w:val="000000"/>
          <w:sz w:val="20"/>
        </w:rPr>
        <w:t>We face substantial competition, which may result in others discovering, developing or commercializing products before or more successfully than us."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data obtained from preclinical and clinical activities are subject to varying interpretations, which may delay, limit or prevent regulatory approval. In any event, it is impossible to predict when or if any of our product candidates will prove safe and effective in humans or will receive regulatory approval. If we are unable to successfully discover, develop or enable our partners to develop drugs that regulatory authorities deem effective and safe in humans, we will not have a viable business.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Success in preclinical studies or earlier-stage clinical trials may not be indicative of results in future clinical trials.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To date, the data supporting our drug discovery and development programs are derived from laboratory and preclinical studies and earlier-stage clinical trials. Owing in part to the complexity of biological pathways, when used to treat human patients, our product candidates might not demonstrate the biochemical and pharmacological properties we anticipate based on laboratory studies or earlier-stage clinical trials, and they may interact with human biological systems or other drugs in unforeseen, ineffective or harmful ways. Success in preclinical studies and earlier-stage clinical trials does not ensure that later clinical trials will generate the same results or otherwise provide adequate data to demonstrate the effectiveness and safety of our product candidates. In this regard, the data supporting our drug discovery and development programs are derived from laboratory and preclinical studies, and future clinical trials in humans may show that one or more of our product candidates are not safe and effective, in which event we may need to abandon development of such product candidates. In fact, many companies in the pharmaceutical and biotechnology industries have suffered significant setbacks in late-stage clinical trials even after achieving promising results in preclinical studies and earlier-stage clinical trials. Similarly, preliminary data and interim results from clinical trials may not be predictive of final results. For example, despite the results of preclinical and Phase 1 studies of NGM621, our Phase 2 CATALINA clinical trial evaluating NGM621 in patients with GA secondary to AMD did not meet its primary endpoint. Similarly, in spite of the results we had obtained in our Phase 1 trials of aldafermin and in our first Phase 2 trial, in May 2021, we announced that our Phase 2b ALPINE 2/3 trial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250"/>
                <wp:effectExtent l="0" t="0" r="0" b="0"/>
                <wp:wrapNone/>
                <wp:docPr id="51" name="Frame5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pPr>
      <w:r>
        <w:rPr>
          <w:rFonts w:ascii="Arial;sans-serif" w:hAnsi="Arial;sans-serif"/>
          <w:b w:val="false"/>
          <w:color w:val="000000"/>
          <w:sz w:val="20"/>
        </w:rPr>
        <w:t>evaluating aldafermin in patients with F2/F3 NASH did not meet its primary endpoint. For more information, refer to the risk factor titled “</w:t>
      </w:r>
      <w:r>
        <w:rPr>
          <w:rFonts w:ascii="Arial;sans-serif" w:hAnsi="Arial;sans-serif"/>
          <w:b w:val="false"/>
          <w:i/>
          <w:color w:val="000000"/>
          <w:sz w:val="20"/>
        </w:rPr>
        <w:t xml:space="preserve">If clinical trials of our product candidates fail to produce positive results or to demonstrate safety and efficacy to the satisfaction of the FDA or comparable health authorities or sufficient to demonstrate differentiation from other approved therapies or therapies in development, we may incur additional costs or experience delays in completing, or ultimately be unable to complete, the development and commercialization of our product candidates." </w:t>
      </w:r>
      <w:r>
        <w:rPr>
          <w:rFonts w:ascii="Arial;sans-serif" w:hAnsi="Arial;sans-serif"/>
          <w:b w:val="false"/>
          <w:color w:val="000000"/>
          <w:sz w:val="20"/>
        </w:rPr>
        <w:t>There can be no assurance that any clinical testing of our product candidates will be successful or will otherwise be supportive of continued development and/or regulatory approvals of such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some of our earlier-stage clinical trials involve small patient populations, sometimes at single sites, and the results of these clinical trials may be subject to substantial variability and may not be indicative of either future interim results or final results. As a general matter, there is also a substantial risk that Phase 3 trials with larger numbers of patients and/or longer durations of therapy will fail to replicate efficacy and safety results observed in earlier clinical trials.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 xml:space="preserve">Our product candidates may cause undesirable side effects or adverse events or have other properties or safety risks, which could delay or prevent continued clinical development or their regulatory approval or limit the commercial profile of any approved label.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Adverse events, undesirable side effects or similar safety issues caused by our product candidates could cause us or health authorities to interrupt, delay or halt clinical trials and could result in a more restrictive label or the delay or denial of regulatory approval by the FDA or other comparable foreign health authorities. Additional clinical trials may be required to further evaluate the safety profile of our product candidates. Patients in certain of our ongoing or planned clinical trials, particularly patients with cancer, often enter our trials with significant comorbidities or advanced life-threatening illness and/or are treated in the trial with our product candidate in combination with other medications, including, in cancer patients, chemotherapy or other approved cancer treatments. As a result, patients in our clinical trials can be expected to experience some adverse events, including death, or side effects that are not or may not be related to treatment with our product candidates. Nonetheless, the occurrence of adverse events or side effects, whether or not related to our product candidates, could impact the success of our clinical trials.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Patients experienced, and we reported, serious adverse events, or SAEs, in the treatment arms of completed trials of NGM313, NGM621 and aldafermin. We expect that patients in our clinical trials, including those that are sham- or placebo-controlled with some patients not receiving study drug, will continue to experience adverse events and SAEs and we will continue to monitor those SAEs for any signals of concern regarding the safety and tolerability of our product candidates. For example, cancer patients enrolled in our clinical trials of NGM120, NGM707, NGM831 and NGM438, many of whom are suffering from advanced life-threatening illness, have experienced, and we expect will continue to experience, SAEs and other adverse events, which may or may not be drug-related. If patients in any of our clinical trials experience a high or unacceptable severity and prevalence of side effects, including particularly SAEs, it could affect patient recruitment or the ability of enrolled patients to complete their treatment in a clinical trial, it may result in a regulatory authority putting a clinical hold on the clinical trial or it may result in failure to obtain regulatory approval for our product candidates or product liability claims.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product candidates are protein or antibody therapeutics. Protein and antibody therapeutics can sometimes induce host immune responses that can cause the production of anti-drug antibodies, or ADAs. In some cases, ADAs have no effect. In other cases, ADAs may neutralize the effectiveness of the product candidate, can require that higher doses be used to obtain a therapeutic effect or can cross react with substances naturally occurring in a subject’s body, which can cause unintended effects, including potential impacts on efficacy and adverse events. Some patients treated with aldafermin in our completed clinical trials have developed ADAs against aldafermin and, in some cases, those antibodies were neutralizing or appeared to cross react with the patient’s naturally occurring FGF19. We developed an assay to measure the presence of ADAs against aldafermin for our ongoing NASH program, which we are using to test patient samples and which will need to be evaluated by regulatory agencies. The presence of ADAs was also observed in our Phase 1 NGM313 trial. If we are required to undertake substantial additional testing as a result of the detection of ADAs in subjects using aldafermin, NGM313 or any other product candidate, the costs of our clinical trials may increase. If we determine that ADAs are causing safety or efficacy concerns when using any of our product candidates, we may need to delay or halt clinical trials of our product candidates and the affected product candidates may never obtain regulatory approval. We cannot provide assurance that the detection of ADAs will not be higher than we have observed historically or that observed rates will not later be found to limit drug exposure or cause adverse safety events, or that the detection of ADAs will not otherwise result in the non-approvability of any of our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250"/>
                <wp:effectExtent l="0" t="0" r="0" b="0"/>
                <wp:wrapNone/>
                <wp:docPr id="52" name="Frame5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Future results of our trials could reveal a high and unacceptable severity and prevalence of side effects, SAEs, ADAs, safety issues or other negative or otherwise unexpected characteristics. The occurrence of those issues could affect patient recruitment or the ability of enrolled patients to complete their treatment in a clinical trial, result in failure to obtain regulatory approval for our product candidates or product liability claims or impact market acceptance of our products. Any of these occurrences could materially and adversely affect our business, financial condition and prospects.</w:t>
      </w:r>
    </w:p>
    <w:p>
      <w:pPr>
        <w:pStyle w:val="TextBody"/>
        <w:bidi w:val="0"/>
        <w:spacing w:lineRule="auto" w:line="276" w:before="240" w:after="283"/>
        <w:jc w:val="both"/>
        <w:rPr>
          <w:rFonts w:ascii="Arial;sans-serif" w:hAnsi="Arial;sans-serif"/>
          <w:b/>
          <w:i/>
          <w:color w:val="000000"/>
          <w:sz w:val="20"/>
        </w:rPr>
      </w:pPr>
      <w:r>
        <w:rPr>
          <w:rFonts w:ascii="Arial;sans-serif" w:hAnsi="Arial;sans-serif"/>
          <w:b/>
          <w:i/>
          <w:color w:val="000000"/>
          <w:sz w:val="20"/>
        </w:rPr>
        <w:t>We may not successfully identify new product candidates to expand our development pipeline.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success of our business over the longer term depends upon our ability to identify and validate new potential protein and antibody therapeutics. Research programs to identify new product candidates require substantial technical, financial and human resources, and our research methodology may not successfully identify medically relevant protein or antibody therapeutics to be developed as product candidates. In this regard, the resignation of our former Chief Scientific Officer Jin-Long Chen, Ph.D., in the second quarter of 2023 may adversely affect our ability to successfully identify new product candidates and to attract and retain the key scientific personnel necessary to do so. In addition, our drug discovery efforts often identify and select novel, untested proteins in the particular disease indication we are pursuing, which we may fail to validate after further research work. Moreover, our research efforts may initially show promise in discovering potential new protein and antibody therapeutics yet fail to yield product candidates for clinical development for multiple reasons. For example, potential product candidates may, on further study, be shown to have inadequate efficacy, harmful side effects, suboptimal drug profiles or other characteristics suggesting that they are unlikely to be commercially viable products. Our inability to successfully identify additional new product candidates to advance into clinical trials could have a material adverse effect on our business, operating results and prospects.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may fail to select or capitalize on the most scientifically, clinically and commercially promising or profitable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limited technical, managerial and financial resources to determine which of our product candidates should proceed to initial clinical trials, later-stage clinical development and potential commercialization. We may make incorrect determinations in allocating resources among these product candidates. Our decisions to allocate our R&amp;D, management and financial resources toward particular product candidates or therapeutic areas may not lead to the development of viable commercial products and may divert resources from better opportunities. For example, our pipeline programs in development include product candidates in solid tumor oncology, and we have been focusing most of our execution efforts and resources on these programs. However, our focus on the solid tumor oncology therapeutic area may be unsuccessful and may never lead to the development of viable commercial products. Similarly, our decisions to delay or terminate certain drug development programs to concentrate our resources elsewhere may be incorrect and could cause us to miss valuable opportunities.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our Amended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 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biologics license application, or BLA. As a result of such incomplete information or due to incorrect analysis by us, we may select a cost and profit share program that later proves to have less commercial potential than an alternative, or none at all, or may pass on a cost and profit share program that proves commercially successful.</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 xml:space="preserve">We must attract and retain highly skilled employees in order to succeed. If we are not able to retain our current senior management team, or to continue to attract and retain qualified scientific, technical and business personnel, our business will suffer.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April 2023, we announced a restructuring of our workforce, reducing our existing headcount by approximately 33%. At the same time, our founder, Dr. Jin-Long Chen, resigned from the Board and his position as Chief Scientific Officer. We have also announced that Siobhan Nolan Mangini is stepping down as Chief Financial Officer as of November 3, 2023 and as President on December 1, 2023. These significant changes have caused additional attrition of employees and may cause further attrition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250"/>
                <wp:effectExtent l="0" t="0" r="0" b="0"/>
                <wp:wrapNone/>
                <wp:docPr id="53" name="Frame5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employees, including senior management, and negatively affect employee morale. Additionally, as we are operating our business with fewer employees, including fewer members of senior management, the loss of a significant number of our remaining employees or of any of our current executive officers could result in a significant loss in the knowledge and experience that we, as an organization, possess and could cause significant delays, or outright failure, in the development and further commercialization of our product candidates.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There is intense competition for qualified personnel, including management, in the technical fields in which we operate, particularly in the oncology field, and we may not be able to attract and retain qualified personnel necessary for the successful research, development and future commercialization, if any, of our product candidates. We recruit for talent in the biotechnology and pharmaceutical industry in the San Francisco Bay Area, which is one of the most competitive and highest cost labor markets in the United States and periodically experiences higher turnover rates than other industries. For example, in 2022, we continued to experience a challenging recruiting environment with relatively high rates of employees leaving the company to pursue other opportunities, particularly in the first three quarters of the year.</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The labor market tightened significantly after the beginning of the COVID-19 pandemic. During the first couple of years of the COVID-19 pandemic, we experienced employee attrition at rates higher than we experienced historically, which may recur and could have a negative impact on our productivity. If we are unable to attract and retain high-quality personnel, the rate and success with which we can discover and develop product candidates and our business will be limited.</w:t>
      </w:r>
    </w:p>
    <w:p>
      <w:pPr>
        <w:pStyle w:val="TextBody"/>
        <w:bidi w:val="0"/>
        <w:spacing w:lineRule="auto" w:line="288" w:before="240" w:after="60"/>
        <w:jc w:val="both"/>
        <w:rPr>
          <w:rFonts w:ascii="Arial;sans-serif" w:hAnsi="Arial;sans-serif"/>
          <w:b/>
          <w:i/>
          <w:color w:val="000000"/>
          <w:sz w:val="20"/>
        </w:rPr>
      </w:pPr>
      <w:r>
        <w:rPr>
          <w:rFonts w:ascii="Arial;sans-serif" w:hAnsi="Arial;sans-serif"/>
          <w:b/>
          <w:i/>
          <w:color w:val="000000"/>
          <w:sz w:val="20"/>
        </w:rPr>
        <w:t xml:space="preserve">We face substantial competition, which may result in others discovering, developing or commercializing products before or more successfully than us.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and biotechnology companies are pursuing the development or marketing of pharmaceuticals that seek to treat the same diseases that we are pursuing with our most advanced product candidates, particularly in the oncology field. Some of these pharmaceuticals in development are active, or seek to be active, against the same targets that our product candidates are engineered to effect, including the targets that are the focus of our immuno-oncology candidates, ILT2, ILT3, ILT4 and LAIR1. It is probable that the number of companies seeking to develop products and therapies that compete with our product candidates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studies and human clinical trials of new pharmaceutical products and in obtaining regulatory approvals of human therapeutic products. Accordingly, our competitors may succeed in obtaining FDA approval and approval or marketing authorization from comparable health authorities such as the European Commission for superior products or for other products that would compete with our product candidates. Many of our competitors have established distribution channels and commercial infrastructure to support the commercialization of their products, whereas we have no such channel or capabilities. In addition, many competitors have greater name recognition and more extensive collaboration or partnering relationships. Smaller and earlier-stage companies may also prove to be significant competitors, particularly through collaboration or partnering arrangements with large, established companies.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These companies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Although we believe there are no FDA- or European Commission-approved therapies that specifically target the signaling pathways that our current product candidates are designed to modulate or inhibit, there are numerous currently approved therapies for treating the same diseases or indications for which our product candidates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250"/>
                <wp:effectExtent l="0" t="0" r="0" b="0"/>
                <wp:wrapNone/>
                <wp:docPr id="54" name="Frame5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 For more information regarding the competition that our most advanced product candidates face, or may face, see the discussion of specific competition for each product candidate in “Business-Our Pipeline Programs” in our 2022 Annual Report on Form 10-K.</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Our product candidates may not achieve adequate market acceptance among physicians, patients, healthcare payors and others in the medical community necessary for commercial success.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Demonstrating the safety and efficacy of our product candidates and obtaining regulatory approvals will not guarantee future revenue. 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efficacy and safety profile of the product candidate as demonstrated in clinical trials;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timing of market introduction of the product candidate, as well as competitive products;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clinical indications for which the product candidate is approved;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acceptance of the product candidate as a safe and effective treatment by physicians and patients;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actual and perceived advantages of the product candidate over alternative treatments, including any similar generic treatments;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viewpoints of influential physicians with respect to the product candidate;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inclusion or exclusion of the product candidate from treatment guidelines established by various physician groups;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cost of treatment relative to alternative treatments;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pricing and the availability of coverage and adequate reimbursement by third parties and government authorities as described in the risk factor titled “</w:t>
      </w:r>
      <w:r>
        <w:rPr>
          <w:rFonts w:ascii="Arial;sans-serif" w:hAnsi="Arial;sans-serif"/>
          <w:b w:val="false"/>
          <w:i/>
          <w:color w:val="000000"/>
          <w:sz w:val="20"/>
        </w:rPr>
        <w:t>Even if we obtain approval to market our products, these products may become subject to unfavorable pricing regulations, reimbursement practices from third-party payors or healthcare reform initiatives in the United States and abroad, which could harm our business</w:t>
      </w:r>
      <w:r>
        <w:rPr>
          <w:color w:val="000000"/>
        </w:rPr>
        <w:t>”</w:t>
      </w:r>
      <w:r>
        <w:rPr>
          <w:rFonts w:ascii="Arial;sans-serif" w:hAnsi="Arial;sans-serif"/>
          <w:b w:val="false"/>
          <w:color w:val="000000"/>
          <w:sz w:val="20"/>
        </w:rPr>
        <w: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relative convenience and ease of administration;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frequency and severity of adverse events;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effectiveness of sales and marketing efforts;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any unfavorable publicity relating to the product candidate.</w:t>
      </w:r>
    </w:p>
    <w:p>
      <w:pPr>
        <w:pStyle w:val="TextBody"/>
        <w:bidi w:val="0"/>
        <w:spacing w:lineRule="auto" w:line="288" w:before="120" w:after="120"/>
        <w:ind w:left="0" w:right="0" w:firstLine="720"/>
        <w:jc w:val="both"/>
        <w:rPr/>
      </w:pPr>
      <w:r>
        <w:rPr>
          <w:rFonts w:ascii="Arial;sans-serif" w:hAnsi="Arial;sans-serif"/>
          <w:b w:val="false"/>
          <w:color w:val="000000"/>
          <w:sz w:val="20"/>
        </w:rPr>
        <w:t xml:space="preserve">For example, aldafermin is administered via a once-daily subcutaneous injection, which may negatively impact market acceptance of an approved aldafermin product, if any. In addition, refer to the risk factor titled </w:t>
      </w:r>
      <w:r>
        <w:rPr>
          <w:color w:val="000000"/>
        </w:rPr>
        <w:t>“</w:t>
      </w:r>
      <w:r>
        <w:rPr>
          <w:rFonts w:ascii="Arial;sans-serif" w:hAnsi="Arial;sans-serif"/>
          <w:b w:val="false"/>
          <w:i/>
          <w:color w:val="000000"/>
          <w:sz w:val="20"/>
        </w:rPr>
        <w:t>Our product candidates may cause undesirable side effects or adverse events or have other properties or safety risks, which could delay or prevent continued clinical development or their regulatory approval or limit the commercial profile of any approved label.</w:t>
      </w:r>
      <w:r>
        <w:rPr>
          <w:rFonts w:ascii="Arial;sans-serif" w:hAnsi="Arial;sans-serif"/>
          <w:b w:val="false"/>
          <w:color w:val="000000"/>
          <w:sz w:val="20"/>
        </w:rPr>
        <w:t>" If any product candidate is approved but does not achieve an adequate level of acceptance by such parties, we may not generate or derive sufficient revenue from that product candidate and may not become or remain profitable.</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Even if we obtain approval to market our products, these products may become subject to unfavorable pricing regulations, reimbursement practices from third-party payors or healthcare reform initiatives in the United States and abroad, which could harm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European Union, or EU, Japan and Canada, the pricing of prescription drugs is controlled by the government and some countries require approval of the sale price of a drug before it can be marketed. In many countries, the pricing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250"/>
                <wp:effectExtent l="0" t="0" r="0" b="0"/>
                <wp:wrapNone/>
                <wp:docPr id="55" name="Frame5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 granted. Adverse pricing limitations may hinder our ability to recoup our investment in one or more product candidates, even if our product candidates obtain marketing approval.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regulatory approval. If coverage and reimbursement are not available or reimbursement is available only to limited levels, we and our partners may not be able to successfully commercialize any product candidate for which marketing approval is obtained.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The advancement of healthcare reform may negatively impact our ability to profitably sell our product candidates, if approved.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example, on August 16, 2022, President Biden signed the Inflation Reduction Act of 2022, or the IRA, into law, which among other things, (1) directs the U.S. Department of Health and Human Services, or HHS, to negotiate the price of certain single-source drugs and biologics covered under Medicare and (2) imposes rebates under Medicare Part B and Medicare Part D to penalize price increases that outpace inflation. These provisions took effect progressively starting in fiscal year 2023, although the Medicare drug price negotiation program is currently subject to legal challenges. It is currently unclear how the IRA will be implemented but is likely to have a significant impact on the pharmaceutical industry. Further, 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to certain aspects of the ACA. While Congress has not passed comprehensive legislation repealing the ACA, such legislation may be reintroduced. Members of Congress have introduced legislation to modify or replace certain provisions of the ACA. It is unclear how these efforts to repeal and/or replace the ACA will impact the ACA and our business.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250"/>
                <wp:effectExtent l="0" t="0" r="0" b="0"/>
                <wp:wrapNone/>
                <wp:docPr id="56" name="Frame5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example, the Tax Cuts and Jobs Act, or the 2017 Tax Act, repealed the tax-based shared responsibility payment imposed by the ACA on certain individuals who fail to maintain qualifying health coverage that is commonly referred to as the “individual mandate.” On June 17, 2021, the U.S. Supreme Court dismissed a challenge on procedural grounds that argued the ACA is unconstitutional in its entirety because the “individual mandate” was repealed by Congress. Prior to the United States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The IRA also, among other things, extends enhanced subsidies for individuals purchasing health insurance coverage in ACA marketplaces through plan year 2025 and eliminates the “donut hole” under the Medicare Part D program beginning in 2025 by significantly lowering the beneficiary maximum out-of-pocket cost through a newly established manufacturer discount program. It is possible that the ACA and IRA may be subject to judicial or Congressional challenges in the future. It is unclear how any additional healthcare reform measures may impact the ACA or IRA, increase the pressure on drug pricing or limit the availability of coverage and adequate reimbursement for our product candidates, which would adversely affect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an executive order, the administration of President Biden expressed its intent to pursue certain policy initiatives to reduce drug prices and, in response, HHS released a Comprehensive Plan for Addressing High Drug Prices that outlines principles for drug pricing reform and sets out a variety of potential legislative policies that Congress could pursue to lower drug prices.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There have been, and likely will continue to be, legislative and regulatory proposals at the foreign, federal and state levels directed at broadening the availability of healthcare and containing or lowering the cost of healthcare. Such reforms could have an adverse effect on anticipated revenue from product candidates that we may successfully develop and for which we may obtain regulatory approval and may affect our overall financial condition and ability to develop product candidates.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we expect that legislators, policy makers and healthcare insurance funds in the EU Member States will continue to propose and implement cost cutting measures. These measures include mandatory price controls, price referencing, therapeutic-reference pricing, increases in mandates, incentives for generic substitution and biosimilar usage, government-mandated price cuts, limitations on coverage of target population and introduction of volume caps.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Many countries implement health technology assessment, or HTA, procedures that use formal economic metrics such as cost effectiveness to determine prices, coverage and reimbursement of new therapies. These assessments are increasingly implemented in established and emerging markets. In the EU, Regulation (EU) 2021/2282 on Health Technology Assessment, or the HTA Regulation, which will become effective in January 2025, will allow EU member states to use common HTA tools, methodologies and procedures to conduct joint clinical assessments and joint scientific consultations whereby HTA authorities may provide advice to health technology developers. Each EU member state will, however, remain exclusively competent for assessing the relative effectiveness of health technologies and making pricing and reimbursement decisions. Given that the extent to which pricing and reimbursement decisions are influenced by the HTA process currently varies between EU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250"/>
                <wp:effectExtent l="0" t="0" r="0" b="0"/>
                <wp:wrapNone/>
                <wp:docPr id="57" name="Frame5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member states, it is possible that our products may be subject to favorable pricing and reimbursement status only in certain EU countries. If we are unable to maintain favorable pricing and reimbursement status in EU member states that represent significant markets, including following periodic review, our anticipated revenue from and growth prospects for our products in the EU could be negatively affected. Moreover, in order to obtain reimbursement for our products in some EU member states, we may be required to compile additional data comparing the cost-effectiveness of our products to other available therapies. Efforts to generate additional data for the HTA process will involve additional expenses which may substantially increase the cost of commercializing and marketing our products in certain EU member states.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expect that countries will continue taking aggressive actions to seek to reduce expenditures on drugs. Similarly, fiscal constraints may also affect the extent to which countries are willing to approve new and innovative therapies and/or allow access to new technologies.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cannot predict the likelihood, nature or extent of healthcare reform initiatives that may arise from future legislation or administrative action.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Our international operations may expose us to business, regulatory, political, operational, financial, pricing and reimbursement risks associated with doing business outside of the United States.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business is subject to risks associated with conducting business internationally. Some of our suppliers and clinical trial sites are located outside of the United States. Furthermore, if we, Merck or any future partner succeeds in developing any of our product candidates, we intend to market them in the EU and other jurisdictions in addition to the United States. If approved, we, Merck or any future partner may hire sales representatives and conduct physician and patient association outreach activities outside of the United States. Doing business internationally involves a number of challenges and risks, including but not limited to:</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multiple, conflicting and changing laws and regulations, such as privacy and data protection regulations, tax laws, export and import restrictions, employment laws, regulatory requirements and other governmental approvals, permits and licenses;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failure by us to obtain and maintain regulatory approvals for the use of our products in various countries;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rejection or qualification of foreign clinical trial data by the competent authorities of other countries;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delays or interruptions in the supply of clinical trial material resulting from any events affecting raw material or component supply or manufacturing capabilities abroad;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additional potentially relevant third-party patent rights;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complexities and difficulties in obtaining, maintaining, protecting and enforcing our intellectual property;</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difficulties in staffing and managing foreign operations;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complexities associated with managing multiple payor reimbursement regimes, government payors or patient self-pay systems;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limits on our ability to penetrate international markets;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financial risks, such as longer payment cycles, difficulty collecting accounts receivable, the impact of inflation and local and regional financial crises on demand and payment for our products and exposure to foreign currency exchange rate fluctuations;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natural disasters, political, geopolitical and economic instability, including wars such as the conflict between Russia and Ukraine, terrorism and political unrest, disease outbreaks, epidemics and pandemics, boycotts, curtailment of trade and other business restrictions;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of these factors could harm our ongoing international clinical operations and supply chain, as well as any future international expansion and operations and, consequently, our business, financial condition, prospects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250"/>
                <wp:effectExtent l="0" t="0" r="0" b="0"/>
                <wp:wrapNone/>
                <wp:docPr id="58" name="Frame5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Product liability lawsuits against us could cause us to incur substantial liabilities and to limit commercialization of any products that we may develop.</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face an inherent risk of product liability exposure related to the testing of our product candidates in human clinical trials and will face an even greater risk if we or our partner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decreased demand for any product candidates or products that we may develop;</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termination of clinical trial sites or entire trial programs;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injury to our reputation and significant negative media attention;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withdrawal of clinical trial participants;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significant costs to defend the related litigation;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substantial monetary awards to trial subjects or patients;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loss of revenue;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diversion of management and scientific resources from our business operations;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inability to commercialize any products that we may develop.</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Healthcare providers, including physicians, and third-party payors will play a primary role in the recommendation and prescription of any product candidates for which we or our partner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partner obtain marketing approval. Restrictions under applicable federal and state healthcare laws and regulations, include the following:</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the federal False Claims Act, or FCA, imposes criminal and civil penalties, including through civil whistleblower or </w:t>
      </w:r>
      <w:r>
        <w:rPr>
          <w:rFonts w:ascii="Arial;sans-serif" w:hAnsi="Arial;sans-serif"/>
          <w:b w:val="false"/>
          <w:i/>
          <w:color w:val="000000"/>
          <w:sz w:val="20"/>
        </w:rPr>
        <w:t>qui tam</w:t>
      </w:r>
      <w:r>
        <w:rPr>
          <w:color w:val="000000"/>
        </w:rPr>
        <w:t xml:space="preserve"> </w:t>
      </w:r>
      <w:r>
        <w:rPr>
          <w:rFonts w:ascii="Arial;sans-serif" w:hAnsi="Arial;sans-serif"/>
          <w:b w:val="false"/>
          <w:color w:val="000000"/>
          <w:sz w:val="20"/>
        </w:rPr>
        <w:t>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the federal Health Insurance Portability and Accountability Act, or HIPAA, imposes criminal liability for knowingly and willfully executing a scheme to defraud any healthcare benefit program, knowingly and willfully embezzling or stealing from a healthcare benefit program, willfully obstructing a criminal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250"/>
                <wp:effectExtent l="0" t="0" r="0" b="0"/>
                <wp:wrapNone/>
                <wp:docPr id="59" name="Frame5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60" w:after="60"/>
        <w:jc w:val="both"/>
        <w:rPr>
          <w:rFonts w:ascii="Arial;sans-serif" w:hAnsi="Arial;sans-serif"/>
          <w:b w:val="false"/>
          <w:color w:val="000000"/>
          <w:sz w:val="20"/>
        </w:rPr>
      </w:pPr>
      <w:r>
        <w:rPr>
          <w:rFonts w:ascii="Arial;sans-serif" w:hAnsi="Arial;sans-serif"/>
          <w:b w:val="false"/>
          <w:color w:val="000000"/>
          <w:sz w:val="20"/>
        </w:rPr>
        <w:t>investigation of a healthcare offense or knowingly and willfully making false statements relating to healthcare matters;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HIPAA, as amended by the Health Information Technology for Economic and Clinical Health Act of 2009 and its implementing regulations, or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federal Physician Payments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and state and foreign laws that govern the privacy and security and other processing of health information in certain circumstances, many of which differ from each other in significant ways and often are not preempted by HIPAA, thus complicating compliance efforts.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additional regulatory oversight, litigation,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Our business could be materially and adversely affected in the future by the effects of disease outbreaks, epidemics and pandemics, including the COVID-19 pandemic.</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Disease outbreaks, epidemics and pandemics, such as the COVID-19 pandemic, in regions where we have clinical trial sites or other business operations could adversely affect our business, including by causing significant disruptions in our operations and/or in the operations of third-party manufacturers and CROs upon whom we rely. Disease outbreaks, epidemics and pandemics have negative impacts on our ability to initiate new clinical trial sites, to enroll new patients and to maintain existing patients who are participating in our clinical trials, which may include increased clinical trial costs, longer timelines and delay in our ability to obtain regulatory approvals of our product candidates, if at all. For example, our ability to attract additional clinical trial sites and principal investigators to conduct our clinical trials and to conduct the necessary clinical trial site initiation procedures was impacted by COVID-19 quarantines, shelter-in-place and similar restrictions imposed by federal, state and local governments. In addition, during the COVID-19 pandemic, we experienced, from time to time, a slower pace of clinical site initiation and clinical trial enrollment and a higher subject dropout rate than originally anticipated in certain of our clinical trials, which we believe may have been due to factors such as the vulnerability of our studied patient populations,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250"/>
                <wp:effectExtent l="0" t="0" r="0" b="0"/>
                <wp:wrapNone/>
                <wp:docPr id="60" name="Frame6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site staff shortages, clinical trial site suspensions, reallocation of medical resources and the challenges of working remotely due to shelter-in-place and similar government orders and guidelines, among other factors.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General supply chain issues may be exacerbated during disease outbreaks, epidemics and pandemics and may also impact the ability of our clinical trial sites to obtain basic medical supplies used in our trials in a timely fashion, if at all. For example, in 2022 we were made aware of a shortage of tubes required for taking blood samples, requiring the use of tubes of a different size from those specified in one of our protocols. In addition, our CMOs’ facilities and operations have been adversely affected by labor, raw material and component shortages, high turnover of staff and difficulties in hiring trained and qualified replacement staff during the COVID-19 pandemic. These difficulties have resulted in some delays in early development timelines and we could experience more significant disruptions to our supply chain and operations as a result of disease outbreaks, epidemics or pandemics in the future. If our CMOs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our product candidates on our anticipated development timelines. Likewise, the operations of our third-party manufacturers may be requisitioned, diverted or allocated by U.S. or foreign government orders such as under emergency, disaster and civil defense declarations in connection with the COVID-19 pandemic or otherwise. For example, early in the COVID-19 pandemic, our aldafermin drug product CMO advised us that it could be required under orders of the U.S. government to allocate manufacturing capacity to the manufacture or distribution of COVID-19 vaccines. If any of our CMOs or raw materials or components suppliers become subject to acts or orders of U.S. or foreign government entities to allocate or prioritize manufacturing capacity,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Moreover, COVID-19 continues to evolve, and the extent to which COVID-19 may impact our business, results of operations and financial position will depend on future developments, which are highly uncertain and cannot be predicted with confidence, such as the emergence, infectiousness and severity of new variants, travel restrictions, quarantines and social distancing in the United States and other countries, business closures or business disruptions, global supply challenges, and the effectiveness of actions in the United States and other countries to contain and treat the disease. New health epidemics or pandemics may emerge that result in similar or more severe disruptions to our business. To the extent the effects of the COVID-19 pandemic, or any future disease outbreak, epidemic or pandemic, adversely affects our business and results of operations, it also may have the effect of heightening many of the other risks and uncertainties described elsewhere in this ‘"Risk Factors"’ section.</w:t>
      </w:r>
    </w:p>
    <w:p>
      <w:pPr>
        <w:pStyle w:val="TextBody"/>
        <w:bidi w:val="0"/>
        <w:spacing w:lineRule="auto" w:line="288" w:before="240" w:after="120"/>
        <w:ind w:left="0" w:right="0" w:firstLine="720"/>
        <w:jc w:val="center"/>
        <w:rPr>
          <w:rFonts w:ascii="Arial;sans-serif" w:hAnsi="Arial;sans-serif"/>
          <w:b/>
          <w:color w:val="000000"/>
          <w:sz w:val="20"/>
        </w:rPr>
      </w:pPr>
      <w:r>
        <w:rPr>
          <w:rFonts w:ascii="Arial;sans-serif" w:hAnsi="Arial;sans-serif"/>
          <w:b/>
          <w:color w:val="000000"/>
          <w:sz w:val="20"/>
        </w:rPr>
        <w:t>Risks Related to Regulatory Approvals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The regulatory approval processes of the FDA and comparable foreign health authorities are lengthy and inherently unpredictable. Our inability to obtain regulatory approval for our product candidates would substantially harm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Currently, none of our product candidates has received regulatory approval and we do not expect our product candidates to be commercially available for several years, if at all. The time required to obtain approval from the FDA and comparable foreign health authorities is unpredictable but typically takes many years following the commencement of preclinical studies and clinical trials and depends upon numerous factors, including the substantial discretion of the health authorities. In addition, approval policies, regulations or the type and amount of preclinical and clinical data necessary to gain approval may change during the course of a product candidate’s development and may vary among jurisdictions. It is possible that none of our existing or future product candidates will ever obtain regulatory approval.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product candidates could fail to receive regulatory approval from the FDA or a comparable foreign health authority for many reasons, including:</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disagreement with the design or implementation of our clinical trials;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failure to demonstrate that a product candidate is safe and effective for its proposed indication;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failure of results of clinical trials to meet the level of statistical significance required for approval;</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failure to demonstrate that a product candidate’s clinical and other benefits outweigh its safety risks;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disagreement with our interpretation of data from preclinical studies or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250"/>
                <wp:effectExtent l="0" t="0" r="0" b="0"/>
                <wp:wrapNone/>
                <wp:docPr id="61" name="Frame6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insufficiency of data collected from clinical trials to support the submission and filing of a BLA or other submission or to obtain regulatory approval;</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failure to obtain approval of the manufacturing processes or facilities of third-party manufacturers with whom we contract for clinical and commercial supplies;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unfavorable quality review or audit/inspection findings; or</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changes in the approval policies or regulations that render our preclinical and clinical data insufficient for approval.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FDA or a comparable foreign health authority may require more information, including additional preclinical or clinical data, to support approval, which may delay or prevent approval and commercialization, or we may decide to abandon the development program for other reasons. If we obtain approval, regulatory authorities may approve any of our product candidates for fewer or more limited indications than we request, may grant accelerated approval or conditional marketing authorization based on a surrogate endpoint and contingent on the successful outcome of costly post-marketing confirmatory clinical trials or may approve a product candidate with a label that does not include the labeling claims necessary or desirable for the successful commercialization of that product candidate.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and the FDA may grant accelerated approval based on a surrogate endpoint reasonably likely to predict clinical benefit. However, Fast Track designation does not guarantee, or in any way change the standards for, full product approval.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we or a future partner seek accelerated approval for one of our product candidates based on a surrogate endpoint, the FDA may not accept such endpoint, may require additional studies or analysis or may not approve our product candidate on an accelerated basis, or at all. In addition, if full approval is granted for another product in the same indication for which we are seeking accelerated approval for one of our product candidates, the accelerated approval pathway may no longer be available to us or a future partner for our product candidate.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EU, innovative products that target an unmet medical need and are expected to be of major public health interest may be eligible for a number of expedited development and review programs, such as the Priority Medicines, or PRIME, scheme, which provides incentives similar to the breakthrough therapy designation in the United States.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Sponsors that benefit from PRIME designation are potentially eligible for accelerated assessment of their marketing authorization applications, although this is not guaranteed. If a product for which PRIME designation was granted is the subject of an accelerated assessment, the product may be placed on the market in the EU before our product candidate with a similar therapeutic indication.</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Our failure to obtain health authority approval in foreign jurisdictions would prevent us from marketing our product candidates outside the United States.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we or our partners succeed in developing any products, we intend to market them in the EU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pricing and reimbursement approvals before health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health authorities in other countries and regulatory approval in one country does not ensure approval in any other country, while a failure or delay in obtaining regulatory approval in one country may have a negative effect on the regulatory approval process in others. If we fail to obtain approval of any of our product candidates by health authorities in another country, we will be unable to commercialize our product in that country, and the commercial prospects of that product candidate and our business prospects could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250"/>
                <wp:effectExtent l="0" t="0" r="0" b="0"/>
                <wp:wrapNone/>
                <wp:docPr id="62" name="Frame6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Even if our product candidates receive regulatory approval, they may still face future development and regulatory difficulties.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Even if we obtain regulatory approval for a product candidate, it would be subject to ongoing requirements by the FDA and comparable foreign health authorities governing the manufacture, quality control, further development, labeling, packaging, storage, distribution, safety surveillance, import, export, advertising, promotion, recordkeeping and reporting of safety and other post-market information. The FDA and comparable foreign health authorities will continue to closely monitor the safety profile of any product even after approval. If the FDA or comparable foreign health authorities become aware of new safety information after approval of any of our product candidates, they may require labeling changes or establishment of a Risk Evaluation and Mitigation Strategy, or REMS, or similar strategy, impose significant restrictions on a product’s indicated uses or marketing or impose ongoing requirements for potentially costly post-approval studies or post-market surveillance. Failure to comply with any related obligations may result in the suspension or withdrawal of an obtained approval and in civil and/or criminal penalties. Receipt of approval for narrower indications than sought, restrictions on marketing through a REMS or similar strategy imposed in an EU member state or other foreign country, or significant labeling restrictions or requirements in an approved label such as a boxed warning, could have a negative impact on our ability to recoup our R&amp;D costs and to successfully commercialize that product, any of which could materially and adversely affect our business, financial condition, results of operations and growth prospects. In any event, if we are unable to comply with our post-marketing obligations imposed as part of the marketing approvals in the United States, the EU, or other countries, our approval may be varied, suspended or revoked, product supply may be delayed and our sales of our products could be materially adversely affected.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manufacturers of drug substance and drug products and their facilities are subject to continual review and periodic inspections by the FDA and comparable foreign health authorities for compliance with current Good Manufacturing Practices, or cGMP, regulations.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or the manufacturing facilities for our product candidates fail to comply with applicable regulatory requirements, or if our product candidates are found to cause undesirable or unacceptable side effects, a regulatory agency may:</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issue safety alerts, Dear Healthcare Provider letters, press releases or other communications containing warnings about such product;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mandate modifications to promotional materials or require us to provide corrective information to healthcare practitioners;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require that we conduct and complete post-marketing studies;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require us to enter into a consent decree, which can include imposition of various fines, reimbursements for inspection costs, required due dates for specific actions and penalties for noncompliance;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seek an injunction or impose civil or criminal penalties or monetary fines;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suspend marketing of, withdraw regulatory approval of or initiate a recall of such product;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suspend any ongoing clinical trials;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refuse to approve pending applications or supplements to applications filed by us;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suspend or impose restrictions on operations, including costly new manufacturing requirements; or</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seize or detain products or refuse to permit the import or export of products.</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The occurrence of any event or penalty described above may inhibit our ability to commercialize our products and generate revenue.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Advertising and promotion of any product candidate that obtains approval in the United States will be heavily scrutinized by the FDA, Department of Justice,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health authorities, public prosecutors, industry associations, healthcare professionals and other members of the public will heavily scrutinize advertising and promotion of any product candidate outside of the United States.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the United States, engaging in the impermissible promotion of our products for off-label uses can subject us to false claims litigation under federal and state statutes, which can lead to civil and criminal penalties and fines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250"/>
                <wp:effectExtent l="0" t="0" r="0" b="0"/>
                <wp:wrapNone/>
                <wp:docPr id="63" name="Frame6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and agreements that materially restrict the manner in which a company promotes or distributes drug products. These false claims statutes include the federal FCA,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FCA lawsuits against pharmaceutical companies have increased significantly in volume and breadth, leading to several substantial civil and criminal settlements regarding certain sales practices promoting off-label drug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EU, the advertising and promotion of medicinal products are subject to both EU and EU member state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directives, the details are governed by regulations in each member state and can differ from one country to another. For example, applicable laws require that promotional materials and advertising in relation to medicinal products comply with the product’s Summary of Product Characteristics, or SmPC, as approved by the competent authorities in connection with a marketing authorization. The SmPC is the document that provides information to physicians concerning the safe and effective use of the product. Promotional activity that does not comply with the SmPC is considered off-label and is prohibited in the EU. Direct-to-consumer advertising of prescription medicinal products is also prohibited in the EU.</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Failure to comply with EU, EU member state, and other country laws that apply to the conduct of clinical trials, manufacturing approval, marketing authorization of medicinal products and marketing of such products, both before and after grant of a marketing authorization, or with other applicable regulatory requirements, may result in administrative, civil or criminal penalties. These penalties could include delays or refusal to authorize the conduct of clinical trials, or to grant marketing authorization,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 In addition, legislation adopted at the EU level may be implemented differently by individual member states. These regulations, and their differing implementations in member states, increase our legal and financial compliance costs and may make some activities more time-consuming and expensive.</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Even if we are able to obtain regulatory approvals for any of our product candidates, if they exhibit harmful side effects after approval, our regulatory approvals could be revoked or otherwise negatively impacted.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Even if we receive regulatory approval for any of our product candidates, we will have tested them in only a small number of patients during our clinical trials. If an application for marketing is approved for any of our product candidates and more patients begin to use our product, new risks and side effects associated with our products may be discovered. As a result, health authorities may revoke their approvals. Additionally, we may be required to conduct additional clinical trials, make changes in labeling of our product, reformulate our product or make changes and obtain new approvals for our and our suppliers’ manufacturing facilities for our product candidates. Equivalent obligations could be imposed by the foreign health authorities.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250"/>
                <wp:effectExtent l="0" t="0" r="0" b="0"/>
                <wp:wrapNone/>
                <wp:docPr id="64" name="Frame6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Risks Related to Our Intellectual Property</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Our success depends in significant part upon our ability to obtain and maintain intellectual property protection for our products and technologies.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success depends in significant part on our ability and the ability of our current or future licensors, licensees, partners or collaborators to establish and maintain adequate intellectual property covering the product candidates that we plan to develop. In addition to taking other steps designed to protect our intellectual property, we have applied for, and intend to continue applying for, patents with claims covering our technologies, processes and product candidates when and where we deem it appropriate to do so. However, the patent prosecution process is expensive and time-consuming, and we and our current or future licensors, licensees, partners or collaborators may not be able to prepare, file and prosecute all necessary or desirable patent applications at a reasonable cost or in a timely manner. It is also possible that we or our current or future licensors, licensees, partners or collaborators will fail to identify patentable aspects of inventions made in the course of development and commercialization activities before it is too late to obtain patent protection for them. Pending and future patent applications filed by us or our current or future licensors’, licensees’, partners' or collaborators’ may not result in patents being issued that protect our technology or product candidates, or products resulting therefrom, in whole or in part, or that effectively prevent others from commercializing competitive technologies and products.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filed numerous patent applications both in the United States and in certain foreign jurisdictions to obtain patent rights to our inventions, with claims directed to compositions-of-matter, methods of use, formulations, combination therapy and other technologies relating to our product candidates. There can be no assurance that any of these patent applications will issue as patents or, for those applications that do mature into patents, whether the claims of the patents will exclude others from making, using or selling our product or product candidates, or products or product candidates that are substantially similar to ours. In countries where we have not and do not seek patent protection, third parties may be able to manufacture and sell products that are substantially similar or identical to our products or product candidates without our permission, and we may not be able to stop them from doing so.</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Similar to other biotechnology companies, our patent position is generally highly uncertain and involves complex legal and factual questions. In this regard, we cannot be certain that we or our current or future licensors, licensees, partners or collaborators were the first to make an invention, or the first inventors to file a patent application claiming an invention in our owned or licensed patents or pending patent applications. In addition, even if patents are issued, given the amount of time required for the development, testing and regulatory review of our product candidates, any patents protecting such candidates might expire before or shortly after the resulting products are commercialized. Moreover, the laws and regulations governing patents could change in unpredictable ways that could weaken the ability of us and our current or future licensors, licensees, partners or collaborators to obtain new patents or to enforce existing patents and patents we may obtain in the future. In any event, the issuance, scope, validity, enforceability and commercial value of our patent rights and those of our current or future licensors, licensees, partners or collaborators are highly uncertain and may not effectively prevent others from commercializing competitive technologies and products.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partners or collaborators to perform these activities, which means that these patent applications may not be prosecuted, and these patents may not be enforced, in a manner consistent with the best interests of our business. If our current or future licensors, licensees, partners or collaborators fail to establish, maintain, protect or enforce such patents and other intellectual property rights, such rights may be reduced or eliminated. If our current or future licensors, licensees, partners or collaborators are not fully cooperative or disagree with us as to the prosecution, maintenance or enforcement of any patent rights, such patent rights could be compromised.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the legal protection afforded to inventors and owners of intellectual property in countries outside of the United States may not be as broad or effective as that in the United States and we may be unable to acquire and enforce intellectual property rights outside the United States to the same extent as in the United States, if at all. Accordingly, our efforts, and those of our licensors, licensees, partners or collaborators, to enforce intellectual property rights around the world may be inadequate to obtain a significant commercial advantage from the intellectual property that we own or license.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do not currently own or have a license to any issued patents that cover our NGM438 product candidate, although NGM438 is disclosed and claimed in pending U.S. non-provisional and international applications. Our NGM707 and NGM831 product candidates are each covered by one issued United States patent, and our NGM621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250"/>
                <wp:effectExtent l="0" t="0" r="0" b="0"/>
                <wp:wrapNone/>
                <wp:docPr id="65" name="Frame6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product candidate is covered by two issued United States patents, although the product and related compositions-of-matter and methods of use are disclosed and claimed in other pending U.S. non-provisional and/or national stage applications in particular foreign countries. The patent landscape surrounding all of our product candidates is crowded, and there can be no assurance that we will be able to secure patent protection that would adequately cover such product candidates, that we will obtain sufficiently broad claims to be able to prevent others from selling competing products or that we will be able to protect and maintain any patent protection that we initially secure.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changes we make to our product candidates to cause them to have what we view as more advantageous properties may not be covered by our existing patents and patent applications, and we may be required to file new patent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any of our product candidates.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may be unable to obtain intellectual property rights or technologies necessary to develop and commercialize our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Several third parties are actively researching and seeking and obtaining patent protection in the fields of cancer, retinal diseases, CVM-related diseases, including heart failure, and liver and metabolic diseases, and there are issued third-party patents and published third-party patent applications in these fields. The patent landscape around our product candidates is complex, and we are aware of several third-party patents and patent applications containing claims directed to compositions-of-matter, methods of use and related subject matter, some of which pertain, at least in part, to subject matter that might be relevant to our product candidates. However, we may not be aware of all third-party intellectual property rights potentially relating to our product candidates and technologies.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Depending on what patent claims ultimately issue and how courts construe the issued patent claims, as well as the ultimate formulation and method of use of our product candidates, we may need to obtain a license to practice the technology claimed in such patents. There can be no assurance that such licenses will be available on commercially reasonable terms, or at all. If we are unable to successfully obtain rights to required third-party intellectual property rights or maintain the existing rights to third-party intellectual property rights we have, we might be unable to develop and commercialize one or more of our product candidates, which could have a material adverse effect on our business, financial condition, results of operations and prospects.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could lose the ability to continue the development and commercialization of our products or product candidates if we breach any license agreement related to those products or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commercial success depends upon our ability, and the ability of our current and future licensors, licensees, partners and collaborators, to develop, manufacture, market and sell our products and product candidates and use our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and patent licenses that are important to our business, and we expect to enter into additional licenses in the future. If we fail to comply with the obligations under these agreements, including payment and diligence obligations, our licensors may have the right to terminate these agreements. In the event of a termination of these agreements,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license agreements with multiple vendors, including our licenses with Horizon Discovery Ltd. and Lonza Sales AG, under which we license cell lines and other technology used to produce multiple product candidates, including some that are currently subject to our collaboration with Merck. We require prior consent from some of these vendors to grant sub-licenses under these agreements. Therefore, these vendors may be able to prevent us from granting sub-licenses to third parties, which could affect our ability or Merck’s ability to use certain desired manufacturers in order to manufacture our product candidates. In the event of a termination of our license agreements, our ability or Merck’s ability to manufacture or develop any product candidates covered by these agreements may be limited or halted unless we can develop or obtain the rights to technology necessary to produce these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of the foregoing could materially adversely affect the value of the product or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250"/>
                <wp:effectExtent l="0" t="0" r="0" b="0"/>
                <wp:wrapNone/>
                <wp:docPr id="66" name="Frame6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may become involved in lawsuits or other proceedings to protect or enforce our intellectual property, which could be expensive, time-consuming and unsuccessful and have a material adverse effect on the success of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Third parties may infringe patents or misappropriate or otherwise violate intellectual property rights owned or controlled by us or our current or future licensors, licensees, partners or collaborators. In the future, it may be necessary to initiate legal proceedings to enforce or defend these intellectual property rights, to protect trade secrets or to determine the validity or scope of intellectual property rights that are owned or controlled by us or our current or future licensors, licensees, partners or collaborators. Litigation could result in substantial costs and diversion of management resources, which could harm our business and financial results.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we or our current or future licensors, licensees, partners or collaborators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United States Patent and Trademark Office, or USPTO, or made a misleading statement during prosecution. In an infringement or declaratory judgment proceeding, a court may decide that a patent owned by or licensed to us or our current or future licensors, licensees, partners or collaborators is invalid or unenforceable, or may refuse to stop the other party from using the technology at issue on the grounds that the patent does not cover the technology in question. An adverse result in any litigation proceeding could put one or more of the patents at risk of being invalidated, narrowed, held unenforceable or interpreted in such a manner that would not preclude third parties from entering the market with competing products.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Third parties may initiate legal proceedings against us or our current or future licensors, licensees, partners or collaborators to challenge the validity or scope of intellectual property rights we own or control. For example, generic or biosimilar drug manufacturers or other competitors or third parties may challenge the scope, validity or enforceability of patents owned or controlled by us or our current or future licensors, licensees, partners or collaborators. These proceedings can be expensive and time-consuming, and many of our adversaries may have the ability to dedicate substantially greater resources to prosecuting these legal actions than us. Accordingly, despite our efforts, we or our current or future licensors, licensees, partners or collaborators may not be able to prevent third parties from infringing upon or misappropriating intellectual property rights we own, control or have rights to, particularly in countries where the laws may not protect those rights as fully as in the United States.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There is a risk that some of our confidential information could be compromised by disclosure during litigation because of the substantial amount of discovery required. Additionally, many foreign jurisdictions have rules of discovery that are different than those in the United States and that may make defending or enforcing our patents extremely difficult. There also could be public announcements of the results of hearings, motions or other interim proceedings or developments. If securities analysts or investors perceive these results to be negative, it could have a material adverse effect on the price of shares of our common stock.</w:t>
      </w:r>
    </w:p>
    <w:p>
      <w:pPr>
        <w:pStyle w:val="TextBody"/>
        <w:bidi w:val="0"/>
        <w:spacing w:lineRule="auto" w:line="288" w:before="120" w:after="120"/>
        <w:ind w:left="0" w:right="0" w:firstLine="720"/>
        <w:jc w:val="both"/>
        <w:rPr/>
      </w:pPr>
      <w:r>
        <w:rPr>
          <w:rFonts w:ascii="Arial;sans-serif" w:hAnsi="Arial;sans-serif"/>
          <w:b w:val="false"/>
          <w:color w:val="000000"/>
          <w:sz w:val="20"/>
        </w:rPr>
        <w:t xml:space="preserve">Third-party pre-issuance submission of prior art to the USPTO, opposition, derivation, revocation, reexamination, </w:t>
      </w:r>
      <w:r>
        <w:rPr>
          <w:rFonts w:ascii="Arial;sans-serif" w:hAnsi="Arial;sans-serif"/>
          <w:b w:val="false"/>
          <w:i/>
          <w:color w:val="000000"/>
          <w:sz w:val="20"/>
        </w:rPr>
        <w:t>inter partes</w:t>
      </w:r>
      <w:r>
        <w:rPr>
          <w:color w:val="000000"/>
        </w:rPr>
        <w:t xml:space="preserve"> </w:t>
      </w:r>
      <w:r>
        <w:rPr>
          <w:rFonts w:ascii="Arial;sans-serif" w:hAnsi="Arial;sans-serif"/>
          <w:b w:val="false"/>
          <w:color w:val="000000"/>
          <w:sz w:val="20"/>
        </w:rPr>
        <w:t>review or interference proceedings, or other pre-issuance or post-grant proceedings, as well as other patent office proceedings or litigation in the United States or other jurisdictions brought by third parties against patents or patent applications owned or controlled by us or our current or future licensors, licensees, partners or collaborators, may be necessary to determine the inventorship, priority, patentability or validity of these patents or patent applications. An unfavorable outcome could leave our technology or product candidates without patent protection and allow third parties to commercialize our technology or product candidates without payment to us. Additionally, potential licensees, partners or collaborators could be dissuaded from collaborating with us to license, develop or commercialize current or future product candidates if the breadth or strength of protection provided by our patents and patent applications is threatened. Even if we successfully defend such litigation or proceeding, we may incur substantial costs and it may distract our management and other employees.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Third parties may initiate legal proceedings against us alleging that we infringe their intellectual property rights or we may initiate legal proceedings against third parties to challenge the validity or scope of the third-party intellectual property rights, the outcome of which would be uncertain and could have a material adverse effect on the success of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Third parties may initiate legal proceedings against us or our current or future licensors, licensees, partners or collaborators alleging that we infringe their intellectual property rights. Alternatively, we may initiate legal proceedings to challenge the validity or scope of intellectual property rights controlled by third parties, including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250"/>
                <wp:effectExtent l="0" t="0" r="0" b="0"/>
                <wp:wrapNone/>
                <wp:docPr id="67" name="Frame6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pPr>
      <w:r>
        <w:rPr>
          <w:rFonts w:ascii="Arial;sans-serif" w:hAnsi="Arial;sans-serif"/>
          <w:b w:val="false"/>
          <w:color w:val="000000"/>
          <w:sz w:val="20"/>
        </w:rPr>
        <w:t xml:space="preserve">oppositions, interferences, revocations, reexaminations, </w:t>
      </w:r>
      <w:r>
        <w:rPr>
          <w:rFonts w:ascii="Arial;sans-serif" w:hAnsi="Arial;sans-serif"/>
          <w:b w:val="false"/>
          <w:i/>
          <w:color w:val="000000"/>
          <w:sz w:val="20"/>
        </w:rPr>
        <w:t>inter partes</w:t>
      </w:r>
      <w:r>
        <w:rPr>
          <w:color w:val="000000"/>
        </w:rPr>
        <w:t xml:space="preserve"> </w:t>
      </w:r>
      <w:r>
        <w:rPr>
          <w:rFonts w:ascii="Arial;sans-serif" w:hAnsi="Arial;sans-serif"/>
          <w:b w:val="false"/>
          <w:color w:val="000000"/>
          <w:sz w:val="20"/>
        </w:rPr>
        <w:t>review or derivation proceedings before the USPTO or its counterparts in other jurisdictions. In this regard, we are aware of several third-party patents and patent applications containing claims directed to compositions-of-matter, methods of use and related subject matter, some of which pertain, at least in part, to subject matter that might be relevant to our product candidates. These proceedings can be expensive and time-consuming, and many of our adversaries may have the ability to dedicate substantially greater resources to prosecuting these legal actions than us.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we may be subject to claims that we or our employees have used or disclosed confidential information or intellectual property, including trade secrets or other proprietary information, of any such employee’s former employer, or that third parties have an interest in our patents as an inventor or co-inventor. Likewise, we and our current or future licensors, licensees, partners or collaborators may be subject to claims that former employees, partners, collaborators or other third parties have an interest in our owned or in-licensed patents, trade secrets or other intellectual property as an inventor or co-inventor. Litigation may be necessary to defend against these claims.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Even if we believe third-party intellectual property claims are without merit, there is no assurance that a court would find in our favor on questions of infringement, validity, enforceability or priority. In order to successfully challenge the validity of any such U.S. patent in federal court, we would need to overcome a presumption of validity in favor of the granted third-party patent. This is a high burden, requiring us to present clear and convincing evidence as to the invalidity of any such U.S. patent claim.</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 unfavorable outcome in any such proceeding could require us and our current or future licensors, licensees, partners or collaborators to cease using the related technology or developing or commercializing the product or product candidate, or to attempt to license rights to it from the prevailing party, which may not be available on commercially reasonable terms, or at all. Additionally,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may not be able to protect our intellectual property rights throughout the world.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or our licensors’ inventions in all countries outside the United States, even in jurisdictions where we or our licensors do pursue patent protection. Competitors may use our technologies in jurisdictions where we have not obtained patent protection to develop their own competing products and, further, may export otherwise infringing products to territories where we have patent protection, but enforcement is not as strong as that in the United States.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Europe recently implemented the Unitary Patent system and the Unitary Patent Court, or the UPC. European applications, upon grant, and European issued patents, have the option of becoming a Unitary Patent which will be subject to the jurisdiction of the UPC in participating jurisdictions. This will be a significant change in European patent practice. As the UPC is a new court system, there is no precedent for the court, increasing the uncertainty of any litigation. It is our initial belief that the UPC, while offering a cheaper streamlined process, has potential disadvantages to patent holders, such as making a single European patent vulnerable in all participating jurisdictions when challenged in a single jurisdiction.</w:t>
      </w:r>
    </w:p>
    <w:p>
      <w:pPr>
        <w:pStyle w:val="TextBody"/>
        <w:bidi w:val="0"/>
        <w:spacing w:lineRule="auto" w:line="288" w:before="240" w:after="120"/>
        <w:ind w:left="0" w:right="0" w:firstLine="720"/>
        <w:jc w:val="center"/>
        <w:rPr>
          <w:rFonts w:ascii="Arial;sans-serif" w:hAnsi="Arial;sans-serif"/>
          <w:b/>
          <w:color w:val="000000"/>
          <w:sz w:val="20"/>
        </w:rPr>
      </w:pPr>
      <w:r>
        <w:rPr>
          <w:rFonts w:ascii="Arial;sans-serif" w:hAnsi="Arial;sans-serif"/>
          <w:b/>
          <w:color w:val="000000"/>
          <w:sz w:val="20"/>
        </w:rPr>
        <w:t xml:space="preserve">Risks Related to Ownership of Our Common Stock </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 xml:space="preserve">The market price of our common stock has been and may continue to be volatile, and you could lose all or part of your investment.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market price for our common stock has fluctuated significantly from time to time, for example, varying between a high of $32.12 on March 17, 2021 and a low of $0.76 on October 27, 2023. The trading price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250"/>
                <wp:effectExtent l="0" t="0" r="0" b="0"/>
                <wp:wrapNone/>
                <wp:docPr id="68" name="Frame6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common stock has been and may continue to be highly volatile and subject to wide fluctuations in response to various factors, some of which we cannot control. In addition to the factors discussed in this “Risk Factors” section, these factors include: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interim or final results of clinical trials of our product candidates or those of our competitors;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ability to raise adequate capital through public or private equity or debt offerings or negotiate potential BD Arrangements in a timely manner or at all;</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success of competitive products or technologies;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regulatory actions with respect to our product candidates or our competitors’ product candidates or products;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timeline delays in our clinical trials;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level of expenses related to any of our product candidates or clinical development programs;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actual or anticipated changes in our growth rate relative to our competitors;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announcements by us or our competitors or partners of significant acquisitions, strategic collaborations, joint ventures or capital commitments;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regulatory, legal or payor developments in the United States and other countries;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developments or disputes concerning patent applications, issued patents or other proprietary rights;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recruitment or departure of key personnel;</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results of our efforts to in-license or acquire additional product candidates or products;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actual or anticipated changes in estimates as to financial results, development timelines or recommendations by securities analysts;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variations in our financial results or those of companies that are perceived to be similar to us;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fluctuations in the valuation of companies perceived by investors to be comparable to us;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share price and volume fluctuations attributable to inconsistent trading volume levels of our shares;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announcement or expectation of additional financing efforts;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purchases or sales of our common stock by us, our insiders or our other stockholders;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changes in the structure of healthcare payment systems;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market conditions in the pharmaceutical and biotechnology sectors; and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general economic, industry and market conditions.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including in connection with ongoing global geopolitical conflicts and recent and potential future bank failures, which has resulted in decreased stock prices for many companies notwithstanding the lack of a fundamental change in their underlying business models or prospects. Broad market and industry factors, including worsening economic conditions and other adverse effects or developments relating to the effects of the COVID-19 pandemic and recent and potential future bank failures, macroeconomic factors including inflation and rising interest rates, and global geopolitical conflicts may negatively affect the market price of our common stock, regardless of our actual operating performance. The realization of any of the above risks or any of a broad range of other risks, including those described elsewhere in this “Risk Factors” section, could have a dramatic and material adverse impact on the market price of our common stock.</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Because of volatility in our trading price and trading volume, we may incur significant costs from class action securities litigation.</w:t>
      </w:r>
    </w:p>
    <w:p>
      <w:pPr>
        <w:pStyle w:val="TextBody"/>
        <w:bidi w:val="0"/>
        <w:spacing w:lineRule="auto" w:line="288" w:before="120" w:after="120"/>
        <w:ind w:left="0" w:right="0" w:firstLine="720"/>
        <w:jc w:val="both"/>
        <w:rPr/>
      </w:pPr>
      <w:r>
        <w:rPr>
          <w:rFonts w:ascii="Arial;sans-serif" w:hAnsi="Arial;sans-serif"/>
          <w:b w:val="false"/>
          <w:color w:val="000000"/>
          <w:sz w:val="20"/>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and the time and attention of our management could be diverted from other business concerns, either of which could seriously harm our business. Refer to the risk factor titled “</w:t>
      </w:r>
      <w:r>
        <w:rPr>
          <w:rFonts w:ascii="Arial;sans-serif" w:hAnsi="Arial;sans-serif"/>
          <w:b w:val="false"/>
          <w:i/>
          <w:color w:val="000000"/>
          <w:sz w:val="20"/>
        </w:rPr>
        <w:t>An active trading market for our common stock may not be sustained and sales of a substantial number of shares of our common stock in the public market could cause our stock price to fall.</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250"/>
                <wp:effectExtent l="0" t="0" r="0" b="0"/>
                <wp:wrapNone/>
                <wp:docPr id="69" name="Frame6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Our principal stockholders, including entities affiliated with The Column Group, Merck and management, own a substantial percentage of our stock and collectively will be able to exert significant control over matters subject to stockholder approval.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executive officers, directors, significant stockholders, including entities affiliated with The Column Group and Merck, and their respective affiliates, beneficially own a substantial amount of our voting stock. These stockholders collectively may be able to determine all matters requiring stockholder approval. For example, these stockholders collectively may be able to control elections of directors, amendments of our organizational documents or approval of any merger, sale of assets or other major corporate transaction. The interests of this group of stockholders may not always coincide with your interests or the interests of other stockholders. In addition, if any of our significant stockholders decide to sell a meaningful amount of their ownership position and there is not sufficient demand in the market for our common stock, our stock price could fall.</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An active trading market for our common stock may not be sustained and sales of a substantial number of shares of our common stock in the public market could cause our stock price to fall.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common stock is currently listed on The Nasdaq Global Select Market under the symbol “NGM” and trades on that market. We cannot ensure that an active trading market for our common stock will be sustained. Accordingly, we cannot ensure the liquidity of any trading market, your ability to sell your shares of our common stock when desired or the prices that you may obtain for your shares.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For the trading days during the three months ended September 30, 2023, the average daily trading volume for our common stock on The Nasdaq Global Select Market was only 307,036 shares. As a result, sales of a substantial number of shares of our common stock in the public market, including pursuant to the Amended Sales Agreement, or by any of our large stockholders, or even the perception in the market that we or the holders of a large number of shares intend to sell shares, could reduce the market price of our common stock. In addition, as a result of the low trading volume of our common stock, the trading of relatively small quantities of shares by our stockholders could disproportionately influence the market price of our common stock in either direction. The price for our shares could, for example, decline significantly in the event that a large number of shares of our common stock are sold on the market without commensurate demand, as compared to an issuer with a higher trading volume that could better absorb those sales without an adverse impact on its stock price. Moreover, certain holders of our common stock have rights, subject to certain conditions, to require us to file registration statements covering their shares or to include their shares in registration statements that we may file for ourselves or other stockholders.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 xml:space="preserve">Our failure to meet Nasdaq’s continued listing requirements could result in a delisting of our common stock.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If we fail to satisfy the continued listing requirements of The Nasdaq Global Select Market,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minimum bid price requirement or prevent future non-compliance with the listing requirements of The Nasdaq Global Select Market.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do not intend to pay dividends on our common stock so any returns will be limited to the value of our stock.</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if any.</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Some provisions of our charter documents, Delaware law and our agreement with Merck may have anti-takeover effects or could otherwise discourage an acquisition of us by others, even if an acquisition would benefit our stockholders, and may prevent attempts by our stockholders to replace or remove our current management.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to remove our current management. These provisions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250"/>
                <wp:effectExtent l="0" t="0" r="0" b="0"/>
                <wp:wrapNone/>
                <wp:docPr id="70" name="Frame7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 board of directors divided into three classes serving staggered three-year terms, such that not all members of the board will be elected at one time;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authorizing the issuance of “blank check” preferred stock, the terms of which we may establish and shares of which we may issue without stockholder approval;</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prohibiting cumulative voting in the election of directors, which would otherwise allow for less than a majority of stockholders to elect director candidates;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prohibiting stockholder action by written consent, thereby requiring all stockholder actions to be taken at a meeting of our stockholders;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eliminating the ability of stockholders to call a special meeting of stockholders;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establishing advance notice requirements for nominations for election to the board of directors or for proposing matters that can be acted upon at stockholder meetings.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which may discourage, delay or prevent someone from acquiring us or merging with us whether or not it is desired by or beneficial to our stockholders. In addition, Section 203 of the Delaware General Corporation Law prohibits a publicly-held Delaware corporation from engaging in a business combination with an interested stockholder, which is generally a person that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Certain provisions in our agreement with Merck may also deter a change of control. For example, under the Amended Collaboration Agreement, a change of control gives Merck the right to terminate the research phase of the collaboration as well as additional rights if our acquirer is a qualifying large pharmaceutical company or has a research, development or commercialization program that competes with a program licensed by Merck, if any.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provision of our amended and restated certificate of incorporation, amended and restated bylaws, Delaware law or our agreement with Merck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owed by any director, officer or other employee to us or our stockholders; any action asserting a claim against us or any director or officer or other employee arising pursuant to the Delaware General Corporation Law, our amended and restated certificate of incorporation or our amended and restated bylaws; any action with respect to the validity of our amended and restated certificate of incorporation or amended and restated bylaws; any action as to which the Delaware General Corporation Law confers jurisdiction to the Court of Chancery of the State of Delaware; or any action asserting a claim against us or any director or officer or other employee that is governed by the internal affairs doctrine. This provision would not apply to suits brought to enforce a duty or liability created by the Securities and Exchange Act of 1934, as amended, or the Exchange Act, or any other claim for which the federal courts have exclusive jurisdiction.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250"/>
                <wp:effectExtent l="0" t="0" r="0" b="0"/>
                <wp:wrapNone/>
                <wp:docPr id="71" name="Frame7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additional costs associated with resolving such action in other jurisdictions and there can be no assurance that the provisions will be enforced by a court in those other jurisdictions.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General Risk Factors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our CROs, our CMOs, our current and potential future partners and other third parties we rely on or partner with could experience a cybersecurity incident that could harm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collect, store and transmit proprietary, confidential and sensitive information, including personal information (such as health-related data), in the course of our business. Our technology systems and the information and data processed and stored in our technology systems or otherwise by us or on our behalf, and the technology systems of, and data accessed on our behalf by, our research collaborators, partners, CROs, CMOs, contractors, consultants and other third parties on which we depend to operate our business, may be vulnerable to security breaches, loss, damage, corruption, unauthorized access, use or disclosure or misappropriation. Such incidents may result from the actions of a wide variety of actors, including traditional hackers, our personnel or the personnel of the third parties we work with, sophisticated nation-states and nation-state-supported actors.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 Threats we and third parties on which we rely may face are constantly evolving and include (without limitation) malware, viruses, software vulnerabilities and bugs, software or hardware failure, hacking, denial of service attacks, social engineering (including phishing), ransomware, inside threats, credential stuffing or other cyberattacks, telecommunications failures, earthquakes, fires, floods and similar threats. Threats such as ransomware attacks, for example, are becoming increasingly prevalent and severe. Extortion payments may alleviate the negative impact of a ransomware attack, but we may be unwilling or unable to make such payments due to, for example, applicable laws or regulations prohibiting such payments. Supply-chain attacks have also increased in frequency and severity, and we cannot guarantee that third parties’ infrastructure in our supply chain or our third-party partners’ supply chains have not been compromised. Our ability to monitor third parties on whom we rely to operate our business is limited, and these third parties may be subject to, and may expose us to, cyberattacks and other security incidents.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may, under certain data privacy and security obligations, be required to, or we may choose to, expend significant resources or modify our business activities (including our clinical trial activities) in an effort designed to protect against security incidents. While we have developed systems and processes designed to protect the integrity, confidentiality and security of the confidential and personal information under our control, we cannot assure you that any security measures that we or our third-party service providers implement will be effective in preventing cybersecurity incidents. There are many different cyber-crime and hacking techniques, and as such techniques continue to evolve, we may be unable to anticipate attempted security breaches, identify them before our information is exploited or react in a timely manner.</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Some of our workforce work remotely on a full- or part-time basis outside of our corporate network security protection boundaries or otherwise utilize network connections, computers and devices outside of our premises or network, which imposes additional risks to our business, including increased risk of industrial espionage, phishing and other cybersecurity attacks, and unauthorized dissemination of proprietary or confidential information, including personal information, any of which could have a material adverse effect on our business.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Despite our efforts to strengthen security and authentication measures, we have not always been able in the past, and may be unable in the future, to detect vulnerabilities in our information technology systems. We have experienced an overall increase in cybersecurity incidents since 2020, none of which, to date, have caused material disruption to our business, or to our knowledge, involved a material security breach. For example, in December 2020, we detected that an attacker had gained access to a single system on our network and unsuccessfully attempted to use that access to stage a broader attack against us. We or the third parties we rely on or partner with could experience a material system failure, security breach or other cybersecurity incident, including any related to or in connection with any of the aforementioned threats, in the future, which could interrupt our operations, disrupt our development programs and have a material adverse effect on our business, financial condition and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250"/>
                <wp:effectExtent l="0" t="0" r="0" b="0"/>
                <wp:wrapNone/>
                <wp:docPr id="72" name="Frame7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operations. For example, the loss or corruption of clinical trial data from completed or future clinical trials could result in delays in our regulatory approval efforts and significantly increase our costs to recover or reproduce the data. Likewise, we rely on third parties for the manufacture of our product candidates, to analyze clinical trial samples and to conduct clinical trials, and cybersecurity incidents experienced by these third parties could have a material adverse effect on our business. Security breaches and other cybersecurity incidents affecting us or the third parties we rely on or partner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interruptions in our operations (including availability of data), financial loss and other liabilities and harms. Additionally, such incidents may trigger data privacy and security obligations requiring us to notify relevant stakeholders. These disclosures are costly, and the disclosures or the failure to comply with such requirements could lead to adverse consequences.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contracts may not contain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The withdrawal of the United Kingdom from the EU, commonly referred to as Brexit, could increase our cost of doing business, reduce our gross margins or otherwise negatively impact our business and our financial results.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United Kingdom’s, or UK, withdrawal from the EU on January 31, 2020, commonly referred to as Brexit, has created significant uncertainty concerning the future relationship between the UK and the EU. The Medicines and Healthcare products Regulatory Agency, or MHRA, is now the UK’s standalone regulator.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On December 24, 2020, the EU and UK reached an agreement in principle on the framework for their future relationship, the EU-U.K. Trade and Cooperation Agreement, or the TCA. The TCA primarily focuses on ensuring free trade between the EU and the UK in relation to goods, including medicinal products. Although the body of the TCA includes general terms which apply to medicinal products, greater detail on sector-specific issues is provided in an Annex to the TCA.</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Among the changes that are now applied are that Great Britain (England, Scotland and Wales) are treated as a third country. Northern Ireland, with regard to EU regulations, continues to follow many aspects of EU regulatory rules. As part of the TCA, the EU and the UK recognize GMP inspections carried out by the other party and accept official 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eventual adoption of the Retained EU Law (Revocation and Reform) Bill that is currently going through the UK adoption procedure may, however, result in substantial change to the extent to which EU laws influence these and other actions in the UK.</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After running a public consultation which ended in December 2022, the UK government unilaterally agreed to permanently accept EU batch testing and batch release. However, it is not certain whether the UK will continue this approach, particularly following adoption of the current Retained EU Law (Revocation and Reform) Bill. If the UK were to adopt an approach whereby re-testing and/or re-release in the UK would be required, this could result in increased costs. Furthermore, the EU continues to apply EU laws that require batch testing and batch release to take place in the EU territory. This means that medicinal products that are tested and released in the UK must be retested and re-released when entering the EU market for commercial use. As regards marketing authorizations, Great Britain has a separate regulatory submission process, approval process and a national marketing authorization. Northern Ireland, however, continues to be covered by the marketing authorizations granted by the European Commission.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UK regulatory framework in relation to clinical trials is derived from existing EU legislation (as implemented into UK law, through secondary legislation) and, as such, it falls within the scope of the Retained EU Law (Revocation and Reform) Bill as currently drafted. Adoption of the Retained EU Law (Revocation and Reform) Bill as currently drafted would result in the regulatory framework governing clinical trials in the UK being revoked unless Ministerial action were taken to retain or replace it. It is currently unclear to what extent the UK will seek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250"/>
                <wp:effectExtent l="0" t="0" r="0" b="0"/>
                <wp:wrapNone/>
                <wp:docPr id="73" name="Frame7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align its regulations with the EU following entry into application of the Clinical Trials Regulation in the EU which occurred on January 31, 2022.</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Since January 1, 2021, an applicant for a marketing authorization granted by the European Commission in accordance with the centralized procedure based on the opinion of the Committee for Medicinal Products for Human Use, or CHMP, of the EMA can no longer be established in the UK. Since this date, companies established in the UK cannot use the centralized procedure and instead must follow one of the UK national authorization procedures to obtain a marketing authorization to market products in the UK. For an initial two-year period from January 1, 2021, MHRA could rely on a decision taken by the European Commission on the approval of a new centralized procedure marketing authorization when determining an application for a Great Britain marketing authorization, or use the MHRA’s decentralized or mutual recognition procedures which enable marketing authorizations approved in EEA countries to be granted in Great Britain. Post Brexit, the MHRA has been updating various aspects of the regulatory regime for medicinal products in the UK. These include: introducing the Innovative Licensing and Access Procedure to accelerate the time to market and facilitate patient access for innovative medicinal products; updates to the UK national approval procedure, introducing a 150-day objective for assessing applications for marketing authorizations in the UK, Great Britain and Northern Ireland and a rolling review process for marketing authorization applications (rather than a consolidated full dossier submission). In September 2022, the MHRA extended the procedure whereby it may rely on a decision taken by the European Commission when determining an application for a Great Britain marketing authorization until December 31, 2023.</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Orphan designation in Great Britain following Brexit is, unlike in the EU, not a pre-marketing authorization. Applications for orphan designation are made at the same time as an application for a marketing authorization. The criteria to be granted an orphan drug designation are essentially identical to those in the EU but based on the prevalence of the condition in Great Britain. It is therefore possible that medical conditions that were or would have been designated as orphan conditions in Great Britain prior to the end of the Transition Period are or would no longer be and that conditions that were not or would not have been designated as orphan conditions in the EU will be designated as such in Great Britain.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Since a significant part of the regulatory framework in the UK applicable to our business and our product candidates is derived from EU legislation, Brexit has the potential of materially impacting the regulatory framework with respect to the development, manufacture, approval, import and placement of our product candidates on the market in the UK and the EU. The changes effected by the TCA, as well as any future changes in the regulatory framework governing medicinal products, including the adoption of the Retain EU Law (Revocation and Reform) Bill, could increase the costs and complexity of doing business in or with the UK, which could adversely affect our business.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are subject to rapidly changing and increasingly stringent foreign and domestic laws and regulations relating to privacy, data protection and information security. The restrictions imposed by these requirements or our actual or perceived failure to comply with them could harm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may collect, use, transfer or otherwise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by us and on our behalf. Outside the United States, an increasing number of laws, regulations, and industry standards may govern data privacy and security. For example, the European Union’s General Data Protection Regulation, or EU GDPR, and the United Kingdom’s GDPR, or UK GDPR, impose strict requirements for processing personal information. For example, the EU GDPR, UK GDPR and other relevant laws that govern patient confidentiality and storage of personal health data may apply to our processing of personal information from clinical trials participants and other individuals located in the European Economic Area, or EEA, and/or the UK and, if any of our product candidates are approved, we may seek to commercialize those products in the EEA and/or the UK (as applicable). Companies that violate the EU GDPR can face private litigation, prohibitions on data processing, other administrative measures, reputational damage and fines of up to the greater of 20 million Euros or 4% of their worldwide annual revenue. The EU GDPR requires us to, among other things: give detailed disclosures about how we collect, use and share personal information; contractually commit to data protection measures in our contracts with vendors;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 The UK has incorporated an amended version of the EU GDPR into UK law, commonly referred to as the UK GDPR, which is independent from, but at present materially aligned with, the EU GDPR, which together with the UK Data Protection Act of 2018, or UK DPA, covers the processing of personal information of UK residents. Non-compliance with UK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2250"/>
                <wp:effectExtent l="0" t="0" r="0" b="0"/>
                <wp:wrapNone/>
                <wp:docPr id="74" name="Frame7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GDPR may result in substantially similar adverse consequences to those in relation to the EU GDPR, including monetary penalties of up to £17.5 million or 4% of worldwide revenue, whichever is higher.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On July 10, 2023, the European Commission adopted an adequacy decision for the new EU-US Data Privacy Framework, which facilitates international transfers of personal data between the EU and the US for companies that choose to self-certify with the framework and comply with its principles. However, the EU-US Data Privacy Framework is expected to be subject to legal challenges and could be withdrawn if, for example, it is deemed not to provide an adequate level of protection to EU individuals.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It is unclear how data transfers to and from the US and the EU will be regulated in the long term, which measures must be put in place for onward transfers to and from the US and the EU, and whether or not the EU-US Data Privacy Framework will provide a long-term solution to managing flows of personal data between the EU and the US.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On June 28, 2021, the European Commission adopted an adequacy decision permitting flows of personal data between the EU and the UK to continue without additional requirements. The UK Government also adopted a reciprocal adequacy decision in respect of EEA member states permitting flows of personal data from the UK to the EEA. However, the European Commission's UK adequacy decision will automatically expire in June 2025 unless the European Commission re-assesses and renews/extends that decision and remains under review by the European Commission during this period. The UK adequacy decision could be withdrawn prior to June 2025, for example, if the legal framework of the UK GDPR diverges from the EU GDPR in a way that impacts the deemed adequacy of the UK GDPR, if the UK permits cross-border data transfers to third countries that do not currently have an EU adequacy decision without requiring sufficient privacy protections, or if the UK adequacy decision is successfully challenged at the European Court of Justice. If the UK adequacy decision were to be withdrawn, personal data could not flow freely between the UK and the EU and additional safeguards would need to be adopted, which could result in additional costs for us.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relationship between the UK and the EU in relation to certain aspects of data protection laws remains unclear, and it is unclear how UK data protection laws and regulations will develop in the medium to longer term, and how data transfers to and from the UK will be regulated in the long term. The UK’s Data Protection and Digital Information Bill, or the Bill, was re-introduced before the UK Parliament in March 2023, introducing reforms intended to update and simplify the UK’s data protection framework, deviating from the EU GDPR. In addition, the relationship between the UK and the US in relation to certain aspects of data protection laws remains subject to considerable uncertainty. The UK and the US have committed in principle to establish a data bridge for the UK extension to the EU-US Data Privacy Framework, however the planned data bridge remains subject to assessment and finalization between the US and the UK.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Certain jurisdictions have enacted data localization laws and laws restricting cross-border transfers of personal information. In particular, regulators and courts in the EEA and the UK have in the past significantly restricted the transfer of personal information to the United States and other countries whose privacy laws it believes are inadequate, and current efforts to utilize the EU-US Data Privacy Framework to facilitate flows of personal data between these jurisdictions remain subject to legal challenge and uncertainty. Other jurisdictions may adopt similarly stringent interpretations of their data localization and cross-border data transfer laws. Although there are currently various mechanisms that may be used to transfer personal information from the EEA and UK to the United States in compliance with law, including without limitation the EEA’s standard contractual clauses and the UK's international data transfer agreement, these mechanisms are subject to legal challenges, and there is no assurance that we can satisfy or rely on these measures to lawfully transfer personal information to the United States.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continue to monitor changes in data protection laws related to the cross-border transfer of personal information; however, uncertainty remains regarding any future regulations, interpretations of existing law or guidance that may be issued, particularly by the EU authorities. If we are unable to implement a valid compliance solution for cross-border transfers of personal information, or if the requirements for a legally-compliant transfer are too onerous, we will face increased exposure to significant adverse consequences, including substantial fines, regulatory actions, as well as injunctions against the export and processing of personal information from the EEA. Our inability to import personal information from the EEA, UK or Switzerland or other countries may also restrict or prohibit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 We may also become subject to new laws in the EEA that regulate cybersecurity and non-personal data, such as data collected through the internet of things. Depending on how these laws are interpreted, we may have to make changes to our business practices and products to comply with such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2250"/>
                <wp:effectExtent l="0" t="0" r="0" b="0"/>
                <wp:wrapNone/>
                <wp:docPr id="75" name="Frame7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Additionally, other countries have enacted or are considering enacting similar cross-border data transfer restrictions and laws requiring local data residency, which could increase the cost and complexity of delivering our services and operating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For example, the California Consumer Privacy Act of 2018, or CCPA, took effect on January 1, 2020. The CCPA gives California residents certain rights similar to the individual rights given under the EU GDPR, including the right to access and delete their personal information, opt-out of certain personal information sharing and receive detailed information about how their personal information is used. The CCPA provides for civil penalties for violations, including statutory fines for noncompliance and a limited private right of action in connection with certain data breaches. In addition, the California Privacy Rights Act of 2020, or CPRA, which became operative January 1, 2023, expands the CCPA’s requirements, including in that it applies to personal information of business representatives and employees and establishes a new regulatory agency to implement and enforce the law. While the CCPA contains an exemption for certain personal information processed in connection with clinical trials, we may process other personal information that is subject to the CCPA and CPRA. Other states, such as Virginia, Connecticut, Utah and Colorado, have also passed comprehensive privacy laws, and similar laws are being considered in several other states, as well as at the federal and local levels. The evolving patchwork of differing state and federal privacy and data security laws increases the cost and complexity of operating our business and increase our exposure to liability.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may also be bound by contractual obligations related to data privacy and security, and our efforts to comply with such obligations may not be successful.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obligations related to data privacy and security are quickly changing in an increasingly stringent fashion.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These obligations may necessitate changes to our information technologies, systems and practices and to those of any third parties that process personal information on our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we (or third parties on which we rely) fail, or are perceived to have failed, to address or comply with data privacy and security obligations, we could face significant consequences, including (without limitation): government enforcement actions (e.g., investigations, fines, penalties, audits, inspections and similar); litigation (including class-related claims); additional reporting requirements and/or oversight; bans on processing personal information; orders to destroy or not use personal information; and imprisonment of company officials.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revision or restructuring of our operations.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Our operations are vulnerable to interruption by fire, earthquake, power loss, telecommunications failure, terrorist activity and other events beyond our control, which could harm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facilities have experienced electrical blackouts as a result of a shortage of available electrical power. Future blackouts, which may be implemented by the local electricity provider in the face of high winds and dry conditions, could disrupt our operations. Our facility is located in a seismically active region. We have not undertaken a systematic analysis of the potential consequences to our business and financial results from a major earthquake, fire, power loss, terrorist activity or other disasters and do not have a comprehensive recovery plan for such disasters. In addition, we do not carry sufficient insurance to compensate us for actual losses from interruption of our business that may occur, and any losses or damages incurred by us could harm our business. In addition, the sole supplier of some of our clinical drug substances is located in Lithuania, a region that has experienced political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2250"/>
                <wp:effectExtent l="0" t="0" r="0" b="0"/>
                <wp:wrapNone/>
                <wp:docPr id="76" name="Frame7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pPr>
      <w:r>
        <w:rPr>
          <w:rFonts w:ascii="Arial;sans-serif" w:hAnsi="Arial;sans-serif"/>
          <w:b w:val="false"/>
          <w:color w:val="000000"/>
          <w:sz w:val="20"/>
        </w:rPr>
        <w:t>unrest. Refer to the risk factor titled “</w:t>
      </w:r>
      <w:r>
        <w:rPr>
          <w:rFonts w:ascii="Arial;sans-serif" w:hAnsi="Arial;sans-serif"/>
          <w:b w:val="false"/>
          <w:i/>
          <w:color w:val="000000"/>
          <w:sz w:val="20"/>
        </w:rPr>
        <w:t>We rely completely on CMOs for the manufacture of our product candidates and are subject to many manufacturing risks, any of which could substantially increase our costs and limit supply of our product candidates and any future products</w:t>
      </w:r>
      <w:r>
        <w:rPr>
          <w:rFonts w:ascii="Arial;sans-serif" w:hAnsi="Arial;sans-serif"/>
          <w:b w:val="false"/>
          <w:color w:val="000000"/>
          <w:sz w:val="20"/>
        </w:rPr>
        <w:t>.” If our operations or the operations of third parties providing services to us are disrupted by any such occurrences, our business and future prospects may be negatively affected.</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use and generate materials that may expose us to material liability.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Our ability to use net operating loss carryforwards and certain other tax attributes to offset taxable income could be limited.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plan to use our current year operating losses to offset taxable income from any revenue generated from operations, including BD Arrangements. To the extent that our taxable income exceeds any current year operating losses, we plan to use our net operating loss carryforwards to offset income that would otherwise be taxable. Our federal net operating loss carryforwards generated in tax years beginning before January 1, 2018 are only permitted to be carried forward for 20 years under applicable U.S. tax law. Under the 2017 Tax Act, as modified by the Coronavirus Aid, Relief and Economic Security Act, or the CARES Act, our federal net operating losses generated in tax years beginning after December 31, 2017 may be carried forward indefinitely, but the ability to deduct such federal net operating losses generated in tax years beginning after December 31, 2020 is limited to 80% of taxable income. It is uncertain if and to what extent various states will conform to the 2017 Tax Act or the CARES Act.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under Sections 382 and 383 of the U.S. Internal Revenue Code of 1986, as amended, or the Code, and corresponding provisions of state law, if we experience an “ownership change,” generally defined as a greater than 50% change, by value, in equity ownership over a three-year period, our ability to use our pre-change net operating loss carryforwards and certain other pre-change tax attributes (such as R&amp;D tax credits) to offset our post-change income may be limited. Due to our initial public offering and other shifts in our stock ownership, we have experienced ownership changes in the past and may experience ownership changes in the future as a result of subsequent shifts in our stock ownership, some of which are outside our control. As a result, our use of federal net operating loss carryforwards and certain other tax attributes could be limited. State net operating loss carryforwards may be similarly limited. In addition, at the state level, there may be periods during which the use of net operating losses is suspended or otherwise limited, which could accelerate or permanently increase state taxes owed.</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New tax laws or regulations, changes to existing tax laws or regulations or changes in their application to us or our customers may have a material adverse effect on our business, cash flows, financial condition or results of operations.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New tax laws, statutes, rules, regulations, directives, decrees or ordinances could be enacted at any time. Further, existing tax laws, statutes, rules, regulations, directives, decrees or ordinances could be interpreted, changed or modified. Any such enactment, interpretation, change or modification could adversely affect us, possibly with retroactive effect. For example, the recently enacted IRA imposes, among other rules, a 15% minimum tax on the book income of certain large corporations and a 1% excise tax on certain corporate stock repurchases. In addition, for certain research and experimental expenses incurred in tax years beginning after December 31, 2021, the 2017 Tax Act requires the capitalization and amortization of such expenses over five years if incurred in the United States and fifteen years if incurred outside the United States, rather than deducting such expenses currently. Although there have been legislative proposals to repeal or defer the capitalization requirement, there can be no assurance that such requirement will be repealed, deferred or otherwise modified. Changes in corporate tax rates, the realization of net deferred tax assets relating to our operations, the taxation of foreign earnings and the deductibility of expenses under the 2017 Tax Act, as amended by the CARES Act or any future tax reform legislation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250"/>
                <wp:effectExtent l="0" t="0" r="0" b="0"/>
                <wp:wrapNone/>
                <wp:docPr id="77" name="Frame7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could have a material impact on the value of our deferred tax assets, result in significant one-time charges and increase our future U.S. tax expense.</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Future changes in financial accounting standards or practices may cause adverse and unexpected revenue fluctuations and adversely affect our reported results of operations.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continue to incur increased costs as a result of operating as a public company, and our management devotes substantial time to new compliance initiatives. In addition, we are obligated to develop and maintain proper and effective internal control over financial reporting. In the future, we may not complete our analysis of our internal control over financial reporting in a timely manner, or our internal control over financial reporting may not be determined to be effective, which may adversely affect investor confidence in our company and, as a result, the value of our common stock.</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a public company, we incur significant legal, accounting, insurance and other expenses, and these expenses further increased in connection with our loss of “emerging growth company” status as of December 31, 2021. As a public company, we are subject to the reporting requirements of the Exchange Act, the Sarbanes-Oxley Act and the Dodd-Frank Act, as well as rules adopted, and to be adopted, by the SEC and The Nasdaq Global Select Market. Our management and other personnel devote a substantial amount of time to these compliance initiatives. Moreover, these rules and regulations increase our legal and financial compliance costs and may make some activities more time-consuming and costly. The increased costs will increase our net loss. For example, these rules and regulations make it more difficult and more expensive for us to obtain director and officer liability insurance and we may be required to incur substantial costs to maintain sufficient coverage. We cannot predict or estimate the amount or timing of additional costs we may incur in the future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Specifically, in order to comply with the requirements of being a public company, we need to undertake various actions, including maintaining effective internal controls and procedures. 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In addition, we must perform system and process evaluation and testing of our internal control over financial reporting to allow management to report on the effectiveness of our internal control over financial reporting, as required by Section 404(a) of the Sarbanes-Oxley Act. Our compliance with Section 404(b) of the Sarbanes-Oxley Act requires that we incur substantial accounting expense and expend significant management efforts. We currently do not have an internal audit staff and outsource this function to a third party. We have hired and will need to retain our current accounting and financial staff who have the appropriate public company experience and technical accounting knowledge. As a result of our public float on June 30, 2023, commencing on December 31, 2023 we will become a non-accelerated filer. For so long as we remain a non-accelerated filer, our independent registered public accounting firm will not be required to attest to the effectiveness of our internal control over financial reporting pursuant to Section 404(b) of the Sarbanes-Oxley Act. If we identify deficiencies in our internal control over financial reporting that are deemed to be material weaknesses, investors may lose confidence in our operating results and the price of our common stock could decline. In addition, if we are unable to continue to meet these requirements, we may not be able to remain listed on The Nasdaq Global Select Market.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ability to successfully implement our business plan and comply with Section 404(a) of the Sarbanes-Oxley Act requires us to be able to prepare timely and accurate financial statements. We expect that we will need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2250"/>
                <wp:effectExtent l="0" t="0" r="0" b="0"/>
                <wp:wrapNone/>
                <wp:docPr id="78" name="Frame7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This, in turn, could have an adverse impact on the price for our common stock and could adversely affect our ability to access the capital markets.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Our disclosure controls and procedures may not prevent or detect all errors or acts of fraud.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These inherent limitations include the realities that judgments in decision-making can be faulty and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stock price and trading volume is heavily influenced by the way analysts and investors interpret our clinical trial results, any BD Arrangements we may enter into, our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During the three months ended September 30, 2023, none of the Company's directors or Section 16 officers adopted or terminated any contract, instruction or written plan for the purchase or sale of NGM Bio securities that was intended to satisfy the affirmative defense conditions of Rule 10b5-1(c) under the Exchange Act or any “non-Rule 10b5-1 trading arrangement” as such term is defined in Item 408(a) of Regulation S-K.</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Chief Financial Officer Appointment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November 2, 2023, the Company announced the appointment of Jean-Frédéric Viret, Ph.D., as the Company’s Chief Financial Officer, effective as of November 3, 2023. On November 3, 2023, Dr. Viret will assume the duties and responsibilities of the Company’s principal financial officer from Siobhan Nolan Mangini.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Dr. Viret, age 58, previously served as Chief Financial Officer of Shasqi, Inc., a biotechnology company, from February 2023 to November 2023. From March 2021 to November 2022, Dr. Viret was Chief Financial Officer at Blade Therapeutics, Inc., a biotechnology company. Prior to that, Dr. Viret served as Chief Financial Officer at Coherus BioSciences, Inc., a publicly-traded biosimilar and biologics company, from September 2014 to March 2021. Dr. Viret received a B.S. in engineering from the Institut National Polytechnique de Lorraine, an M.B.A.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2250"/>
                <wp:effectExtent l="0" t="0" r="0" b="0"/>
                <wp:wrapNone/>
                <wp:docPr id="79" name="Frame7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Cornell University and a Ph.D. in plant molecular biology from Université Louis Pasteur (Strasbourg I). He was a visiting fellow at Harvard University and a postdoctoral fellow at the Massachusetts Institute of Technology.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Dr. Viret has no family relationships with any director, executive officer or other person the Company has nominated or chosen to become a director or executive officer. There are no arrangements or understandings between Dr. Viret and any other person pursuant to which Dr. Viret will be appointed as an executive officer. Additionally, there are no transactions involving Dr. Viret that would require disclosure under Item 404(a) of Regulation S-K.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Dr. Viret’s appointment as Chief Financial Officer, the Company and Dr. Viret entered into an Offer Letter Agreement, dated October 20, 2023, or the offer letter. Pursuant to the terms of the offer letter, Dr. Viret is employed on an “at-will” basis and is entitled to an initial annual base salary of $480,000 per year, an annual bonus target of 40% of Dr. Viret’s base salary and a one-time sign-on bonus of $25,000 (subject to a pro-rated repayment if Dr. Viret voluntarily resigns from his employment with the Company before November 3, 2025).</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offer letter also provides for the grant of a stock option to purchase 450,000 shares of the Company’s common stock with an exercise price per share equal to 100% of the fair market value of the Company’s common stock on the date of grant. Such stock option will be subject to a four-year vesting schedule with 25% of the shares subject to the option vesting upon Dr. Viret’s completion of one year of service measured from November 3, 2023 and the balance of the shares vesting monthly thereafter for the next three years. Such stock option will be granted under the Company’s Amended and Restated 2018 Equity Incentive Plan.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offer letter also provides that if, on or within 18 months after the effective date of a change in control, Dr. Viret’s employment is terminated without cause and other than a result of his death or disability, or he resigns for good reason, he will receive the following severance benefits: (i) continuation of his base salary for a six-month period, (ii) payment of premiums of health insurance benefits for up to six months and (iii) full vesting acceleration of any unvested outstanding equity awards.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foregoing description of the offer letter is only a summary and it is qualified in its entirety by the offer letter, a copy of which is filed as Exhibit 10.1 to this Quarterly Report on Form 10-Q.</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Existing Chief Financial Officer Resignation</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previously disclosed, Ms. Nolan Mangini notified the Company of her intent to resign in July 2023. In connection with the appointment of Dr. Viret as Chief Financial Officer, the effective date of Ms. Nolan Mangini’s resignation as Chief Financial Officer will be November 3, 2023. Ms. Nolan Mangini will continue to serve as President of the Company until December 1, 2023. Ms. Nolan Mangini is not entitled to or receiving any severance benefits in connection with her resignation.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2250"/>
                <wp:effectExtent l="0" t="0" r="0" b="0"/>
                <wp:wrapNone/>
                <wp:docPr id="80" name="Frame8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3"/>
        <w:gridCol w:w="275"/>
        <w:gridCol w:w="277"/>
        <w:gridCol w:w="109"/>
        <w:gridCol w:w="109"/>
        <w:gridCol w:w="109"/>
        <w:gridCol w:w="2226"/>
        <w:gridCol w:w="1691"/>
        <w:gridCol w:w="1696"/>
        <w:gridCol w:w="325"/>
        <w:gridCol w:w="325"/>
        <w:gridCol w:w="326"/>
        <w:gridCol w:w="312"/>
        <w:gridCol w:w="312"/>
        <w:gridCol w:w="313"/>
        <w:gridCol w:w="255"/>
        <w:gridCol w:w="255"/>
        <w:gridCol w:w="256"/>
        <w:gridCol w:w="214"/>
        <w:gridCol w:w="214"/>
        <w:gridCol w:w="293"/>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Incorporated by Reference</w:t>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Description</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Schedule</w:t>
              <w:br/>
              <w:t>Form</w:t>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File Number</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Filing</w:t>
              <w:br/>
              <w:t>Date</w:t>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20"/>
                  <w:u w:val="single"/>
                </w:rPr>
                <w:t>Amended and Restated Certificate of Incorporation</w:t>
              </w:r>
            </w:hyperlink>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001-38853</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4/8/19</w:t>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Amended and Restated Bylaws</w:t>
              </w:r>
            </w:hyperlink>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333-227608</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3.4</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9/28/18</w:t>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m-20230930xex101offerlet.htm">
              <w:r>
                <w:rPr>
                  <w:rStyle w:val="InternetLink"/>
                  <w:rFonts w:ascii="Arial;sans-serif" w:hAnsi="Arial;sans-serif"/>
                  <w:b w:val="false"/>
                  <w:color w:val="0000FF"/>
                  <w:sz w:val="20"/>
                  <w:u w:val="single"/>
                </w:rPr>
                <w:t>Offer Letter and Arbitration Agreement, by and between the Registrant and Jean-Frédéric Viret, Ph.D., dated as of October 20, 2023</w:t>
              </w:r>
            </w:hyperlink>
            <w:r>
              <w:rPr>
                <w:rFonts w:ascii="Arial;sans-serif" w:hAnsi="Arial;sans-serif"/>
                <w:b w:val="false"/>
                <w:color w:val="000000"/>
                <w:sz w:val="20"/>
              </w:rPr>
              <w: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m-20230930xex102lonzaame.htm">
              <w:r>
                <w:rPr>
                  <w:rStyle w:val="InternetLink"/>
                  <w:rFonts w:ascii="Arial;sans-serif" w:hAnsi="Arial;sans-serif"/>
                  <w:b w:val="false"/>
                  <w:color w:val="0000FF"/>
                  <w:sz w:val="20"/>
                  <w:u w:val="single"/>
                </w:rPr>
                <w:t>Amendment No. 10 on October 31, 2023 to the Multi-Product Licence Agreement by and between NGM Biopharmaceuticals, Inc. and Lonza Sales AG, dated as of October 31, 2014.</w:t>
              </w:r>
            </w:hyperlink>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m-20230930x10qex311.htm">
              <w:r>
                <w:rPr>
                  <w:rStyle w:val="InternetLink"/>
                  <w:rFonts w:ascii="Arial;sans-serif" w:hAnsi="Arial;sans-serif"/>
                  <w:b w:val="false"/>
                  <w:color w:val="0000FF"/>
                  <w:sz w:val="20"/>
                  <w:u w:val="single"/>
                </w:rPr>
                <w:t>Certification of Chief Executive Officer Pursuant to Rules 13a-14(a) and 15d-14(a) under the Securities Exchange Act of 1934, as Adopted Pursuant to Section 302 of the Sarbanes-Oxley Act of 2002</w:t>
              </w:r>
            </w:hyperlink>
            <w:r>
              <w:rPr>
                <w:rFonts w:ascii="Arial;sans-serif" w:hAnsi="Arial;sans-serif"/>
                <w:b w:val="false"/>
                <w:color w:val="000000"/>
                <w:sz w:val="20"/>
              </w:rPr>
              <w: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m-20230930x10qex312.htm">
              <w:r>
                <w:rPr>
                  <w:rStyle w:val="InternetLink"/>
                  <w:rFonts w:ascii="Arial;sans-serif" w:hAnsi="Arial;sans-serif"/>
                  <w:b w:val="false"/>
                  <w:color w:val="0000FF"/>
                  <w:sz w:val="20"/>
                  <w:u w:val="single"/>
                </w:rPr>
                <w:t>Certification of Chief Financial Officer Pursuant to Rules 13a-14(a) and 15d-14(a) under the Securities Exchange Act of 1934, as Adopted Pursuant to Section 302 of the Sarbanes-Oxley Act of 2002</w:t>
              </w:r>
            </w:hyperlink>
            <w:r>
              <w:rPr>
                <w:rFonts w:ascii="Arial;sans-serif" w:hAnsi="Arial;sans-serif"/>
                <w:b w:val="false"/>
                <w:color w:val="000000"/>
                <w:sz w:val="20"/>
              </w:rPr>
              <w: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m-20230930x10qex321.htm">
              <w:r>
                <w:rPr>
                  <w:rStyle w:val="InternetLink"/>
                  <w:rFonts w:ascii="Arial;sans-serif" w:hAnsi="Arial;sans-serif"/>
                  <w:b w:val="false"/>
                  <w:color w:val="0000FF"/>
                  <w:sz w:val="20"/>
                  <w:u w:val="single"/>
                </w:rPr>
                <w:t>Certification of Chief Executive Officer and Chief Financial Officer Pursuant to 18 U.S.C. Section 1350, as Adopted Pursuant to Section 906 of the Sarbanes-Oxley Act of 2002</w:t>
              </w:r>
            </w:hyperlink>
            <w:r>
              <w:rPr>
                <w:rFonts w:ascii="Arial;sans-serif" w:hAnsi="Arial;sans-serif"/>
                <w:b w:val="false"/>
                <w:color w:val="000000"/>
                <w:sz w:val="20"/>
              </w:rPr>
              <w: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Instance Document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720"/>
        <w:jc w:val="both"/>
        <w:rPr>
          <w:rFonts w:ascii="Arial;sans-serif" w:hAnsi="Arial;sans-serif"/>
          <w:b w:val="false"/>
          <w:color w:val="000000"/>
          <w:sz w:val="20"/>
        </w:rPr>
      </w:pPr>
      <w:r>
        <w:rPr>
          <w:rFonts w:ascii="Arial;sans-serif" w:hAnsi="Arial;sans-serif"/>
          <w:b w:val="false"/>
          <w:color w:val="000000"/>
          <w:sz w:val="20"/>
        </w:rPr>
        <w:t>+    Filed or furnished herewith.</w:t>
      </w:r>
    </w:p>
    <w:p>
      <w:pPr>
        <w:pStyle w:val="TextBody"/>
        <w:bidi w:val="0"/>
        <w:spacing w:lineRule="auto" w:line="288" w:before="120" w:after="120"/>
        <w:ind w:left="0" w:right="0" w:hanging="720"/>
        <w:jc w:val="both"/>
        <w:rPr>
          <w:rFonts w:ascii="Arial;sans-serif" w:hAnsi="Arial;sans-serif"/>
          <w:b w:val="false"/>
          <w:color w:val="000000"/>
          <w:sz w:val="20"/>
        </w:rPr>
      </w:pPr>
      <w:r>
        <w:rPr>
          <w:rFonts w:ascii="Arial;sans-serif" w:hAnsi="Arial;sans-serif"/>
          <w:b w:val="false"/>
          <w:color w:val="000000"/>
          <w:sz w:val="20"/>
        </w:rPr>
        <w:t>*    Indicates management contract or compensatory plan or arrangement.</w:t>
      </w:r>
    </w:p>
    <w:p>
      <w:pPr>
        <w:pStyle w:val="TextBody"/>
        <w:bidi w:val="0"/>
        <w:spacing w:lineRule="auto" w:line="288" w:before="120" w:after="120"/>
        <w:ind w:left="0" w:right="0" w:hanging="720"/>
        <w:jc w:val="both"/>
        <w:rPr>
          <w:rFonts w:ascii="Arial;sans-serif" w:hAnsi="Arial;sans-serif"/>
          <w:b w:val="false"/>
          <w:color w:val="000000"/>
          <w:sz w:val="20"/>
        </w:rPr>
      </w:pPr>
      <w:r>
        <w:rPr>
          <w:rFonts w:ascii="Arial;sans-serif" w:hAnsi="Arial;sans-serif"/>
          <w:b w:val="false"/>
          <w:color w:val="000000"/>
          <w:sz w:val="20"/>
        </w:rPr>
        <w:t>**    The certifications attached as Exhibit 32.1 accompany this Quarterly Report on Form 10-Q are not deemed filed with the SEC and are not to be incorporated by reference into any filing of NGM Biopharmaceuticals,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81"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120"/>
        <w:ind w:left="0" w:right="0" w:firstLine="54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100" w:after="120"/>
        <w:jc w:val="both"/>
        <w:rPr/>
      </w:pPr>
      <w:r>
        <w:rPr/>
      </w:r>
    </w:p>
    <w:p>
      <w:pPr>
        <w:pStyle w:val="TextBody"/>
        <w:bidi w:val="0"/>
        <w:spacing w:before="100" w:after="120"/>
        <w:jc w:val="both"/>
        <w:rPr/>
      </w:pPr>
      <w:r>
        <w:rPr/>
      </w:r>
    </w:p>
    <w:tbl>
      <w:tblPr>
        <w:tblW w:w="6208" w:type="dxa"/>
        <w:jc w:val="left"/>
        <w:tblInd w:w="0" w:type="dxa"/>
        <w:tblLayout w:type="fixed"/>
        <w:tblCellMar>
          <w:top w:w="28" w:type="dxa"/>
          <w:left w:w="28" w:type="dxa"/>
          <w:bottom w:w="28" w:type="dxa"/>
          <w:right w:w="28" w:type="dxa"/>
        </w:tblCellMar>
      </w:tblPr>
      <w:tblGrid>
        <w:gridCol w:w="808"/>
        <w:gridCol w:w="709"/>
        <w:gridCol w:w="717"/>
        <w:gridCol w:w="134"/>
        <w:gridCol w:w="134"/>
        <w:gridCol w:w="136"/>
        <w:gridCol w:w="1045"/>
        <w:gridCol w:w="1045"/>
        <w:gridCol w:w="1480"/>
      </w:tblGrid>
      <w:tr>
        <w:trP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NGM Biopharmaceuticals, Inc.</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November 2,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Woodhouse</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Woodhouse, Ph.D.</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Chief Executive Officer and Director</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(Principal Executive Officer)</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November 2,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Siobhan Nolan Mangini</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Siobhan Nolan Mangini</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President and Chief Financial Officer</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1581150" cy="409575"/>
            <wp:effectExtent l="0" t="0" r="0" b="0"/>
            <wp:docPr id="8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 descr=""/>
                    <pic:cNvPicPr>
                      <a:picLocks noChangeAspect="1" noChangeArrowheads="1"/>
                    </pic:cNvPicPr>
                  </pic:nvPicPr>
                  <pic:blipFill>
                    <a:blip r:embed="rId4"/>
                    <a:stretch>
                      <a:fillRect/>
                    </a:stretch>
                  </pic:blipFill>
                  <pic:spPr bwMode="auto">
                    <a:xfrm>
                      <a:off x="0" y="0"/>
                      <a:ext cx="1581150" cy="409575"/>
                    </a:xfrm>
                    <a:prstGeom prst="rect">
                      <a:avLst/>
                    </a:prstGeom>
                  </pic:spPr>
                </pic:pic>
              </a:graphicData>
            </a:graphic>
          </wp:inline>
        </w:drawing>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22250"/>
                <wp:effectExtent l="0" t="0" r="0" b="0"/>
                <wp:wrapNone/>
                <wp:docPr id="83" name="Frame8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57.5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319" w:before="0" w:after="200"/>
        <w:jc w:val="right"/>
        <w:rPr>
          <w:rFonts w:ascii="Calibri;sans-serif" w:hAnsi="Calibri;sans-serif"/>
          <w:b/>
          <w:color w:val="000000"/>
          <w:sz w:val="22"/>
        </w:rPr>
      </w:pPr>
      <w:r>
        <w:rPr>
          <w:rFonts w:ascii="Calibri;sans-serif" w:hAnsi="Calibri;sans-serif"/>
          <w:b/>
          <w:color w:val="000000"/>
          <w:sz w:val="22"/>
        </w:rPr>
        <w:t>Exhibit 10.1</w:t>
      </w:r>
    </w:p>
    <w:p>
      <w:pPr>
        <w:pStyle w:val="TextBody"/>
        <w:bidi w:val="0"/>
        <w:spacing w:lineRule="auto" w:line="319" w:before="0" w:after="2"/>
        <w:jc w:val="both"/>
        <w:rPr>
          <w:rFonts w:ascii="Arial;sans-serif" w:hAnsi="Arial;sans-serif"/>
          <w:b w:val="false"/>
          <w:color w:val="222222"/>
          <w:sz w:val="20"/>
          <w:shd w:fill="FFFFFF" w:val="clear"/>
        </w:rPr>
      </w:pPr>
      <w:r>
        <w:rPr>
          <w:rFonts w:ascii="Arial;sans-serif" w:hAnsi="Arial;sans-serif"/>
          <w:b w:val="false"/>
          <w:color w:val="222222"/>
          <w:sz w:val="20"/>
          <w:shd w:fill="FFFFFF" w:val="clear"/>
        </w:rPr>
        <w:t>October 18, 2023</w:t>
      </w:r>
    </w:p>
    <w:p>
      <w:pPr>
        <w:pStyle w:val="TextBody"/>
        <w:bidi w:val="0"/>
        <w:spacing w:lineRule="auto" w:line="319" w:before="0" w:after="200"/>
        <w:jc w:val="both"/>
        <w:rPr>
          <w:rFonts w:ascii="Arial;sans-serif" w:hAnsi="Arial;sans-serif"/>
          <w:b w:val="false"/>
          <w:color w:val="222222"/>
          <w:sz w:val="20"/>
          <w:shd w:fill="FFFFFF" w:val="clear"/>
        </w:rPr>
      </w:pPr>
      <w:r>
        <w:rPr>
          <w:rFonts w:ascii="Arial;sans-serif" w:hAnsi="Arial;sans-serif"/>
          <w:b w:val="false"/>
          <w:color w:val="222222"/>
          <w:sz w:val="20"/>
          <w:shd w:fill="FFFFFF" w:val="clear"/>
        </w:rPr>
        <w:t>Jean-Frédéric Viret</w:t>
      </w:r>
    </w:p>
    <w:p>
      <w:pPr>
        <w:pStyle w:val="TextBody"/>
        <w:bidi w:val="0"/>
        <w:spacing w:lineRule="auto" w:line="319" w:before="0" w:after="200"/>
        <w:jc w:val="both"/>
        <w:rPr/>
      </w:pPr>
      <w:r>
        <w:rPr>
          <w:rFonts w:ascii="Calibri;sans-serif" w:hAnsi="Calibri;sans-serif"/>
          <w:b w:val="false"/>
          <w:color w:val="000000"/>
          <w:sz w:val="22"/>
        </w:rPr>
        <w:t xml:space="preserve">Dear </w:t>
      </w:r>
      <w:r>
        <w:rPr>
          <w:rFonts w:ascii="Arial;sans-serif" w:hAnsi="Arial;sans-serif"/>
          <w:b w:val="false"/>
          <w:color w:val="222222"/>
          <w:sz w:val="20"/>
          <w:shd w:fill="FFFFFF" w:val="clear"/>
        </w:rPr>
        <w:t>Jean</w:t>
      </w:r>
      <w:r>
        <w:rPr>
          <w:rFonts w:ascii="Calibri;sans-serif" w:hAnsi="Calibri;sans-serif"/>
          <w:b w:val="false"/>
          <w:color w:val="000000"/>
          <w:sz w:val="22"/>
        </w:rPr>
        <w:t xml:space="preserve">: </w:t>
      </w:r>
    </w:p>
    <w:p>
      <w:pPr>
        <w:pStyle w:val="TextBody"/>
        <w:bidi w:val="0"/>
        <w:spacing w:lineRule="auto" w:line="319" w:before="0" w:after="200"/>
        <w:ind w:left="0" w:right="0" w:hanging="2"/>
        <w:jc w:val="both"/>
        <w:rPr/>
      </w:pPr>
      <w:r>
        <w:rPr>
          <w:rFonts w:ascii="Calibri;sans-serif" w:hAnsi="Calibri;sans-serif"/>
          <w:b w:val="false"/>
          <w:color w:val="000000"/>
          <w:sz w:val="22"/>
        </w:rPr>
        <w:t xml:space="preserve">On behalf of NGM Biopharmaceuticals, Inc. (“NGM Bio” or the “Company”), we are pleased to offer you employment with the Company as </w:t>
      </w:r>
      <w:r>
        <w:rPr>
          <w:rFonts w:ascii="Arial;sans-serif" w:hAnsi="Arial;sans-serif"/>
          <w:b w:val="false"/>
          <w:color w:val="222222"/>
          <w:sz w:val="20"/>
          <w:shd w:fill="FFFFFF" w:val="clear"/>
        </w:rPr>
        <w:t xml:space="preserve">Chief Financial Officer </w:t>
      </w:r>
      <w:r>
        <w:rPr>
          <w:rFonts w:ascii="Calibri;sans-serif" w:hAnsi="Calibri;sans-serif"/>
          <w:b w:val="false"/>
          <w:color w:val="000000"/>
          <w:sz w:val="22"/>
        </w:rPr>
        <w:t>reporting to</w:t>
      </w:r>
      <w:r>
        <w:rPr>
          <w:color w:val="222222"/>
          <w:shd w:fill="FFFFFF" w:val="clear"/>
        </w:rPr>
        <w:t xml:space="preserve"> </w:t>
      </w:r>
      <w:r>
        <w:rPr>
          <w:rFonts w:ascii="Arial;sans-serif" w:hAnsi="Arial;sans-serif"/>
          <w:b w:val="false"/>
          <w:color w:val="222222"/>
          <w:sz w:val="20"/>
          <w:shd w:fill="FFFFFF" w:val="clear"/>
        </w:rPr>
        <w:t>me</w:t>
      </w:r>
      <w:r>
        <w:rPr>
          <w:rFonts w:ascii="Calibri;sans-serif" w:hAnsi="Calibri;sans-serif"/>
          <w:b w:val="false"/>
          <w:color w:val="000000"/>
          <w:sz w:val="22"/>
        </w:rPr>
        <w:t xml:space="preserve">. We believe this position represents an extraordinary opportunity, and we look forward to you joining our exceptional team on November 3, 2023. Below are details of the offer. Should you have questions, or wish to receive additional details, please let us know. </w:t>
      </w:r>
    </w:p>
    <w:p>
      <w:pPr>
        <w:pStyle w:val="TextBody"/>
        <w:bidi w:val="0"/>
        <w:spacing w:lineRule="auto" w:line="319" w:before="0" w:after="200"/>
        <w:ind w:left="0" w:right="0" w:hanging="2"/>
        <w:jc w:val="both"/>
        <w:rPr>
          <w:rFonts w:ascii="Calibri;sans-serif" w:hAnsi="Calibri;sans-serif"/>
          <w:b w:val="false"/>
          <w:color w:val="000000"/>
          <w:sz w:val="22"/>
        </w:rPr>
      </w:pPr>
      <w:r>
        <w:rPr>
          <w:rFonts w:ascii="Calibri;sans-serif" w:hAnsi="Calibri;sans-serif"/>
          <w:b w:val="false"/>
          <w:color w:val="000000"/>
          <w:sz w:val="22"/>
        </w:rPr>
        <w:t>Your annual base salary will be $480,000, less payroll deductions and all required withholdings, paid semi-monthly over 24 pay periods per year. In addition, you will be eligible to participate in the Company’s annual performance-based bonus program. Your annual bonus target (at 100% achievement) will be 40% of your base salary. The amount of any bonus paid relative to your target will be based on your performance (as determined by the Company in its sole discretion) and the Company’s achievement of its corporate goals and in the first year, will be prorated based on your start date. As your start date is after September 30th, you will not be eligible for a bonus this year. You must be employed on the bonus payout date to be eligible for a bonus.</w:t>
      </w:r>
    </w:p>
    <w:p>
      <w:pPr>
        <w:pStyle w:val="TextBody"/>
        <w:bidi w:val="0"/>
        <w:spacing w:lineRule="auto" w:line="319" w:before="0" w:after="200"/>
        <w:ind w:left="0" w:right="0" w:hanging="2"/>
        <w:jc w:val="both"/>
        <w:rPr/>
      </w:pPr>
      <w:r>
        <w:rPr>
          <w:rFonts w:ascii="Calibri;sans-serif" w:hAnsi="Calibri;sans-serif"/>
          <w:b w:val="false"/>
          <w:color w:val="000000"/>
          <w:sz w:val="22"/>
        </w:rPr>
        <w:t>You will be eligible to receive a one-time sign-on bonus of</w:t>
      </w:r>
      <w:r>
        <w:rPr>
          <w:color w:val="222222"/>
          <w:shd w:fill="FFFFFF" w:val="clear"/>
        </w:rPr>
        <w:t xml:space="preserve"> </w:t>
      </w:r>
      <w:r>
        <w:rPr>
          <w:rFonts w:ascii="Arial;sans-serif" w:hAnsi="Arial;sans-serif"/>
          <w:b w:val="false"/>
          <w:color w:val="222222"/>
          <w:sz w:val="20"/>
          <w:shd w:fill="FFFFFF" w:val="clear"/>
        </w:rPr>
        <w:t>$25,000</w:t>
      </w:r>
      <w:r>
        <w:rPr>
          <w:rFonts w:ascii="Calibri;sans-serif" w:hAnsi="Calibri;sans-serif"/>
          <w:b w:val="false"/>
          <w:color w:val="000000"/>
          <w:sz w:val="22"/>
        </w:rPr>
        <w:t>. This sign-on bonus, less deductions and withholdings, will be paid within the first two pay periods of your employment with NGM Bio. Should you resign from NGM Bio for any reason within two years after your start date, you will be required to repay a prorated portion of the sign-on bonus (the gross amount) based on the number of months you were employed by the Company following your start date.</w:t>
      </w:r>
    </w:p>
    <w:p>
      <w:pPr>
        <w:pStyle w:val="TextBody"/>
        <w:bidi w:val="0"/>
        <w:spacing w:lineRule="auto" w:line="319" w:before="0" w:after="200"/>
        <w:ind w:left="0" w:right="0" w:hanging="2"/>
        <w:jc w:val="both"/>
        <w:rPr>
          <w:rFonts w:ascii="Calibri;sans-serif" w:hAnsi="Calibri;sans-serif"/>
          <w:b w:val="false"/>
          <w:color w:val="000000"/>
          <w:sz w:val="22"/>
        </w:rPr>
      </w:pPr>
      <w:r>
        <w:rPr>
          <w:rFonts w:ascii="Calibri;sans-serif" w:hAnsi="Calibri;sans-serif"/>
          <w:b w:val="false"/>
          <w:color w:val="000000"/>
          <w:sz w:val="22"/>
        </w:rPr>
        <w:t xml:space="preserve">NGM Bio provides all eligible employees with a comprehensive benefits program. You will have the opportunity to participate in any benefits we offer during your employment, subject to your enrollment or election to participate, if required, and meeting eligibility requirements. Our current benefits include medical, dental and vision coverage for you and your eligible dependents if you enroll in them. In addition, we provide life insurance, LTD and AD&amp;D coverage and offer a comprehensive 401(k) program. Other current benefits include Company holidays, vacation, sick leave and access to Health Care and Dependent Care Flexible Spending Accounts. </w:t>
      </w:r>
    </w:p>
    <w:p>
      <w:pPr>
        <w:pStyle w:val="TextBody"/>
        <w:bidi w:val="0"/>
        <w:spacing w:lineRule="auto" w:line="319" w:before="0" w:after="200"/>
        <w:ind w:left="0" w:right="0" w:hanging="2"/>
        <w:jc w:val="both"/>
        <w:rPr>
          <w:rFonts w:ascii="Calibri;sans-serif" w:hAnsi="Calibri;sans-serif"/>
          <w:b w:val="false"/>
          <w:color w:val="000000"/>
          <w:sz w:val="22"/>
        </w:rPr>
      </w:pPr>
      <w:r>
        <w:rPr>
          <w:rFonts w:ascii="Calibri;sans-serif" w:hAnsi="Calibri;sans-serif"/>
          <w:b w:val="false"/>
          <w:color w:val="000000"/>
          <w:sz w:val="22"/>
        </w:rPr>
        <w:t>An important component of your compensation includes the opportunity for equity ownership in the Company. After you commence employment, and subject to the approval of our Board of Directors, NGM Bio will grant you an option to purchase 450,000 shares of the Company’s common stock (subject to adjustment for stock splits, stock dividends, reclassification, and the like) at the fair market on the date of grant (the “Option”).  The Option will be subject to the terms and conditions of the Company’s Equity Incentive Plan (the “Plan”) and your grant agreement.  Your grant agreement will reflect a four-year vesting schedule, under which 25% of the shares underlying your Option will vest after 12 months and the remainder in equal monthly installments over the next 36 months, subject to your continuous service. In addition, you will be eligible to participate in the Company’s Employee Stock Purchase Plan (“ESPP”). The ESPP allows NGM Bio’s employees to allocate a portion of their after-tax pay to purchase Company shares at a discount from the market price. Participation in this plan is strictly voluntary.</w:t>
      </w:r>
    </w:p>
    <w:p>
      <w:pPr>
        <w:pStyle w:val="TextBody"/>
        <w:bidi w:val="0"/>
        <w:spacing w:before="0" w:after="0"/>
        <w:jc w:val="right"/>
        <w:rPr/>
      </w:pPr>
      <w:r>
        <w:rPr/>
        <w:drawing>
          <wp:inline distT="0" distB="0" distL="0" distR="0">
            <wp:extent cx="1581150" cy="409575"/>
            <wp:effectExtent l="0" t="0" r="0" b="0"/>
            <wp:docPr id="8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 descr=""/>
                    <pic:cNvPicPr>
                      <a:picLocks noChangeAspect="1" noChangeArrowheads="1"/>
                    </pic:cNvPicPr>
                  </pic:nvPicPr>
                  <pic:blipFill>
                    <a:blip r:embed="rId5"/>
                    <a:stretch>
                      <a:fillRect/>
                    </a:stretch>
                  </pic:blipFill>
                  <pic:spPr bwMode="auto">
                    <a:xfrm>
                      <a:off x="0" y="0"/>
                      <a:ext cx="1581150" cy="409575"/>
                    </a:xfrm>
                    <a:prstGeom prst="rect">
                      <a:avLst/>
                    </a:prstGeom>
                  </pic:spPr>
                </pic:pic>
              </a:graphicData>
            </a:graphic>
          </wp:inline>
        </w:drawing>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85"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pPr>
                            <w:r>
                              <w:rPr>
                                <w:rFonts w:ascii="Calibri;sans-serif" w:hAnsi="Calibri;sans-serif"/>
                                <w:b/>
                                <w:color w:val="000000"/>
                                <w:sz w:val="18"/>
                              </w:rPr>
                              <w:t>NGM Biopharmaceuticals, Inc.</w:t>
                            </w:r>
                            <w:r>
                              <w:rPr>
                                <w:color w:val="000000"/>
                              </w:rPr>
                              <w:t xml:space="preserve"> </w:t>
                            </w:r>
                            <w:r>
                              <w:rPr>
                                <w:rFonts w:ascii="Calibri;sans-serif" w:hAnsi="Calibri;sans-serif"/>
                                <w:b w:val="false"/>
                                <w:color w:val="000000"/>
                                <w:sz w:val="18"/>
                              </w:rPr>
                              <w:t xml:space="preserve">333 Oyster Point Blvd. | South San Francisco, CA 94080 | 650.243.5555 </w:t>
                            </w:r>
                            <w:r>
                              <w:rPr>
                                <w:rFonts w:ascii="Calibri;sans-serif" w:hAnsi="Calibri;sans-serif"/>
                                <w:b/>
                                <w:color w:val="000000"/>
                                <w:sz w:val="18"/>
                              </w:rPr>
                              <w:t>ngmbio.com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57.5pt;mso-position-horizontal:left;mso-position-horizontal-relative:text">
                <v:textbox>
                  <w:txbxContent>
                    <w:p>
                      <w:pPr>
                        <w:pStyle w:val="TextBody"/>
                        <w:bidi w:val="0"/>
                        <w:spacing w:lineRule="auto" w:line="240" w:before="0" w:after="0"/>
                        <w:jc w:val="center"/>
                        <w:rPr/>
                      </w:pPr>
                      <w:r>
                        <w:rPr>
                          <w:rFonts w:ascii="Calibri;sans-serif" w:hAnsi="Calibri;sans-serif"/>
                          <w:b/>
                          <w:color w:val="000000"/>
                          <w:sz w:val="18"/>
                        </w:rPr>
                        <w:t>NGM Biopharmaceuticals, Inc.</w:t>
                      </w:r>
                      <w:r>
                        <w:rPr>
                          <w:color w:val="000000"/>
                        </w:rPr>
                        <w:t xml:space="preserve"> </w:t>
                      </w:r>
                      <w:r>
                        <w:rPr>
                          <w:rFonts w:ascii="Calibri;sans-serif" w:hAnsi="Calibri;sans-serif"/>
                          <w:b w:val="false"/>
                          <w:color w:val="000000"/>
                          <w:sz w:val="18"/>
                        </w:rPr>
                        <w:t xml:space="preserve">333 Oyster Point Blvd. | South San Francisco, CA 94080 | 650.243.5555 </w:t>
                      </w:r>
                      <w:r>
                        <w:rPr>
                          <w:rFonts w:ascii="Calibri;sans-serif" w:hAnsi="Calibri;sans-serif"/>
                          <w:b/>
                          <w:color w:val="000000"/>
                          <w:sz w:val="18"/>
                        </w:rPr>
                        <w:t>ngmbio.com</w:t>
                      </w:r>
                    </w:p>
                  </w:txbxContent>
                </v:textbox>
                <w10:wrap type="none"/>
              </v:rect>
            </w:pict>
          </mc:Fallback>
        </mc:AlternateContent>
      </w:r>
    </w:p>
    <w:p>
      <w:pPr>
        <w:pStyle w:val="TextBody"/>
        <w:bidi w:val="0"/>
        <w:spacing w:lineRule="auto" w:line="319" w:before="0" w:after="200"/>
        <w:jc w:val="both"/>
        <w:rPr>
          <w:rFonts w:ascii="Calibri;sans-serif" w:hAnsi="Calibri;sans-serif"/>
          <w:b w:val="false"/>
          <w:color w:val="000000"/>
          <w:sz w:val="22"/>
        </w:rPr>
      </w:pPr>
      <w:r>
        <w:rPr>
          <w:rFonts w:ascii="Calibri;sans-serif" w:hAnsi="Calibri;sans-serif"/>
          <w:b w:val="false"/>
          <w:color w:val="000000"/>
          <w:sz w:val="22"/>
        </w:rPr>
        <w:t xml:space="preserve">This offer is contingent upon our verification of your employment history and satisfactory clearance of background check. Any intentional misrepresentation concerning your employment history may result in disciplinary action up to and including revocation of this offer or termination of your employment at NGM Bio. In addition, as required by law, this offer is subject to satisfactory proof of your identity and right to work in the United States. </w:t>
      </w:r>
    </w:p>
    <w:p>
      <w:pPr>
        <w:pStyle w:val="TextBody"/>
        <w:bidi w:val="0"/>
        <w:spacing w:lineRule="auto" w:line="319" w:before="0" w:after="200"/>
        <w:ind w:left="0" w:right="0" w:hanging="2"/>
        <w:jc w:val="both"/>
        <w:rPr>
          <w:rFonts w:ascii="Calibri;sans-serif" w:hAnsi="Calibri;sans-serif"/>
          <w:b w:val="false"/>
          <w:color w:val="000000"/>
          <w:sz w:val="22"/>
        </w:rPr>
      </w:pPr>
      <w:r>
        <w:rPr>
          <w:rFonts w:ascii="Calibri;sans-serif" w:hAnsi="Calibri;sans-serif"/>
          <w:b w:val="false"/>
          <w:color w:val="000000"/>
          <w:sz w:val="22"/>
        </w:rPr>
        <w:t>As a condition of your employment, you will be required to read, acknowledge, and abide by the Company’s policies and procedures, including those outlined in our Employee Handbook, to read, sign and comply with the Company’s Employee Confidential Information and Inventions Agreement (“Confidential Information Agreement”) and to read and sign the Arbitration Agreement (the “Arbitration Agreement”).</w:t>
      </w:r>
    </w:p>
    <w:p>
      <w:pPr>
        <w:pStyle w:val="TextBody"/>
        <w:bidi w:val="0"/>
        <w:spacing w:lineRule="auto" w:line="319" w:before="0" w:after="200"/>
        <w:jc w:val="both"/>
        <w:rPr>
          <w:rFonts w:ascii="Calibri;sans-serif" w:hAnsi="Calibri;sans-serif"/>
          <w:b w:val="false"/>
          <w:color w:val="000000"/>
          <w:sz w:val="22"/>
        </w:rPr>
      </w:pPr>
      <w:r>
        <w:rPr>
          <w:rFonts w:ascii="Calibri;sans-serif" w:hAnsi="Calibri;sans-serif"/>
          <w:b w:val="false"/>
          <w:color w:val="000000"/>
          <w:sz w:val="22"/>
        </w:rPr>
        <w:t>Your employment relationship is at-will. Accordingly, you may terminate your employment with the Company at any time and for any reason whatsoever simply by notifying the Company. Likewise, the Company may terminate your employment at any time and for any reason, with or without cause or advance notice. In addition, the Company may change your title, duties, reporting relationship, compensation, and benefits from time to time in its discretion. If, on or within 18 months after the effective date of a change in control, your employment is terminated without cause and other than as a result of your death and disability, or you resign for good reason, and subject to you signing the Company’s standard form of release within the time period specified by the Company and allowing it to become effective in accordance with its terms and your compliance with your obligations under the Confidential Information Agreement, you will receive the following severance benefits: (a) continuation of your base salary for a six-month period, (b) payment of premiums for you and your eligible dependents to continue your health insurance benefits for the first six months of such coverage, or such earlier date as you (or your dependents, as applicable) cease to be eligible for continuation coverage, and (c) full vesting acceleration of any unvested outstanding equity awards (together, the “Severance Benefits”). The Severance Benefits will be subject to the definitions and additional terms and conditions set forth by the Company.</w:t>
      </w:r>
    </w:p>
    <w:p>
      <w:pPr>
        <w:pStyle w:val="TextBody"/>
        <w:bidi w:val="0"/>
        <w:spacing w:lineRule="auto" w:line="319" w:before="0" w:after="200"/>
        <w:ind w:left="0" w:right="0" w:hanging="2"/>
        <w:jc w:val="both"/>
        <w:rPr>
          <w:rFonts w:ascii="Calibri;sans-serif" w:hAnsi="Calibri;sans-serif"/>
          <w:b w:val="false"/>
          <w:color w:val="000000"/>
          <w:sz w:val="22"/>
        </w:rPr>
      </w:pPr>
      <w:r>
        <w:rPr>
          <w:rFonts w:ascii="Calibri;sans-serif" w:hAnsi="Calibri;sans-serif"/>
          <w:b w:val="false"/>
          <w:color w:val="000000"/>
          <w:sz w:val="22"/>
        </w:rPr>
        <w:t xml:space="preserve">This letter, together with your Confidential Information Agreement and your Arbitration Agreement, forms the complete and exclusive statement of your agreement with the Company concerning this offer. The terms of this letter supersede any other representations or agreements made to you by any party, whether oral or written. The terms of our agreement cannot be changed (except those changes expressly reserved to the Company’s discretion in this letter) other than by a written agreement signed by you and a duly authorized officer of the Company. This agreement is to be governed by the laws of the state of California without reference to its conflicts of law principles. In case any provision contained in this agreement shall, for any reason, be held invalid or unenforceable in any respect, such invalidity or unenforceability will not affect the other provisions of this agreement, and such provision will be construed and enforced to render it valid and enforceable consistent with the general intent of the parties insofar as possible under applicable law. This agreement may be executed in more than one counterpart, and signatures transmitted electronically will be deemed equivalent to originals. </w:t>
      </w:r>
    </w:p>
    <w:p>
      <w:pPr>
        <w:pStyle w:val="TextBody"/>
        <w:bidi w:val="0"/>
        <w:spacing w:lineRule="auto" w:line="319" w:before="0" w:after="200"/>
        <w:jc w:val="both"/>
        <w:rPr/>
      </w:pPr>
      <w:r>
        <w:rPr>
          <w:rFonts w:ascii="Arial;sans-serif" w:hAnsi="Arial;sans-serif"/>
          <w:b w:val="false"/>
          <w:color w:val="222222"/>
          <w:sz w:val="20"/>
          <w:shd w:fill="FFFFFF" w:val="clear"/>
        </w:rPr>
        <w:t>Under</w:t>
      </w:r>
      <w:r>
        <w:rPr>
          <w:color w:val="222222"/>
          <w:shd w:fill="FFFFFF" w:val="clear"/>
        </w:rPr>
        <w:t xml:space="preserve"> </w:t>
      </w:r>
      <w:r>
        <w:rPr>
          <w:rFonts w:ascii="Calibri;sans-serif" w:hAnsi="Calibri;sans-serif"/>
          <w:b w:val="false"/>
          <w:color w:val="000000"/>
          <w:sz w:val="22"/>
        </w:rPr>
        <w:t>the terms described above, please sign and date this letter, the Confidential Information Agreement, and the Arbitration Agreement, and return them to by October 20, 2023</w:t>
      </w:r>
      <w:r>
        <w:rPr>
          <w:rFonts w:ascii="Arial;sans-serif" w:hAnsi="Arial;sans-serif"/>
          <w:b/>
          <w:color w:val="222222"/>
          <w:sz w:val="20"/>
          <w:shd w:fill="FFFFFF" w:val="clear"/>
        </w:rPr>
        <w:t>.</w:t>
      </w:r>
    </w:p>
    <w:p>
      <w:pPr>
        <w:pStyle w:val="TextBody"/>
        <w:bidi w:val="0"/>
        <w:spacing w:lineRule="auto" w:line="319" w:before="0" w:after="200"/>
        <w:jc w:val="both"/>
        <w:rPr>
          <w:rFonts w:ascii="Calibri;sans-serif" w:hAnsi="Calibri;sans-serif"/>
          <w:b w:val="false"/>
          <w:color w:val="000000"/>
          <w:sz w:val="22"/>
        </w:rPr>
      </w:pPr>
      <w:r>
        <w:rPr>
          <w:rFonts w:ascii="Calibri;sans-serif" w:hAnsi="Calibri;sans-serif"/>
          <w:b w:val="false"/>
          <w:color w:val="000000"/>
          <w:sz w:val="22"/>
        </w:rPr>
        <w:t xml:space="preserve">NGM Bio is an ambitious biopharmaceutical company focused on discovering and developing novel, life-changing medicines for people whose health and lives have been disrupted by disease. To this end, we are assembling a </w:t>
      </w:r>
    </w:p>
    <w:p>
      <w:pPr>
        <w:pStyle w:val="TextBody"/>
        <w:bidi w:val="0"/>
        <w:spacing w:before="0" w:after="0"/>
        <w:jc w:val="right"/>
        <w:rPr/>
      </w:pPr>
      <w:r>
        <w:rPr/>
        <w:drawing>
          <wp:inline distT="0" distB="0" distL="0" distR="0">
            <wp:extent cx="1581150" cy="409575"/>
            <wp:effectExtent l="0" t="0" r="0" b="0"/>
            <wp:docPr id="8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 descr=""/>
                    <pic:cNvPicPr>
                      <a:picLocks noChangeAspect="1" noChangeArrowheads="1"/>
                    </pic:cNvPicPr>
                  </pic:nvPicPr>
                  <pic:blipFill>
                    <a:blip r:embed="rId6"/>
                    <a:stretch>
                      <a:fillRect/>
                    </a:stretch>
                  </pic:blipFill>
                  <pic:spPr bwMode="auto">
                    <a:xfrm>
                      <a:off x="0" y="0"/>
                      <a:ext cx="1581150" cy="409575"/>
                    </a:xfrm>
                    <a:prstGeom prst="rect">
                      <a:avLst/>
                    </a:prstGeom>
                  </pic:spPr>
                </pic:pic>
              </a:graphicData>
            </a:graphic>
          </wp:inline>
        </w:drawing>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87"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pPr>
                            <w:r>
                              <w:rPr>
                                <w:rFonts w:ascii="Calibri;sans-serif" w:hAnsi="Calibri;sans-serif"/>
                                <w:b/>
                                <w:color w:val="000000"/>
                                <w:sz w:val="18"/>
                              </w:rPr>
                              <w:t>NGM Biopharmaceuticals, Inc.</w:t>
                            </w:r>
                            <w:r>
                              <w:rPr>
                                <w:color w:val="000000"/>
                              </w:rPr>
                              <w:t xml:space="preserve"> </w:t>
                            </w:r>
                            <w:r>
                              <w:rPr>
                                <w:rFonts w:ascii="Calibri;sans-serif" w:hAnsi="Calibri;sans-serif"/>
                                <w:b w:val="false"/>
                                <w:color w:val="000000"/>
                                <w:sz w:val="18"/>
                              </w:rPr>
                              <w:t xml:space="preserve">333 Oyster Point Blvd. | South San Francisco, CA 94080 | 650.243.5555 </w:t>
                            </w:r>
                            <w:r>
                              <w:rPr>
                                <w:rFonts w:ascii="Calibri;sans-serif" w:hAnsi="Calibri;sans-serif"/>
                                <w:b/>
                                <w:color w:val="000000"/>
                                <w:sz w:val="18"/>
                              </w:rPr>
                              <w:t>ngmbio.com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57.5pt;mso-position-horizontal:left;mso-position-horizontal-relative:text">
                <v:textbox>
                  <w:txbxContent>
                    <w:p>
                      <w:pPr>
                        <w:pStyle w:val="TextBody"/>
                        <w:bidi w:val="0"/>
                        <w:spacing w:lineRule="auto" w:line="240" w:before="0" w:after="0"/>
                        <w:jc w:val="center"/>
                        <w:rPr/>
                      </w:pPr>
                      <w:r>
                        <w:rPr>
                          <w:rFonts w:ascii="Calibri;sans-serif" w:hAnsi="Calibri;sans-serif"/>
                          <w:b/>
                          <w:color w:val="000000"/>
                          <w:sz w:val="18"/>
                        </w:rPr>
                        <w:t>NGM Biopharmaceuticals, Inc.</w:t>
                      </w:r>
                      <w:r>
                        <w:rPr>
                          <w:color w:val="000000"/>
                        </w:rPr>
                        <w:t xml:space="preserve"> </w:t>
                      </w:r>
                      <w:r>
                        <w:rPr>
                          <w:rFonts w:ascii="Calibri;sans-serif" w:hAnsi="Calibri;sans-serif"/>
                          <w:b w:val="false"/>
                          <w:color w:val="000000"/>
                          <w:sz w:val="18"/>
                        </w:rPr>
                        <w:t xml:space="preserve">333 Oyster Point Blvd. | South San Francisco, CA 94080 | 650.243.5555 </w:t>
                      </w:r>
                      <w:r>
                        <w:rPr>
                          <w:rFonts w:ascii="Calibri;sans-serif" w:hAnsi="Calibri;sans-serif"/>
                          <w:b/>
                          <w:color w:val="000000"/>
                          <w:sz w:val="18"/>
                        </w:rPr>
                        <w:t>ngmbio.com</w:t>
                      </w:r>
                    </w:p>
                  </w:txbxContent>
                </v:textbox>
                <w10:wrap type="none"/>
              </v:rect>
            </w:pict>
          </mc:Fallback>
        </mc:AlternateContent>
      </w:r>
    </w:p>
    <w:p>
      <w:pPr>
        <w:pStyle w:val="TextBody"/>
        <w:bidi w:val="0"/>
        <w:spacing w:lineRule="auto" w:line="319" w:before="0" w:after="200"/>
        <w:jc w:val="both"/>
        <w:rPr>
          <w:rFonts w:ascii="Calibri;sans-serif" w:hAnsi="Calibri;sans-serif"/>
          <w:b w:val="false"/>
          <w:color w:val="000000"/>
          <w:sz w:val="22"/>
        </w:rPr>
      </w:pPr>
      <w:r>
        <w:rPr>
          <w:rFonts w:ascii="Calibri;sans-serif" w:hAnsi="Calibri;sans-serif"/>
          <w:b w:val="false"/>
          <w:color w:val="000000"/>
          <w:sz w:val="22"/>
        </w:rPr>
        <w:t>team of uniquely qualified individuals with extraordinary knowledge, skills and drive. We look forward to you joining our team.</w:t>
      </w:r>
    </w:p>
    <w:tbl>
      <w:tblPr>
        <w:tblW w:w="5381" w:type="dxa"/>
        <w:jc w:val="left"/>
        <w:tblInd w:w="0" w:type="dxa"/>
        <w:tblLayout w:type="fixed"/>
        <w:tblCellMar>
          <w:top w:w="28" w:type="dxa"/>
          <w:left w:w="28" w:type="dxa"/>
          <w:bottom w:w="28" w:type="dxa"/>
          <w:right w:w="28" w:type="dxa"/>
        </w:tblCellMar>
      </w:tblPr>
      <w:tblGrid>
        <w:gridCol w:w="929"/>
        <w:gridCol w:w="814"/>
        <w:gridCol w:w="821"/>
        <w:gridCol w:w="109"/>
        <w:gridCol w:w="109"/>
        <w:gridCol w:w="109"/>
        <w:gridCol w:w="728"/>
        <w:gridCol w:w="728"/>
        <w:gridCol w:w="103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Sincerely,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 David J. Woodhouse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David J. Woodhouse,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Understood and Accepted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 Jean-Frédéric Viret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___October 20, 2023____</w:t>
            </w:r>
          </w:p>
        </w:tc>
      </w:tr>
      <w:tr>
        <w:trPr/>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22"/>
              </w:rPr>
            </w:pPr>
            <w:r>
              <w:rPr>
                <w:rFonts w:ascii="Calibri;sans-serif" w:hAnsi="Calibri;sans-serif"/>
                <w:b/>
                <w:color w:val="000000"/>
                <w:sz w:val="22"/>
              </w:rPr>
              <w:t>Jean-Frédéric Viret,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22"/>
              </w:rPr>
            </w:pPr>
            <w:r>
              <w:rPr>
                <w:rFonts w:ascii="Calibri;sans-serif" w:hAnsi="Calibri;sans-serif"/>
                <w:b/>
                <w:color w:val="000000"/>
                <w:sz w:val="22"/>
              </w:rPr>
              <w:t>Date of Signature</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both"/>
        <w:rPr/>
      </w:pPr>
      <w:r>
        <w:rPr/>
      </w:r>
    </w:p>
    <w:p>
      <w:pPr>
        <w:pStyle w:val="TextBody"/>
        <w:bidi w:val="0"/>
        <w:spacing w:lineRule="auto" w:line="319" w:before="0" w:after="2"/>
        <w:jc w:val="both"/>
        <w:rPr>
          <w:color w:val="222222"/>
          <w:shd w:fill="FFFFFF" w:val="clear"/>
        </w:rPr>
      </w:pPr>
      <w:r>
        <w:rPr>
          <w:color w:val="222222"/>
          <w:shd w:fill="FFFFFF" w:val="clear"/>
        </w:rPr>
        <w:t>            </w:t>
      </w:r>
    </w:p>
    <w:p>
      <w:pPr>
        <w:pStyle w:val="TextBody"/>
        <w:bidi w:val="0"/>
        <w:spacing w:before="0" w:after="200"/>
        <w:jc w:val="both"/>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0"/>
        <w:jc w:val="right"/>
        <w:rPr/>
      </w:pPr>
      <w:r>
        <w:rPr/>
        <w:drawing>
          <wp:inline distT="0" distB="0" distL="0" distR="0">
            <wp:extent cx="1581150" cy="409575"/>
            <wp:effectExtent l="0" t="0" r="0" b="0"/>
            <wp:docPr id="8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 descr=""/>
                    <pic:cNvPicPr>
                      <a:picLocks noChangeAspect="1" noChangeArrowheads="1"/>
                    </pic:cNvPicPr>
                  </pic:nvPicPr>
                  <pic:blipFill>
                    <a:blip r:embed="rId7"/>
                    <a:stretch>
                      <a:fillRect/>
                    </a:stretch>
                  </pic:blipFill>
                  <pic:spPr bwMode="auto">
                    <a:xfrm>
                      <a:off x="0" y="0"/>
                      <a:ext cx="1581150" cy="409575"/>
                    </a:xfrm>
                    <a:prstGeom prst="rect">
                      <a:avLst/>
                    </a:prstGeom>
                  </pic:spPr>
                </pic:pic>
              </a:graphicData>
            </a:graphic>
          </wp:inline>
        </w:drawing>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89"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pPr>
                            <w:r>
                              <w:rPr>
                                <w:rFonts w:ascii="Calibri;sans-serif" w:hAnsi="Calibri;sans-serif"/>
                                <w:b/>
                                <w:color w:val="000000"/>
                                <w:sz w:val="18"/>
                              </w:rPr>
                              <w:t>NGM Biopharmaceuticals, Inc.</w:t>
                            </w:r>
                            <w:r>
                              <w:rPr>
                                <w:color w:val="000000"/>
                              </w:rPr>
                              <w:t xml:space="preserve"> </w:t>
                            </w:r>
                            <w:r>
                              <w:rPr>
                                <w:rFonts w:ascii="Calibri;sans-serif" w:hAnsi="Calibri;sans-serif"/>
                                <w:b w:val="false"/>
                                <w:color w:val="000000"/>
                                <w:sz w:val="18"/>
                              </w:rPr>
                              <w:t xml:space="preserve">333 Oyster Point Blvd. | South San Francisco, CA 94080 | 650.243.5555 </w:t>
                            </w:r>
                            <w:r>
                              <w:rPr>
                                <w:rFonts w:ascii="Calibri;sans-serif" w:hAnsi="Calibri;sans-serif"/>
                                <w:b/>
                                <w:color w:val="000000"/>
                                <w:sz w:val="18"/>
                              </w:rPr>
                              <w:t>ngmbio.com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57.5pt;mso-position-horizontal:left;mso-position-horizontal-relative:text">
                <v:textbox>
                  <w:txbxContent>
                    <w:p>
                      <w:pPr>
                        <w:pStyle w:val="TextBody"/>
                        <w:bidi w:val="0"/>
                        <w:spacing w:lineRule="auto" w:line="240" w:before="0" w:after="0"/>
                        <w:jc w:val="center"/>
                        <w:rPr/>
                      </w:pPr>
                      <w:r>
                        <w:rPr>
                          <w:rFonts w:ascii="Calibri;sans-serif" w:hAnsi="Calibri;sans-serif"/>
                          <w:b/>
                          <w:color w:val="000000"/>
                          <w:sz w:val="18"/>
                        </w:rPr>
                        <w:t>NGM Biopharmaceuticals, Inc.</w:t>
                      </w:r>
                      <w:r>
                        <w:rPr>
                          <w:color w:val="000000"/>
                        </w:rPr>
                        <w:t xml:space="preserve"> </w:t>
                      </w:r>
                      <w:r>
                        <w:rPr>
                          <w:rFonts w:ascii="Calibri;sans-serif" w:hAnsi="Calibri;sans-serif"/>
                          <w:b w:val="false"/>
                          <w:color w:val="000000"/>
                          <w:sz w:val="18"/>
                        </w:rPr>
                        <w:t xml:space="preserve">333 Oyster Point Blvd. | South San Francisco, CA 94080 | 650.243.5555 </w:t>
                      </w:r>
                      <w:r>
                        <w:rPr>
                          <w:rFonts w:ascii="Calibri;sans-serif" w:hAnsi="Calibri;sans-serif"/>
                          <w:b/>
                          <w:color w:val="000000"/>
                          <w:sz w:val="18"/>
                        </w:rPr>
                        <w:t>ngmbio.com</w:t>
                      </w:r>
                    </w:p>
                  </w:txbxContent>
                </v:textbox>
                <w10:wrap type="none"/>
              </v:rect>
            </w:pict>
          </mc:Fallback>
        </mc:AlternateContent>
      </w:r>
    </w:p>
    <w:p>
      <w:pPr>
        <w:pStyle w:val="TextBody"/>
        <w:bidi w:val="0"/>
        <w:spacing w:before="0" w:after="200"/>
        <w:jc w:val="center"/>
        <w:rPr/>
      </w:pPr>
      <w:r>
        <w:rPr/>
      </w:r>
    </w:p>
    <w:p>
      <w:pPr>
        <w:pStyle w:val="TextBody"/>
        <w:bidi w:val="0"/>
        <w:spacing w:before="0" w:after="2"/>
        <w:jc w:val="center"/>
        <w:rPr/>
      </w:pPr>
      <w:r>
        <w:rPr/>
      </w:r>
    </w:p>
    <w:p>
      <w:pPr>
        <w:pStyle w:val="TextBody"/>
        <w:bidi w:val="0"/>
        <w:spacing w:lineRule="auto" w:line="319" w:before="0" w:after="2"/>
        <w:jc w:val="center"/>
        <w:rPr>
          <w:rFonts w:ascii="Calibri;sans-serif" w:hAnsi="Calibri;sans-serif"/>
          <w:b/>
          <w:color w:val="222222"/>
          <w:sz w:val="22"/>
          <w:shd w:fill="FFFFFF" w:val="clear"/>
        </w:rPr>
      </w:pPr>
      <w:r>
        <w:rPr>
          <w:rFonts w:ascii="Calibri;sans-serif" w:hAnsi="Calibri;sans-serif"/>
          <w:b/>
          <w:color w:val="222222"/>
          <w:sz w:val="22"/>
          <w:shd w:fill="FFFFFF" w:val="clear"/>
        </w:rPr>
        <w:t>ARBITRATION AGREEMENT</w:t>
      </w:r>
    </w:p>
    <w:p>
      <w:pPr>
        <w:pStyle w:val="TextBody"/>
        <w:bidi w:val="0"/>
        <w:spacing w:lineRule="auto" w:line="319" w:before="0" w:after="0"/>
        <w:jc w:val="both"/>
        <w:rPr/>
      </w:pPr>
      <w:r>
        <w:rPr>
          <w:rFonts w:ascii="Calibri;sans-serif" w:hAnsi="Calibri;sans-serif"/>
          <w:b w:val="false"/>
          <w:color w:val="000000"/>
          <w:sz w:val="22"/>
        </w:rPr>
        <w:t>To aid the rapid and economical resolution of disputes that may arise in connection with your employment with NGM Biopharmaceuticals, Inc. (the “Company”), and in exchange for the mutual promises contained in your offer letter, you and the Company agree that any and all disputes, claims, or causes of action, in law or equity, including but not limited to statutory claims arising from or relating to the enforcement, breach, performance, or interpretation of your offer letter, your employment with the Company, or the termination of your employment, shall be resolved pursuant to the Federal Arbitration Act, 9 U.S.C. § 1-16, to the fullest extent permitted by law, by final, binding and confidential arbitration conducted by JAMS, Inc. (“</w:t>
      </w:r>
      <w:r>
        <w:rPr>
          <w:rFonts w:ascii="Calibri;sans-serif" w:hAnsi="Calibri;sans-serif"/>
          <w:b/>
          <w:i/>
          <w:color w:val="000000"/>
          <w:sz w:val="22"/>
        </w:rPr>
        <w:t>JAMS</w:t>
      </w:r>
      <w:r>
        <w:rPr>
          <w:color w:val="000000"/>
        </w:rPr>
        <w:t>”</w:t>
      </w:r>
      <w:r>
        <w:rPr>
          <w:rFonts w:ascii="Calibri;sans-serif" w:hAnsi="Calibri;sans-serif"/>
          <w:b w:val="false"/>
          <w:color w:val="000000"/>
          <w:sz w:val="22"/>
        </w:rPr>
        <w:t>) or its successor, under such arbitration service’s then applicable rules and procedures appropriate to the relief being sought (available upon request and also currently available at the following web address(es):</w:t>
      </w:r>
    </w:p>
    <w:p>
      <w:pPr>
        <w:pStyle w:val="TextBody"/>
        <w:bidi w:val="0"/>
        <w:spacing w:lineRule="auto" w:line="319" w:before="0" w:after="0"/>
        <w:ind w:left="0" w:right="0" w:hanging="720"/>
        <w:jc w:val="both"/>
        <w:rPr/>
      </w:pPr>
      <w:r>
        <w:rPr>
          <w:rFonts w:ascii="Calibri;sans-serif" w:hAnsi="Calibri;sans-serif"/>
          <w:b w:val="false"/>
          <w:color w:val="000000"/>
          <w:sz w:val="22"/>
        </w:rPr>
        <w:t>(i)</w:t>
      </w:r>
      <w:r>
        <w:rPr>
          <w:rFonts w:ascii="Calibri;sans-serif" w:hAnsi="Calibri;sans-serif"/>
          <w:b w:val="false"/>
          <w:color w:val="0000FF"/>
          <w:sz w:val="22"/>
          <w:u w:val="single"/>
        </w:rPr>
        <w:t>https://www.jamsadr.com/rules-employment-arbitration/</w:t>
      </w:r>
      <w:r>
        <w:rPr>
          <w:color w:val="000000"/>
        </w:rPr>
        <w:t xml:space="preserve"> </w:t>
      </w:r>
      <w:r>
        <w:rPr>
          <w:rFonts w:ascii="Calibri;sans-serif" w:hAnsi="Calibri;sans-serif"/>
          <w:b w:val="false"/>
          <w:color w:val="000000"/>
          <w:sz w:val="22"/>
        </w:rPr>
        <w:t>and</w:t>
      </w:r>
    </w:p>
    <w:p>
      <w:pPr>
        <w:pStyle w:val="TextBody"/>
        <w:bidi w:val="0"/>
        <w:spacing w:lineRule="auto" w:line="319" w:before="0" w:after="0"/>
        <w:ind w:left="0" w:right="0" w:hanging="720"/>
        <w:jc w:val="both"/>
        <w:rPr/>
      </w:pPr>
      <w:r>
        <w:rPr>
          <w:rFonts w:ascii="Calibri;sans-serif" w:hAnsi="Calibri;sans-serif"/>
          <w:b w:val="false"/>
          <w:color w:val="000000"/>
          <w:sz w:val="22"/>
        </w:rPr>
        <w:t>(ii)</w:t>
      </w:r>
      <w:r>
        <w:rPr>
          <w:rFonts w:ascii="Calibri;sans-serif" w:hAnsi="Calibri;sans-serif"/>
          <w:b w:val="false"/>
          <w:color w:val="0000FF"/>
          <w:sz w:val="22"/>
          <w:u w:val="single"/>
        </w:rPr>
        <w:t>https://www.jamsadr.com/rules-comprehensive-arbitration/</w:t>
      </w:r>
      <w:r>
        <w:rPr>
          <w:rFonts w:ascii="Calibri;sans-serif" w:hAnsi="Calibri;sans-serif"/>
          <w:b w:val="false"/>
          <w:color w:val="000000"/>
          <w:sz w:val="22"/>
        </w:rPr>
        <w:t xml:space="preserve">) </w:t>
      </w:r>
    </w:p>
    <w:p>
      <w:pPr>
        <w:pStyle w:val="TextBody"/>
        <w:bidi w:val="0"/>
        <w:spacing w:before="0" w:after="0"/>
        <w:jc w:val="both"/>
        <w:rPr/>
      </w:pPr>
      <w:r>
        <w:rPr/>
      </w:r>
    </w:p>
    <w:p>
      <w:pPr>
        <w:pStyle w:val="TextBody"/>
        <w:bidi w:val="0"/>
        <w:spacing w:lineRule="auto" w:line="319" w:before="0" w:after="0"/>
        <w:jc w:val="both"/>
        <w:rPr/>
      </w:pPr>
      <w:r>
        <w:rPr>
          <w:rFonts w:ascii="Calibri;sans-serif" w:hAnsi="Calibri;sans-serif"/>
          <w:b w:val="false"/>
          <w:color w:val="000000"/>
          <w:sz w:val="22"/>
        </w:rPr>
        <w:t xml:space="preserve">at a location closest to where you last worked for the Company or another mutually agreeable location. </w:t>
      </w:r>
      <w:r>
        <w:rPr>
          <w:rFonts w:ascii="Calibri;sans-serif" w:hAnsi="Calibri;sans-serif"/>
          <w:b/>
          <w:color w:val="000000"/>
          <w:sz w:val="22"/>
        </w:rPr>
        <w:t>You acknowledge that by agreeing to this arbitration procedure, both you and the Company waive the right to resolve any such dispute through a trial by jury or judge.</w:t>
      </w:r>
      <w:r>
        <w:rPr>
          <w:color w:val="000000"/>
        </w:rPr>
        <w:t xml:space="preserve"> </w:t>
      </w:r>
    </w:p>
    <w:p>
      <w:pPr>
        <w:pStyle w:val="TextBody"/>
        <w:bidi w:val="0"/>
        <w:spacing w:before="0" w:after="0"/>
        <w:jc w:val="both"/>
        <w:rPr/>
      </w:pPr>
      <w:r>
        <w:rPr/>
      </w:r>
    </w:p>
    <w:p>
      <w:pPr>
        <w:pStyle w:val="TextBody"/>
        <w:bidi w:val="0"/>
        <w:spacing w:lineRule="auto" w:line="319" w:before="0" w:after="0"/>
        <w:jc w:val="both"/>
        <w:rPr/>
      </w:pPr>
      <w:r>
        <w:rPr>
          <w:rFonts w:ascii="Calibri;sans-serif" w:hAnsi="Calibri;sans-serif"/>
          <w:b w:val="false"/>
          <w:color w:val="000000"/>
          <w:sz w:val="22"/>
        </w:rPr>
        <w:t>This arbitration agreement shall not be mandatory for any claim or cause of action to the extent applicable law prohibits subjecting such claim or cause of action to mandatory arbitration and such applicable law is not preempted by the Federal Arbitration Act or otherwise invalid (collectively, the “</w:t>
      </w:r>
      <w:r>
        <w:rPr>
          <w:rFonts w:ascii="Calibri;sans-serif" w:hAnsi="Calibri;sans-serif"/>
          <w:b/>
          <w:i/>
          <w:color w:val="000000"/>
          <w:sz w:val="22"/>
        </w:rPr>
        <w:t>Excluded Claims</w:t>
      </w:r>
      <w:r>
        <w:rPr>
          <w:color w:val="000000"/>
        </w:rPr>
        <w:t>”</w:t>
      </w:r>
      <w:r>
        <w:rPr>
          <w:rFonts w:ascii="Calibri;sans-serif" w:hAnsi="Calibri;sans-serif"/>
          <w:b w:val="false"/>
          <w:color w:val="000000"/>
          <w:sz w:val="22"/>
        </w:rPr>
        <w:t xml:space="preserve">), including claims or causes of action alleging sexual harassment or a nonconsensual sexual act or sexual contact, or unemployment or workers’ compensation claims brought before the applicable state governmental agency. In the event you or the Company intend to bring multiple claims, including one of the Excluded Claims listed above, the Excluded Claims may be filed with a court, while any other claims will remain subject to mandatory arbitration. Nothing herein prevents you from filing and pursuing proceedings before a federal or state governmental agency, although if you choose to pursue a claim following the exhaustion of any applicable administrative remedies, that claim would be subject to this provision. In addition, with the exception of Excluded Claims arising out of 9 U.S.C., chapter 4, all claims, disputes, or causes of action 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or representative claims or proceedings are found to violate applicable law or are otherwise found unenforceable, any claim(s) alleged or brought on behalf of a class or in a representative capacity shall proceed in a court of law rather than by arbitration. </w:t>
      </w:r>
    </w:p>
    <w:p>
      <w:pPr>
        <w:pStyle w:val="TextBody"/>
        <w:bidi w:val="0"/>
        <w:spacing w:before="0" w:after="0"/>
        <w:jc w:val="both"/>
        <w:rPr/>
      </w:pPr>
      <w:r>
        <w:rPr/>
      </w:r>
    </w:p>
    <w:p>
      <w:pPr>
        <w:pStyle w:val="TextBody"/>
        <w:bidi w:val="0"/>
        <w:spacing w:lineRule="auto" w:line="319"/>
        <w:jc w:val="both"/>
        <w:rPr>
          <w:rFonts w:ascii="Calibri;sans-serif" w:hAnsi="Calibri;sans-serif"/>
          <w:b w:val="false"/>
          <w:color w:val="000000"/>
          <w:sz w:val="22"/>
        </w:rPr>
      </w:pPr>
      <w:r>
        <w:rPr>
          <w:rFonts w:ascii="Calibri;sans-serif" w:hAnsi="Calibri;sans-serif"/>
          <w:b w:val="false"/>
          <w:color w:val="000000"/>
          <w:sz w:val="22"/>
        </w:rPr>
        <w:t xml:space="preserve">You will have the right to be represented by legal counsel at any arbitration proceeding. Questions of whether a claim is subject to arbitration under this arbitration agreement shall be decided by the arbitrator. Likewise, </w:t>
      </w:r>
    </w:p>
    <w:p>
      <w:pPr>
        <w:pStyle w:val="TextBody"/>
        <w:bidi w:val="0"/>
        <w:spacing w:before="0" w:after="0"/>
        <w:jc w:val="right"/>
        <w:rPr/>
      </w:pPr>
      <w:r>
        <w:rPr/>
        <w:drawing>
          <wp:inline distT="0" distB="0" distL="0" distR="0">
            <wp:extent cx="1581150" cy="409575"/>
            <wp:effectExtent l="0" t="0" r="0" b="0"/>
            <wp:docPr id="9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 descr=""/>
                    <pic:cNvPicPr>
                      <a:picLocks noChangeAspect="1" noChangeArrowheads="1"/>
                    </pic:cNvPicPr>
                  </pic:nvPicPr>
                  <pic:blipFill>
                    <a:blip r:embed="rId8"/>
                    <a:stretch>
                      <a:fillRect/>
                    </a:stretch>
                  </pic:blipFill>
                  <pic:spPr bwMode="auto">
                    <a:xfrm>
                      <a:off x="0" y="0"/>
                      <a:ext cx="1581150" cy="409575"/>
                    </a:xfrm>
                    <a:prstGeom prst="rect">
                      <a:avLst/>
                    </a:prstGeom>
                  </pic:spPr>
                </pic:pic>
              </a:graphicData>
            </a:graphic>
          </wp:inline>
        </w:drawing>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1"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pPr>
                            <w:r>
                              <w:rPr>
                                <w:rFonts w:ascii="Calibri;sans-serif" w:hAnsi="Calibri;sans-serif"/>
                                <w:b/>
                                <w:color w:val="000000"/>
                                <w:sz w:val="18"/>
                              </w:rPr>
                              <w:t>NGM Biopharmaceuticals, Inc.</w:t>
                            </w:r>
                            <w:r>
                              <w:rPr>
                                <w:color w:val="000000"/>
                              </w:rPr>
                              <w:t xml:space="preserve"> </w:t>
                            </w:r>
                            <w:r>
                              <w:rPr>
                                <w:rFonts w:ascii="Calibri;sans-serif" w:hAnsi="Calibri;sans-serif"/>
                                <w:b w:val="false"/>
                                <w:color w:val="000000"/>
                                <w:sz w:val="18"/>
                              </w:rPr>
                              <w:t xml:space="preserve">333 Oyster Point Blvd. | South San Francisco, CA 94080 | 650.243.5555 </w:t>
                            </w:r>
                            <w:r>
                              <w:rPr>
                                <w:rFonts w:ascii="Calibri;sans-serif" w:hAnsi="Calibri;sans-serif"/>
                                <w:b/>
                                <w:color w:val="000000"/>
                                <w:sz w:val="18"/>
                              </w:rPr>
                              <w:t>ngmbio.com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57.5pt;mso-position-horizontal:left;mso-position-horizontal-relative:text">
                <v:textbox>
                  <w:txbxContent>
                    <w:p>
                      <w:pPr>
                        <w:pStyle w:val="TextBody"/>
                        <w:bidi w:val="0"/>
                        <w:spacing w:lineRule="auto" w:line="240" w:before="0" w:after="0"/>
                        <w:jc w:val="center"/>
                        <w:rPr/>
                      </w:pPr>
                      <w:r>
                        <w:rPr>
                          <w:rFonts w:ascii="Calibri;sans-serif" w:hAnsi="Calibri;sans-serif"/>
                          <w:b/>
                          <w:color w:val="000000"/>
                          <w:sz w:val="18"/>
                        </w:rPr>
                        <w:t>NGM Biopharmaceuticals, Inc.</w:t>
                      </w:r>
                      <w:r>
                        <w:rPr>
                          <w:color w:val="000000"/>
                        </w:rPr>
                        <w:t xml:space="preserve"> </w:t>
                      </w:r>
                      <w:r>
                        <w:rPr>
                          <w:rFonts w:ascii="Calibri;sans-serif" w:hAnsi="Calibri;sans-serif"/>
                          <w:b w:val="false"/>
                          <w:color w:val="000000"/>
                          <w:sz w:val="18"/>
                        </w:rPr>
                        <w:t xml:space="preserve">333 Oyster Point Blvd. | South San Francisco, CA 94080 | 650.243.5555 </w:t>
                      </w:r>
                      <w:r>
                        <w:rPr>
                          <w:rFonts w:ascii="Calibri;sans-serif" w:hAnsi="Calibri;sans-serif"/>
                          <w:b/>
                          <w:color w:val="000000"/>
                          <w:sz w:val="18"/>
                        </w:rPr>
                        <w:t>ngmbio.com</w:t>
                      </w:r>
                    </w:p>
                  </w:txbxContent>
                </v:textbox>
                <w10:wrap type="none"/>
              </v:rect>
            </w:pict>
          </mc:Fallback>
        </mc:AlternateContent>
      </w:r>
    </w:p>
    <w:p>
      <w:pPr>
        <w:pStyle w:val="TextBody"/>
        <w:bidi w:val="0"/>
        <w:spacing w:lineRule="auto" w:line="319" w:before="0" w:after="0"/>
        <w:jc w:val="both"/>
        <w:rPr>
          <w:rFonts w:ascii="Calibri;sans-serif" w:hAnsi="Calibri;sans-serif"/>
          <w:b w:val="false"/>
          <w:color w:val="000000"/>
          <w:sz w:val="22"/>
        </w:rPr>
      </w:pPr>
      <w:r>
        <w:rPr>
          <w:rFonts w:ascii="Calibri;sans-serif" w:hAnsi="Calibri;sans-serif"/>
          <w:b w:val="false"/>
          <w:color w:val="000000"/>
          <w:sz w:val="22"/>
        </w:rPr>
        <w:t xml:space="preserve">procedural questions which grow out of the dispute and bear on the final disposition are also matters for the arbitrator. Notwithstanding the foregoing, provided however, that if required by applicable law, a court and not the arbitrator may determine the enforceability of the previous section with respect to Excluded Claims.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w:t>
      </w:r>
    </w:p>
    <w:p>
      <w:pPr>
        <w:pStyle w:val="TextBody"/>
        <w:bidi w:val="0"/>
        <w:spacing w:before="0" w:after="0"/>
        <w:jc w:val="both"/>
        <w:rPr/>
      </w:pPr>
      <w:r>
        <w:rPr/>
      </w:r>
    </w:p>
    <w:p>
      <w:pPr>
        <w:pStyle w:val="TextBody"/>
        <w:bidi w:val="0"/>
        <w:spacing w:lineRule="auto" w:line="319" w:before="0" w:after="0"/>
        <w:jc w:val="both"/>
        <w:rPr/>
      </w:pPr>
      <w:r>
        <w:rPr>
          <w:rFonts w:ascii="Calibri;sans-serif" w:hAnsi="Calibri;sans-serif"/>
          <w:b/>
          <w:color w:val="000000"/>
          <w:sz w:val="22"/>
        </w:rPr>
        <w:t>For California and Hawaii Employees Only:</w:t>
      </w:r>
      <w:r>
        <w:rPr>
          <w:color w:val="000000"/>
        </w:rPr>
        <w:t xml:space="preserve"> </w:t>
      </w:r>
      <w:r>
        <w:rPr>
          <w:rFonts w:ascii="Calibri;sans-serif" w:hAnsi="Calibri;sans-serif"/>
          <w:b w:val="false"/>
          <w:color w:val="000000"/>
          <w:sz w:val="22"/>
        </w:rPr>
        <w:t xml:space="preserve">The Company shall pay all arbitration administrative fees in excess of the administrative fees that you would be required to pay if the dispute were decided in a court of law. Each party is responsible for its own attorneys’ fees, except as may be expressly set forth in your employee confidential information and inventions assignment agreement or as otherwise provided under applicable law. Nothing in this arbitration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 </w:t>
      </w:r>
    </w:p>
    <w:p>
      <w:pPr>
        <w:pStyle w:val="TextBody"/>
        <w:bidi w:val="0"/>
        <w:spacing w:before="0" w:after="0"/>
        <w:jc w:val="both"/>
        <w:rPr/>
      </w:pPr>
      <w:r>
        <w:rPr/>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This arbitration agreement will be effective as of my first day of employment with the Company.</w:t>
      </w:r>
    </w:p>
    <w:tbl>
      <w:tblPr>
        <w:tblW w:w="10205" w:type="dxa"/>
        <w:jc w:val="left"/>
        <w:tblInd w:w="0" w:type="dxa"/>
        <w:tblLayout w:type="fixed"/>
        <w:tblCellMar>
          <w:top w:w="28" w:type="dxa"/>
          <w:left w:w="28" w:type="dxa"/>
          <w:bottom w:w="28" w:type="dxa"/>
          <w:right w:w="28" w:type="dxa"/>
        </w:tblCellMar>
      </w:tblPr>
      <w:tblGrid>
        <w:gridCol w:w="2474"/>
        <w:gridCol w:w="2170"/>
        <w:gridCol w:w="2182"/>
        <w:gridCol w:w="109"/>
        <w:gridCol w:w="109"/>
        <w:gridCol w:w="109"/>
        <w:gridCol w:w="109"/>
        <w:gridCol w:w="109"/>
        <w:gridCol w:w="109"/>
        <w:gridCol w:w="893"/>
        <w:gridCol w:w="810"/>
        <w:gridCol w:w="1022"/>
      </w:tblGrid>
      <w:tr>
        <w:trPr/>
        <w:tc>
          <w:tcPr>
            <w:tcW w:w="2474"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6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00"/>
              <w:ind w:left="0" w:right="0" w:hanging="2"/>
              <w:jc w:val="both"/>
              <w:rPr>
                <w:rFonts w:ascii="Calibri;sans-serif" w:hAnsi="Calibri;sans-serif"/>
                <w:b/>
                <w:color w:val="000000"/>
                <w:sz w:val="22"/>
              </w:rPr>
            </w:pPr>
            <w:r>
              <w:rPr>
                <w:rFonts w:ascii="Calibri;sans-serif" w:hAnsi="Calibri;sans-serif"/>
                <w:b/>
                <w:color w:val="000000"/>
                <w:sz w:val="22"/>
              </w:rPr>
              <w:t>EMPLOYEE: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319" w:before="0" w:after="200"/>
              <w:ind w:left="0" w:right="0" w:hanging="2"/>
              <w:jc w:val="both"/>
              <w:rPr>
                <w:rFonts w:ascii="Calibri;sans-serif" w:hAnsi="Calibri;sans-serif"/>
                <w:b/>
                <w:color w:val="000000"/>
                <w:sz w:val="22"/>
              </w:rPr>
            </w:pPr>
            <w:r>
              <w:rPr>
                <w:rFonts w:ascii="Calibri;sans-serif" w:hAnsi="Calibri;sans-serif"/>
                <w:b/>
                <w:color w:val="000000"/>
                <w:sz w:val="22"/>
              </w:rPr>
              <w:t>COMPANY:</w:t>
            </w:r>
          </w:p>
        </w:tc>
      </w:tr>
      <w:tr>
        <w:trPr/>
        <w:tc>
          <w:tcPr>
            <w:tcW w:w="6826"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ind w:left="0" w:right="0" w:hanging="2"/>
              <w:jc w:val="both"/>
              <w:rPr/>
            </w:pPr>
            <w:r>
              <w:rPr>
                <w:rFonts w:ascii="Calibri;sans-serif" w:hAnsi="Calibri;sans-serif"/>
                <w:b/>
                <w:color w:val="000000"/>
                <w:sz w:val="22"/>
              </w:rPr>
              <w:t>I</w:t>
            </w:r>
            <w:r>
              <w:rPr>
                <w:color w:val="000000"/>
              </w:rPr>
              <w:t xml:space="preserve"> </w:t>
            </w:r>
            <w:r>
              <w:rPr>
                <w:rFonts w:ascii="Calibri;sans-serif" w:hAnsi="Calibri;sans-serif"/>
                <w:b/>
                <w:color w:val="000000"/>
                <w:sz w:val="18"/>
              </w:rPr>
              <w:t>HAVE READ, UNDERSTAND AND ACCEPT THIS ARBITRATION AGREEMENT AND HAVE BEEN GIVEN THE OPPORTUNITY TO REVIEW IT WITH INDEPENDENT LEGAL COUNSEL.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op w:val="single" w:sz="4" w:space="0" w:color="000000"/>
              <w:right w:val="single" w:sz="8" w:space="0" w:color="000000"/>
            </w:tcBorders>
            <w:tcMar>
              <w:top w:w="30" w:type="dxa"/>
              <w:left w:w="0" w:type="dxa"/>
              <w:bottom w:w="0" w:type="dxa"/>
            </w:tcMar>
            <w:vAlign w:val="center"/>
          </w:tcPr>
          <w:p>
            <w:pPr>
              <w:pStyle w:val="TableContents"/>
              <w:bidi w:val="0"/>
              <w:spacing w:lineRule="auto" w:line="240" w:before="0" w:after="0"/>
              <w:ind w:left="0" w:right="0" w:hanging="2"/>
              <w:jc w:val="both"/>
              <w:rPr/>
            </w:pPr>
            <w:r>
              <w:rPr>
                <w:rFonts w:ascii="Calibri;sans-serif" w:hAnsi="Calibri;sans-serif"/>
                <w:b/>
                <w:color w:val="000000"/>
                <w:sz w:val="22"/>
              </w:rPr>
              <w:t>A</w:t>
            </w:r>
            <w:r>
              <w:rPr>
                <w:rFonts w:ascii="Calibri;sans-serif" w:hAnsi="Calibri;sans-serif"/>
                <w:b/>
                <w:color w:val="000000"/>
                <w:sz w:val="18"/>
              </w:rPr>
              <w:t>CCEPTED AND AGREED.</w:t>
            </w:r>
          </w:p>
        </w:tc>
      </w:tr>
      <w:tr>
        <w:trPr/>
        <w:tc>
          <w:tcPr>
            <w:tcW w:w="6826" w:type="dxa"/>
            <w:gridSpan w:val="3"/>
            <w:tcBorders>
              <w:left w:val="single" w:sz="8" w:space="0" w:color="000000"/>
            </w:tcBorders>
            <w:tcMar>
              <w:top w:w="0" w:type="dxa"/>
              <w:bottom w:w="0" w:type="dxa"/>
              <w:right w:w="0" w:type="dxa"/>
            </w:tcMar>
            <w:vAlign w:val="center"/>
          </w:tcPr>
          <w:p>
            <w:pPr>
              <w:pStyle w:val="TableContents"/>
              <w:bidi w:val="0"/>
              <w:spacing w:lineRule="auto" w:line="319" w:before="0" w:after="200"/>
              <w:ind w:left="0" w:right="0" w:hanging="2"/>
              <w:jc w:val="both"/>
              <w:rPr>
                <w:rFonts w:ascii="Calibri;sans-serif" w:hAnsi="Calibri;sans-serif"/>
                <w:b/>
                <w:color w:val="222222"/>
                <w:sz w:val="22"/>
                <w:shd w:fill="FFFFFF" w:val="clear"/>
              </w:rPr>
            </w:pPr>
            <w:r>
              <w:rPr>
                <w:rFonts w:ascii="Calibri;sans-serif" w:hAnsi="Calibri;sans-serif"/>
                <w:b/>
                <w:color w:val="222222"/>
                <w:sz w:val="22"/>
                <w:shd w:fill="FFFFFF" w:val="clear"/>
              </w:rPr>
              <w:t>/s/ Jean-Frédéric Viret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right w:val="single" w:sz="8" w:space="0" w:color="000000"/>
            </w:tcBorders>
            <w:tcMar>
              <w:top w:w="0" w:type="dxa"/>
              <w:left w:w="0" w:type="dxa"/>
              <w:bottom w:w="0" w:type="dxa"/>
            </w:tcMar>
            <w:vAlign w:val="center"/>
          </w:tcPr>
          <w:p>
            <w:pPr>
              <w:pStyle w:val="TableContents"/>
              <w:bidi w:val="0"/>
              <w:spacing w:lineRule="auto" w:line="319" w:before="0" w:after="200"/>
              <w:ind w:left="0" w:right="0" w:hanging="2"/>
              <w:jc w:val="both"/>
              <w:rPr>
                <w:rFonts w:ascii="Calibri;sans-serif" w:hAnsi="Calibri;sans-serif"/>
                <w:b/>
                <w:color w:val="222222"/>
                <w:sz w:val="22"/>
                <w:shd w:fill="FFFFFF" w:val="clear"/>
              </w:rPr>
            </w:pPr>
            <w:r>
              <w:rPr>
                <w:rFonts w:ascii="Calibri;sans-serif" w:hAnsi="Calibri;sans-serif"/>
                <w:b/>
                <w:color w:val="222222"/>
                <w:sz w:val="22"/>
                <w:shd w:fill="FFFFFF" w:val="clear"/>
              </w:rPr>
              <w:t>/s/ Valerie Pierce</w:t>
            </w:r>
          </w:p>
        </w:tc>
      </w:tr>
      <w:tr>
        <w:trPr/>
        <w:tc>
          <w:tcPr>
            <w:tcW w:w="6826" w:type="dxa"/>
            <w:gridSpan w:val="3"/>
            <w:tcBorders>
              <w:top w:val="single" w:sz="12" w:space="0" w:color="000000"/>
              <w:left w:val="single" w:sz="8" w:space="0" w:color="000000"/>
            </w:tcBorders>
            <w:tcMar>
              <w:top w:w="30" w:type="dxa"/>
              <w:bottom w:w="0" w:type="dxa"/>
              <w:right w:w="0" w:type="dxa"/>
            </w:tcMar>
            <w:vAlign w:val="center"/>
          </w:tcPr>
          <w:p>
            <w:pPr>
              <w:pStyle w:val="TableContents"/>
              <w:bidi w:val="0"/>
              <w:spacing w:lineRule="auto" w:line="319" w:before="0" w:after="200"/>
              <w:ind w:left="0" w:right="0" w:hanging="2"/>
              <w:jc w:val="center"/>
              <w:rPr>
                <w:rFonts w:ascii="Calibri;sans-serif" w:hAnsi="Calibri;sans-serif"/>
                <w:b w:val="false"/>
                <w:i/>
                <w:color w:val="222222"/>
                <w:sz w:val="22"/>
                <w:shd w:fill="FFFFFF" w:val="clear"/>
              </w:rPr>
            </w:pPr>
            <w:r>
              <w:rPr>
                <w:rFonts w:ascii="Calibri;sans-serif" w:hAnsi="Calibri;sans-serif"/>
                <w:b w:val="false"/>
                <w:i/>
                <w:color w:val="222222"/>
                <w:sz w:val="22"/>
                <w:shd w:fill="FFFFFF" w:val="clear"/>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op w:val="single" w:sz="12" w:space="0" w:color="000000"/>
              <w:right w:val="single" w:sz="8" w:space="0" w:color="000000"/>
            </w:tcBorders>
            <w:tcMar>
              <w:top w:w="30" w:type="dxa"/>
              <w:left w:w="0" w:type="dxa"/>
              <w:bottom w:w="0" w:type="dxa"/>
            </w:tcMar>
            <w:vAlign w:val="center"/>
          </w:tcPr>
          <w:p>
            <w:pPr>
              <w:pStyle w:val="TableContents"/>
              <w:bidi w:val="0"/>
              <w:spacing w:lineRule="auto" w:line="319" w:before="0" w:after="200"/>
              <w:ind w:left="0" w:right="0" w:hanging="2"/>
              <w:jc w:val="both"/>
              <w:rPr>
                <w:rFonts w:ascii="Calibri;sans-serif" w:hAnsi="Calibri;sans-serif"/>
                <w:b w:val="false"/>
                <w:i/>
                <w:color w:val="222222"/>
                <w:sz w:val="22"/>
                <w:shd w:fill="FFFFFF" w:val="clear"/>
              </w:rPr>
            </w:pPr>
            <w:r>
              <w:rPr>
                <w:rFonts w:ascii="Calibri;sans-serif" w:hAnsi="Calibri;sans-serif"/>
                <w:b w:val="false"/>
                <w:i/>
                <w:color w:val="222222"/>
                <w:sz w:val="22"/>
                <w:shd w:fill="FFFFFF" w:val="clear"/>
              </w:rPr>
              <w:t>(Signature)</w:t>
            </w:r>
          </w:p>
        </w:tc>
      </w:tr>
      <w:tr>
        <w:trPr/>
        <w:tc>
          <w:tcPr>
            <w:tcW w:w="6826"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319" w:before="0" w:after="200"/>
              <w:ind w:left="0" w:right="0" w:hanging="2"/>
              <w:jc w:val="both"/>
              <w:rPr>
                <w:rFonts w:ascii="Calibri;sans-serif" w:hAnsi="Calibri;sans-serif"/>
                <w:b w:val="false"/>
                <w:color w:val="222222"/>
                <w:sz w:val="22"/>
                <w:shd w:fill="FFFFFF" w:val="clear"/>
              </w:rPr>
            </w:pPr>
            <w:r>
              <w:rPr>
                <w:rFonts w:ascii="Calibri;sans-serif" w:hAnsi="Calibri;sans-serif"/>
                <w:b w:val="false"/>
                <w:color w:val="222222"/>
                <w:sz w:val="22"/>
                <w:shd w:fill="FFFFFF" w:val="clear"/>
              </w:rPr>
              <w:t>By: Jean-Frédéric Viret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op w:val="single" w:sz="4" w:space="0" w:color="000000"/>
              <w:right w:val="single" w:sz="8" w:space="0" w:color="000000"/>
            </w:tcBorders>
            <w:tcMar>
              <w:top w:w="30" w:type="dxa"/>
              <w:left w:w="0" w:type="dxa"/>
              <w:bottom w:w="0" w:type="dxa"/>
            </w:tcMar>
            <w:vAlign w:val="center"/>
          </w:tcPr>
          <w:p>
            <w:pPr>
              <w:pStyle w:val="TableContents"/>
              <w:bidi w:val="0"/>
              <w:spacing w:lineRule="auto" w:line="319" w:before="0" w:after="200"/>
              <w:ind w:left="0" w:right="0" w:hanging="2"/>
              <w:jc w:val="both"/>
              <w:rPr>
                <w:rFonts w:ascii="Calibri;sans-serif" w:hAnsi="Calibri;sans-serif"/>
                <w:b w:val="false"/>
                <w:color w:val="222222"/>
                <w:sz w:val="22"/>
                <w:shd w:fill="FFFFFF" w:val="clear"/>
              </w:rPr>
            </w:pPr>
            <w:r>
              <w:rPr>
                <w:rFonts w:ascii="Calibri;sans-serif" w:hAnsi="Calibri;sans-serif"/>
                <w:b w:val="false"/>
                <w:color w:val="222222"/>
                <w:sz w:val="22"/>
                <w:shd w:fill="FFFFFF" w:val="clear"/>
              </w:rPr>
              <w:t>By: Valerie Pierce</w:t>
            </w:r>
          </w:p>
        </w:tc>
      </w:tr>
      <w:tr>
        <w:trPr/>
        <w:tc>
          <w:tcPr>
            <w:tcW w:w="6826"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319" w:before="0" w:after="200"/>
              <w:ind w:left="0" w:right="0" w:hanging="2"/>
              <w:jc w:val="both"/>
              <w:rPr>
                <w:rFonts w:ascii="Calibri;sans-serif" w:hAnsi="Calibri;sans-serif"/>
                <w:b w:val="false"/>
                <w:color w:val="222222"/>
                <w:sz w:val="22"/>
                <w:shd w:fill="FFFFFF" w:val="clear"/>
              </w:rPr>
            </w:pPr>
            <w:r>
              <w:rPr>
                <w:rFonts w:ascii="Calibri;sans-serif" w:hAnsi="Calibri;sans-serif"/>
                <w:b w:val="false"/>
                <w:color w:val="222222"/>
                <w:sz w:val="22"/>
                <w:shd w:fill="FFFFFF" w:val="clear"/>
              </w:rPr>
              <w:t>Title: CFO</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op w:val="single" w:sz="4" w:space="0" w:color="000000"/>
              <w:right w:val="single" w:sz="8" w:space="0" w:color="000000"/>
            </w:tcBorders>
            <w:tcMar>
              <w:top w:w="30" w:type="dxa"/>
              <w:left w:w="0" w:type="dxa"/>
              <w:bottom w:w="0" w:type="dxa"/>
            </w:tcMar>
            <w:vAlign w:val="center"/>
          </w:tcPr>
          <w:p>
            <w:pPr>
              <w:pStyle w:val="TableContents"/>
              <w:bidi w:val="0"/>
              <w:spacing w:lineRule="auto" w:line="319" w:before="0" w:after="200"/>
              <w:ind w:left="0" w:right="0" w:hanging="2"/>
              <w:jc w:val="both"/>
              <w:rPr>
                <w:rFonts w:ascii="Calibri;sans-serif" w:hAnsi="Calibri;sans-serif"/>
                <w:b w:val="false"/>
                <w:color w:val="222222"/>
                <w:sz w:val="22"/>
                <w:shd w:fill="FFFFFF" w:val="clear"/>
              </w:rPr>
            </w:pPr>
            <w:r>
              <w:rPr>
                <w:rFonts w:ascii="Calibri;sans-serif" w:hAnsi="Calibri;sans-serif"/>
                <w:b w:val="false"/>
                <w:color w:val="222222"/>
                <w:sz w:val="22"/>
                <w:shd w:fill="FFFFFF" w:val="clear"/>
              </w:rPr>
              <w:t>Title: General Counsel</w:t>
            </w:r>
          </w:p>
        </w:tc>
      </w:tr>
      <w:tr>
        <w:trPr/>
        <w:tc>
          <w:tcPr>
            <w:tcW w:w="6826"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319" w:before="0" w:after="200"/>
              <w:ind w:left="0" w:right="0" w:hanging="2"/>
              <w:jc w:val="both"/>
              <w:rPr>
                <w:rFonts w:ascii="Calibri;sans-serif" w:hAnsi="Calibri;sans-serif"/>
                <w:b w:val="false"/>
                <w:color w:val="222222"/>
                <w:sz w:val="22"/>
                <w:shd w:fill="FFFFFF" w:val="clear"/>
              </w:rPr>
            </w:pPr>
            <w:r>
              <w:rPr>
                <w:rFonts w:ascii="Calibri;sans-serif" w:hAnsi="Calibri;sans-serif"/>
                <w:b w:val="false"/>
                <w:color w:val="222222"/>
                <w:sz w:val="22"/>
                <w:shd w:fill="FFFFFF" w:val="clear"/>
              </w:rPr>
              <w:t>Date: October 20, 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op w:val="single" w:sz="4" w:space="0" w:color="000000"/>
              <w:right w:val="single" w:sz="8" w:space="0" w:color="000000"/>
            </w:tcBorders>
            <w:tcMar>
              <w:top w:w="30" w:type="dxa"/>
              <w:left w:w="0" w:type="dxa"/>
              <w:bottom w:w="0" w:type="dxa"/>
            </w:tcMar>
            <w:vAlign w:val="center"/>
          </w:tcPr>
          <w:p>
            <w:pPr>
              <w:pStyle w:val="TableContents"/>
              <w:bidi w:val="0"/>
              <w:spacing w:lineRule="auto" w:line="319" w:before="0" w:after="200"/>
              <w:jc w:val="left"/>
              <w:rPr>
                <w:rFonts w:ascii="Calibri;sans-serif" w:hAnsi="Calibri;sans-serif"/>
                <w:b w:val="false"/>
                <w:color w:val="222222"/>
                <w:sz w:val="22"/>
                <w:shd w:fill="FFFFFF" w:val="clear"/>
              </w:rPr>
            </w:pPr>
            <w:r>
              <w:rPr>
                <w:rFonts w:ascii="Calibri;sans-serif" w:hAnsi="Calibri;sans-serif"/>
                <w:b w:val="false"/>
                <w:color w:val="222222"/>
                <w:sz w:val="22"/>
                <w:shd w:fill="FFFFFF" w:val="clear"/>
              </w:rPr>
              <w:t>Date: October 20, 2023</w:t>
            </w:r>
          </w:p>
        </w:tc>
      </w:tr>
      <w:tr>
        <w:trPr/>
        <w:tc>
          <w:tcPr>
            <w:tcW w:w="6826" w:type="dxa"/>
            <w:gridSpan w:val="3"/>
            <w:tcBorders>
              <w:top w:val="single" w:sz="4"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0"/>
              <w:jc w:val="left"/>
              <w:rPr>
                <w:rFonts w:ascii="Calibri;sans-serif" w:hAnsi="Calibri;sans-serif"/>
                <w:b w:val="false"/>
                <w:color w:val="222222"/>
                <w:sz w:val="22"/>
                <w:shd w:fill="FFFFFF" w:val="clear"/>
              </w:rPr>
            </w:pPr>
            <w:r>
              <w:rPr>
                <w:rFonts w:ascii="Calibri;sans-serif" w:hAnsi="Calibri;sans-serif"/>
                <w:b w:val="false"/>
                <w:color w:val="222222"/>
                <w:sz w:val="22"/>
                <w:shd w:fill="FFFFFF" w:val="clear"/>
              </w:rPr>
              <w:t>Address: [redacted]</w:t>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op w:val="single" w:sz="4"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0"/>
              <w:ind w:left="0" w:right="0" w:hanging="2"/>
              <w:jc w:val="both"/>
              <w:rPr>
                <w:rFonts w:ascii="Calibri;sans-serif" w:hAnsi="Calibri;sans-serif"/>
                <w:b w:val="false"/>
                <w:color w:val="222222"/>
                <w:sz w:val="22"/>
                <w:shd w:fill="FFFFFF" w:val="clear"/>
              </w:rPr>
            </w:pPr>
            <w:r>
              <w:rPr>
                <w:rFonts w:ascii="Calibri;sans-serif" w:hAnsi="Calibri;sans-serif"/>
                <w:b w:val="false"/>
                <w:color w:val="222222"/>
                <w:sz w:val="22"/>
                <w:shd w:fill="FFFFFF" w:val="clear"/>
              </w:rPr>
              <w:t>Address: 333 Oyster Point Boulevard</w:t>
            </w:r>
          </w:p>
          <w:p>
            <w:pPr>
              <w:pStyle w:val="TableContents"/>
              <w:bidi w:val="0"/>
              <w:spacing w:lineRule="auto" w:line="240" w:before="0" w:after="0"/>
              <w:ind w:left="0" w:right="0" w:hanging="2"/>
              <w:jc w:val="both"/>
              <w:rPr>
                <w:color w:val="222222"/>
                <w:shd w:fill="FFFFFF" w:val="clear"/>
              </w:rPr>
            </w:pPr>
            <w:r>
              <w:rPr>
                <w:color w:val="222222"/>
                <w:shd w:fill="FFFFFF" w:val="clear"/>
              </w:rPr>
              <w:t>                </w:t>
            </w:r>
            <w:r>
              <w:rPr>
                <w:rFonts w:ascii="Calibri;sans-serif" w:hAnsi="Calibri;sans-serif"/>
                <w:b w:val="false"/>
                <w:color w:val="222222"/>
                <w:sz w:val="22"/>
                <w:shd w:fill="FFFFFF" w:val="clear"/>
              </w:rPr>
              <w:t>South San Francisco, CA 94080</w:t>
            </w:r>
          </w:p>
        </w:tc>
      </w:tr>
    </w:tbl>
    <w:p>
      <w:pPr>
        <w:pStyle w:val="TextBody"/>
        <w:bidi w:val="0"/>
        <w:spacing w:before="0" w:after="20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2"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pPr>
                            <w:r>
                              <w:rPr>
                                <w:rFonts w:ascii="Calibri;sans-serif" w:hAnsi="Calibri;sans-serif"/>
                                <w:b/>
                                <w:color w:val="000000"/>
                                <w:sz w:val="18"/>
                              </w:rPr>
                              <w:t>NGM Biopharmaceuticals, Inc.</w:t>
                            </w:r>
                            <w:r>
                              <w:rPr>
                                <w:color w:val="000000"/>
                              </w:rPr>
                              <w:t xml:space="preserve"> </w:t>
                            </w:r>
                            <w:r>
                              <w:rPr>
                                <w:rFonts w:ascii="Calibri;sans-serif" w:hAnsi="Calibri;sans-serif"/>
                                <w:b w:val="false"/>
                                <w:color w:val="000000"/>
                                <w:sz w:val="18"/>
                              </w:rPr>
                              <w:t xml:space="preserve">333 Oyster Point Blvd. | South San Francisco, CA 94080 | 650.243.5555 </w:t>
                            </w:r>
                            <w:r>
                              <w:rPr>
                                <w:rFonts w:ascii="Calibri;sans-serif" w:hAnsi="Calibri;sans-serif"/>
                                <w:b/>
                                <w:color w:val="000000"/>
                                <w:sz w:val="18"/>
                              </w:rPr>
                              <w:t>ngmbio.com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pPr>
                      <w:r>
                        <w:rPr>
                          <w:rFonts w:ascii="Calibri;sans-serif" w:hAnsi="Calibri;sans-serif"/>
                          <w:b/>
                          <w:color w:val="000000"/>
                          <w:sz w:val="18"/>
                        </w:rPr>
                        <w:t>NGM Biopharmaceuticals, Inc.</w:t>
                      </w:r>
                      <w:r>
                        <w:rPr>
                          <w:color w:val="000000"/>
                        </w:rPr>
                        <w:t xml:space="preserve"> </w:t>
                      </w:r>
                      <w:r>
                        <w:rPr>
                          <w:rFonts w:ascii="Calibri;sans-serif" w:hAnsi="Calibri;sans-serif"/>
                          <w:b w:val="false"/>
                          <w:color w:val="000000"/>
                          <w:sz w:val="18"/>
                        </w:rPr>
                        <w:t xml:space="preserve">333 Oyster Point Blvd. | South San Francisco, CA 94080 | 650.243.5555 </w:t>
                      </w:r>
                      <w:r>
                        <w:rPr>
                          <w:rFonts w:ascii="Calibri;sans-serif" w:hAnsi="Calibri;sans-serif"/>
                          <w:b/>
                          <w:color w:val="000000"/>
                          <w:sz w:val="18"/>
                        </w:rPr>
                        <w:t>ngmbio.com</w:t>
                      </w:r>
                    </w:p>
                  </w:txbxContent>
                </v:textbox>
                <w10:wrap type="none"/>
              </v:rect>
            </w:pict>
          </mc:Fallback>
        </mc:AlternateContent>
      </w:r>
    </w:p>
    <w:p>
      <w:pPr>
        <w:pStyle w:val="TextBody"/>
        <w:bidi w:val="0"/>
        <w:spacing w:before="0" w:after="0"/>
        <w:jc w:val="left"/>
        <w:rPr/>
      </w:pPr>
      <w:r>
        <w:rPr/>
      </w:r>
    </w:p>
    <w:p>
      <w:pPr>
        <w:pStyle w:val="TextBody"/>
        <w:bidi w:val="0"/>
        <w:spacing w:lineRule="auto" w:line="192" w:before="0" w:after="0"/>
        <w:jc w:val="both"/>
        <w:rPr/>
      </w:pPr>
      <w:r>
        <w:rPr>
          <w:rFonts w:ascii="Arial;sans-serif" w:hAnsi="Arial;sans-serif"/>
          <w:b w:val="false"/>
          <w:color w:val="000000"/>
          <w:sz w:val="24"/>
        </w:rPr>
        <w:t xml:space="preserve">CONFIDENTIAL </w:t>
      </w:r>
      <w:r>
        <w:rPr>
          <w:color w:val="000000"/>
        </w:rPr>
        <w:t xml:space="preserve">          </w:t>
      </w:r>
      <w:r>
        <w:rPr/>
        <w:drawing>
          <wp:inline distT="0" distB="0" distL="0" distR="0">
            <wp:extent cx="1371600" cy="247650"/>
            <wp:effectExtent l="0" t="0" r="0" b="0"/>
            <wp:docPr id="9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 descr=""/>
                    <pic:cNvPicPr>
                      <a:picLocks noChangeAspect="1" noChangeArrowheads="1"/>
                    </pic:cNvPicPr>
                  </pic:nvPicPr>
                  <pic:blipFill>
                    <a:blip r:embed="rId9"/>
                    <a:stretch>
                      <a:fillRect/>
                    </a:stretch>
                  </pic:blipFill>
                  <pic:spPr bwMode="auto">
                    <a:xfrm>
                      <a:off x="0" y="0"/>
                      <a:ext cx="1371600" cy="247650"/>
                    </a:xfrm>
                    <a:prstGeom prst="rect">
                      <a:avLst/>
                    </a:prstGeom>
                  </pic:spPr>
                </pic:pic>
              </a:graphicData>
            </a:graphic>
          </wp:inline>
        </w:drawing>
      </w: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10.2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0" w:after="0"/>
        <w:jc w:val="left"/>
        <w:rPr>
          <w:rFonts w:ascii="Arial;sans-serif" w:hAnsi="Arial;sans-serif"/>
          <w:b/>
          <w:color w:val="000000"/>
          <w:sz w:val="22"/>
          <w:shd w:fill="FFFFFF" w:val="clear"/>
        </w:rPr>
      </w:pPr>
      <w:r>
        <w:rPr>
          <w:rFonts w:ascii="Arial;sans-serif" w:hAnsi="Arial;sans-serif"/>
          <w:b/>
          <w:color w:val="000000"/>
          <w:sz w:val="22"/>
          <w:shd w:fill="FFFFFF" w:val="clear"/>
        </w:rPr>
        <w:t>[*] = Certain information contained in this document, marked by brackets, has been omitted from this exhibit because it is both not material and would be competitively harmful if publicly disclosed.</w:t>
      </w:r>
    </w:p>
    <w:p>
      <w:pPr>
        <w:pStyle w:val="TextBody"/>
        <w:bidi w:val="0"/>
        <w:spacing w:before="7" w:after="283"/>
        <w:jc w:val="left"/>
        <w:rPr/>
      </w:pPr>
      <w:r>
        <w:rPr/>
      </w:r>
    </w:p>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AMENDMENT No. 10</w:t>
      </w:r>
    </w:p>
    <w:p>
      <w:pPr>
        <w:pStyle w:val="TextBody"/>
        <w:bidi w:val="0"/>
        <w:spacing w:before="0" w:after="0"/>
        <w:jc w:val="left"/>
        <w:rPr/>
      </w:pPr>
      <w:r>
        <w:rPr/>
      </w:r>
    </w:p>
    <w:p>
      <w:pPr>
        <w:pStyle w:val="TextBody"/>
        <w:bidi w:val="0"/>
        <w:spacing w:before="11" w:after="283"/>
        <w:jc w:val="left"/>
        <w:rPr/>
      </w:pPr>
      <w:r>
        <w:rPr/>
      </w:r>
    </w:p>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To the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MULTI-PRODUCT LICENCE AGREEMENT</w:t>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dated</w:t>
      </w:r>
    </w:p>
    <w:p>
      <w:pPr>
        <w:pStyle w:val="TextBody"/>
        <w:bidi w:val="0"/>
        <w:spacing w:before="0" w:after="0"/>
        <w:jc w:val="left"/>
        <w:rPr/>
      </w:pPr>
      <w:r>
        <w:rPr/>
      </w:r>
    </w:p>
    <w:p>
      <w:pPr>
        <w:pStyle w:val="TextBody"/>
        <w:bidi w:val="0"/>
        <w:spacing w:before="11" w:after="283"/>
        <w:jc w:val="left"/>
        <w:rPr/>
      </w:pPr>
      <w:r>
        <w:rPr/>
      </w:r>
    </w:p>
    <w:p>
      <w:pPr>
        <w:pStyle w:val="TextBody"/>
        <w:bidi w:val="0"/>
        <w:spacing w:lineRule="auto" w:line="835" w:before="0" w:after="0"/>
        <w:jc w:val="center"/>
        <w:rPr>
          <w:rFonts w:ascii="Arial;sans-serif" w:hAnsi="Arial;sans-serif"/>
          <w:b w:val="false"/>
          <w:color w:val="000000"/>
          <w:sz w:val="22"/>
        </w:rPr>
      </w:pPr>
      <w:r>
        <w:rPr>
          <w:rFonts w:ascii="Arial;sans-serif" w:hAnsi="Arial;sans-serif"/>
          <w:b w:val="false"/>
          <w:color w:val="000000"/>
          <w:sz w:val="22"/>
        </w:rPr>
        <w:t>31 October 2014 between</w:t>
      </w:r>
    </w:p>
    <w:p>
      <w:pPr>
        <w:pStyle w:val="TextBody"/>
        <w:bidi w:val="0"/>
        <w:spacing w:before="10" w:after="283"/>
        <w:jc w:val="left"/>
        <w:rPr/>
      </w:pPr>
      <w:r>
        <w:rPr/>
      </w:r>
    </w:p>
    <w:p>
      <w:pPr>
        <w:pStyle w:val="TextBody"/>
        <w:bidi w:val="0"/>
        <w:spacing w:lineRule="auto" w:line="240" w:before="1" w:after="283"/>
        <w:jc w:val="center"/>
        <w:rPr>
          <w:rFonts w:ascii="Arial;sans-serif" w:hAnsi="Arial;sans-serif"/>
          <w:b w:val="false"/>
          <w:color w:val="000000"/>
          <w:sz w:val="22"/>
        </w:rPr>
      </w:pPr>
      <w:r>
        <w:rPr>
          <w:rFonts w:ascii="Arial;sans-serif" w:hAnsi="Arial;sans-serif"/>
          <w:b w:val="false"/>
          <w:color w:val="000000"/>
          <w:sz w:val="22"/>
        </w:rPr>
        <w:t>LONZA SALES AG</w:t>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and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NGM BIOPHARMACEUTICALS,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4"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192" w:before="0" w:after="0"/>
        <w:jc w:val="left"/>
        <w:rPr/>
      </w:pPr>
      <w:r>
        <w:rPr>
          <w:rFonts w:ascii="Arial;sans-serif" w:hAnsi="Arial;sans-serif"/>
          <w:b w:val="false"/>
          <w:color w:val="000000"/>
          <w:sz w:val="24"/>
        </w:rPr>
        <w:t xml:space="preserve">CONFIDENTIAL                      </w:t>
      </w:r>
      <w:r>
        <w:rPr/>
        <w:drawing>
          <wp:inline distT="0" distB="0" distL="0" distR="0">
            <wp:extent cx="1371600" cy="247650"/>
            <wp:effectExtent l="0" t="0" r="0" b="0"/>
            <wp:docPr id="9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 descr=""/>
                    <pic:cNvPicPr>
                      <a:picLocks noChangeAspect="1" noChangeArrowheads="1"/>
                    </pic:cNvPicPr>
                  </pic:nvPicPr>
                  <pic:blipFill>
                    <a:blip r:embed="rId10"/>
                    <a:stretch>
                      <a:fillRect/>
                    </a:stretch>
                  </pic:blipFill>
                  <pic:spPr bwMode="auto">
                    <a:xfrm>
                      <a:off x="0" y="0"/>
                      <a:ext cx="1371600" cy="247650"/>
                    </a:xfrm>
                    <a:prstGeom prst="rect">
                      <a:avLst/>
                    </a:prstGeom>
                  </pic:spPr>
                </pic:pic>
              </a:graphicData>
            </a:graphic>
          </wp:inline>
        </w:drawing>
      </w:r>
      <w:r>
        <w:rPr>
          <w:color w:val="000000"/>
        </w:rPr>
        <w:t>    </w:t>
      </w:r>
    </w:p>
    <w:p>
      <w:pPr>
        <w:pStyle w:val="TextBody"/>
        <w:bidi w:val="0"/>
        <w:spacing w:lineRule="auto" w:line="417" w:before="154" w:after="283"/>
        <w:jc w:val="left"/>
        <w:rPr/>
      </w:pPr>
      <w:r>
        <w:rPr>
          <w:rFonts w:ascii="Arial;sans-serif" w:hAnsi="Arial;sans-serif"/>
          <w:b w:val="false"/>
          <w:color w:val="000000"/>
          <w:sz w:val="22"/>
        </w:rPr>
        <w:t>This Amendment No. 10 (“</w:t>
      </w:r>
      <w:r>
        <w:rPr>
          <w:rFonts w:ascii="Arial;sans-serif" w:hAnsi="Arial;sans-serif"/>
          <w:b/>
          <w:color w:val="000000"/>
          <w:sz w:val="22"/>
        </w:rPr>
        <w:t>Amendment No. 10</w:t>
      </w:r>
      <w:r>
        <w:rPr>
          <w:color w:val="000000"/>
        </w:rPr>
        <w:t>”</w:t>
      </w:r>
      <w:r>
        <w:rPr>
          <w:rFonts w:ascii="Arial;sans-serif" w:hAnsi="Arial;sans-serif"/>
          <w:b w:val="false"/>
          <w:color w:val="000000"/>
          <w:sz w:val="22"/>
        </w:rPr>
        <w:t>) is made as of the last date of signature between the Parties (the “</w:t>
      </w:r>
      <w:r>
        <w:rPr>
          <w:rFonts w:ascii="Arial;sans-serif" w:hAnsi="Arial;sans-serif"/>
          <w:b/>
          <w:color w:val="000000"/>
          <w:sz w:val="22"/>
        </w:rPr>
        <w:t>Amendment No. 10 Effective Date</w:t>
      </w:r>
      <w:r>
        <w:rPr>
          <w:color w:val="000000"/>
        </w:rPr>
        <w:t>”</w:t>
      </w:r>
      <w:r>
        <w:rPr>
          <w:rFonts w:ascii="Arial;sans-serif" w:hAnsi="Arial;sans-serif"/>
          <w:b w:val="false"/>
          <w:color w:val="000000"/>
          <w:sz w:val="22"/>
        </w:rPr>
        <w:t>)</w:t>
      </w:r>
    </w:p>
    <w:p>
      <w:pPr>
        <w:pStyle w:val="TextBody"/>
        <w:bidi w:val="0"/>
        <w:spacing w:lineRule="auto" w:line="240" w:before="122" w:after="283"/>
        <w:jc w:val="left"/>
        <w:rPr>
          <w:rFonts w:ascii="Arial;sans-serif" w:hAnsi="Arial;sans-serif"/>
          <w:b w:val="false"/>
          <w:color w:val="000000"/>
          <w:sz w:val="22"/>
        </w:rPr>
      </w:pPr>
      <w:r>
        <w:rPr>
          <w:rFonts w:ascii="Arial;sans-serif" w:hAnsi="Arial;sans-serif"/>
          <w:b w:val="false"/>
          <w:color w:val="000000"/>
          <w:sz w:val="22"/>
        </w:rPr>
        <w:t>Between</w:t>
      </w:r>
    </w:p>
    <w:p>
      <w:pPr>
        <w:pStyle w:val="TextBody"/>
        <w:bidi w:val="0"/>
        <w:spacing w:before="2" w:after="283"/>
        <w:jc w:val="left"/>
        <w:rPr/>
      </w:pPr>
      <w:r>
        <w:rPr/>
      </w:r>
    </w:p>
    <w:p>
      <w:pPr>
        <w:pStyle w:val="TextBody"/>
        <w:bidi w:val="0"/>
        <w:spacing w:lineRule="auto" w:line="417" w:before="0" w:after="0"/>
        <w:jc w:val="left"/>
        <w:rPr/>
      </w:pPr>
      <w:r>
        <w:rPr>
          <w:rFonts w:ascii="Arial;sans-serif" w:hAnsi="Arial;sans-serif"/>
          <w:b/>
          <w:color w:val="000000"/>
          <w:sz w:val="22"/>
        </w:rPr>
        <w:t xml:space="preserve">LONZA SALES AG </w:t>
      </w:r>
      <w:r>
        <w:rPr>
          <w:rFonts w:ascii="Arial;sans-serif" w:hAnsi="Arial;sans-serif"/>
          <w:b w:val="false"/>
          <w:color w:val="000000"/>
          <w:sz w:val="22"/>
        </w:rPr>
        <w:t>incorporated and registered in Switzerland whose registered office is at Muenchensteinerstrasse 38, CH-4002, Basel, Switzerland ("</w:t>
      </w:r>
      <w:r>
        <w:rPr>
          <w:rFonts w:ascii="Arial;sans-serif" w:hAnsi="Arial;sans-serif"/>
          <w:b/>
          <w:color w:val="000000"/>
          <w:sz w:val="22"/>
        </w:rPr>
        <w:t>Lonza</w:t>
      </w:r>
      <w:r>
        <w:rPr>
          <w:rFonts w:ascii="Arial;sans-serif" w:hAnsi="Arial;sans-serif"/>
          <w:b w:val="false"/>
          <w:color w:val="000000"/>
          <w:sz w:val="22"/>
        </w:rPr>
        <w:t>"), and</w:t>
      </w:r>
    </w:p>
    <w:p>
      <w:pPr>
        <w:pStyle w:val="TextBody"/>
        <w:bidi w:val="0"/>
        <w:spacing w:lineRule="auto" w:line="417" w:before="122" w:after="283"/>
        <w:jc w:val="both"/>
        <w:rPr/>
      </w:pPr>
      <w:r>
        <w:rPr>
          <w:rFonts w:ascii="Arial;sans-serif" w:hAnsi="Arial;sans-serif"/>
          <w:b/>
          <w:color w:val="000000"/>
          <w:sz w:val="22"/>
        </w:rPr>
        <w:t xml:space="preserve">NGM BIOPHARMACEUTICALS, INC., </w:t>
      </w:r>
      <w:r>
        <w:rPr>
          <w:rFonts w:ascii="Arial;sans-serif" w:hAnsi="Arial;sans-serif"/>
          <w:b w:val="false"/>
          <w:color w:val="000000"/>
          <w:sz w:val="22"/>
        </w:rPr>
        <w:t>incorporated and registered in the State of Delaware whose registered office is at 333 Oyster Point Blvd., South San Francisco, CA 94080, USA, ("</w:t>
      </w:r>
      <w:r>
        <w:rPr>
          <w:rFonts w:ascii="Arial;sans-serif" w:hAnsi="Arial;sans-serif"/>
          <w:b/>
          <w:color w:val="000000"/>
          <w:sz w:val="22"/>
        </w:rPr>
        <w:t>Licensee</w:t>
      </w:r>
      <w:r>
        <w:rPr>
          <w:rFonts w:ascii="Arial;sans-serif" w:hAnsi="Arial;sans-serif"/>
          <w:b w:val="false"/>
          <w:color w:val="000000"/>
          <w:sz w:val="22"/>
        </w:rPr>
        <w:t>").</w:t>
      </w:r>
    </w:p>
    <w:p>
      <w:pPr>
        <w:pStyle w:val="TextBody"/>
        <w:bidi w:val="0"/>
        <w:spacing w:lineRule="auto" w:line="417" w:before="120" w:after="283"/>
        <w:jc w:val="both"/>
        <w:rPr/>
      </w:pPr>
      <w:r>
        <w:rPr>
          <w:rFonts w:ascii="Arial;sans-serif" w:hAnsi="Arial;sans-serif"/>
          <w:b w:val="false"/>
          <w:color w:val="000000"/>
          <w:sz w:val="22"/>
        </w:rPr>
        <w:t>Lonza and Licensee may be independently defined as a “</w:t>
      </w:r>
      <w:r>
        <w:rPr>
          <w:rFonts w:ascii="Arial;sans-serif" w:hAnsi="Arial;sans-serif"/>
          <w:b/>
          <w:color w:val="000000"/>
          <w:sz w:val="22"/>
        </w:rPr>
        <w:t>Party</w:t>
      </w:r>
      <w:r>
        <w:rPr>
          <w:color w:val="000000"/>
        </w:rPr>
        <w:t xml:space="preserve">” </w:t>
      </w:r>
      <w:r>
        <w:rPr>
          <w:rFonts w:ascii="Arial;sans-serif" w:hAnsi="Arial;sans-serif"/>
          <w:b w:val="false"/>
          <w:color w:val="000000"/>
          <w:sz w:val="22"/>
        </w:rPr>
        <w:t>or collectively as the “</w:t>
      </w:r>
      <w:r>
        <w:rPr>
          <w:rFonts w:ascii="Arial;sans-serif" w:hAnsi="Arial;sans-serif"/>
          <w:b/>
          <w:color w:val="000000"/>
          <w:sz w:val="22"/>
        </w:rPr>
        <w:t>Parties</w:t>
      </w:r>
      <w:r>
        <w:rPr>
          <w:color w:val="000000"/>
        </w:rPr>
        <w:t>”</w:t>
      </w:r>
      <w:r>
        <w:rPr>
          <w:rFonts w:ascii="Arial;sans-serif" w:hAnsi="Arial;sans-serif"/>
          <w:b w:val="false"/>
          <w:color w:val="000000"/>
          <w:sz w:val="22"/>
        </w:rPr>
        <w:t>.</w:t>
      </w:r>
    </w:p>
    <w:p>
      <w:pPr>
        <w:pStyle w:val="TextBody"/>
        <w:bidi w:val="0"/>
        <w:spacing w:lineRule="auto" w:line="240" w:before="122" w:after="283"/>
        <w:jc w:val="left"/>
        <w:rPr>
          <w:rFonts w:ascii="Arial;sans-serif" w:hAnsi="Arial;sans-serif"/>
          <w:b w:val="false"/>
          <w:color w:val="000000"/>
          <w:sz w:val="22"/>
        </w:rPr>
      </w:pPr>
      <w:r>
        <w:rPr>
          <w:rFonts w:ascii="Arial;sans-serif" w:hAnsi="Arial;sans-serif"/>
          <w:b w:val="false"/>
          <w:color w:val="000000"/>
          <w:sz w:val="22"/>
        </w:rPr>
        <w:t>WHEREAS</w:t>
      </w:r>
    </w:p>
    <w:p>
      <w:pPr>
        <w:pStyle w:val="TextBody"/>
        <w:bidi w:val="0"/>
        <w:spacing w:before="9" w:after="283"/>
        <w:jc w:val="left"/>
        <w:rPr/>
      </w:pPr>
      <w:r>
        <w:rPr/>
      </w:r>
    </w:p>
    <w:p>
      <w:pPr>
        <w:pStyle w:val="TextBody"/>
        <w:bidi w:val="0"/>
        <w:spacing w:lineRule="auto" w:line="417" w:before="1" w:after="283"/>
        <w:ind w:left="0" w:right="0" w:hanging="708"/>
        <w:jc w:val="both"/>
        <w:rPr>
          <w:rFonts w:ascii="Arial;sans-serif" w:hAnsi="Arial;sans-serif"/>
          <w:b w:val="false"/>
          <w:color w:val="000000"/>
          <w:sz w:val="22"/>
        </w:rPr>
      </w:pPr>
      <w:r>
        <w:rPr>
          <w:rFonts w:ascii="Arial;sans-serif" w:hAnsi="Arial;sans-serif"/>
          <w:b w:val="false"/>
          <w:color w:val="000000"/>
          <w:sz w:val="22"/>
        </w:rPr>
        <w:t>A.Lonza and Licensee entered into a Multi-Product Licence Agreement, dated 31 October 2014, and as amended by Amendment No. 1, dated 28 July 2015 , Amendment No. 2, dated 07 October 2015, Amendment No. 3, dated 26 April</w:t>
      </w:r>
    </w:p>
    <w:p>
      <w:pPr>
        <w:pStyle w:val="TextBody"/>
        <w:bidi w:val="0"/>
        <w:spacing w:lineRule="auto" w:line="240" w:before="1" w:after="283"/>
        <w:jc w:val="both"/>
        <w:rPr>
          <w:rFonts w:ascii="Arial;sans-serif" w:hAnsi="Arial;sans-serif"/>
          <w:b w:val="false"/>
          <w:color w:val="000000"/>
          <w:sz w:val="22"/>
        </w:rPr>
      </w:pPr>
      <w:r>
        <w:rPr>
          <w:rFonts w:ascii="Arial;sans-serif" w:hAnsi="Arial;sans-serif"/>
          <w:b w:val="false"/>
          <w:color w:val="000000"/>
          <w:sz w:val="22"/>
        </w:rPr>
        <w:t>2016, Amendment No. 4, dated 03 October 2017, Amendment No. 5, dated 16</w:t>
      </w:r>
    </w:p>
    <w:p>
      <w:pPr>
        <w:pStyle w:val="TextBody"/>
        <w:bidi w:val="0"/>
        <w:spacing w:lineRule="auto" w:line="240" w:before="126" w:after="283"/>
        <w:jc w:val="both"/>
        <w:rPr>
          <w:rFonts w:ascii="Arial;sans-serif" w:hAnsi="Arial;sans-serif"/>
          <w:b w:val="false"/>
          <w:color w:val="000000"/>
          <w:sz w:val="22"/>
        </w:rPr>
      </w:pPr>
      <w:r>
        <w:rPr>
          <w:rFonts w:ascii="Arial;sans-serif" w:hAnsi="Arial;sans-serif"/>
          <w:b w:val="false"/>
          <w:color w:val="000000"/>
          <w:sz w:val="22"/>
        </w:rPr>
        <w:t>March 2018, Amendment No. 6, dated 06 February 2019, Amendment 7, dated 22</w:t>
      </w:r>
    </w:p>
    <w:p>
      <w:pPr>
        <w:pStyle w:val="TextBody"/>
        <w:bidi w:val="0"/>
        <w:spacing w:lineRule="auto" w:line="417" w:before="127" w:after="283"/>
        <w:jc w:val="both"/>
        <w:rPr/>
      </w:pPr>
      <w:r>
        <w:rPr>
          <w:rFonts w:ascii="Arial;sans-serif" w:hAnsi="Arial;sans-serif"/>
          <w:b w:val="false"/>
          <w:color w:val="000000"/>
          <w:sz w:val="22"/>
        </w:rPr>
        <w:t>December 2020, Amendment 8, dated 10 February 2021 and Amendment No. 9, dated 03 November 2021 (the “</w:t>
      </w:r>
      <w:r>
        <w:rPr>
          <w:rFonts w:ascii="Arial;sans-serif" w:hAnsi="Arial;sans-serif"/>
          <w:b/>
          <w:color w:val="000000"/>
          <w:sz w:val="22"/>
        </w:rPr>
        <w:t>Agreement</w:t>
      </w:r>
      <w:r>
        <w:rPr>
          <w:color w:val="000000"/>
        </w:rPr>
        <w:t>”</w:t>
      </w:r>
      <w:r>
        <w:rPr>
          <w:rFonts w:ascii="Arial;sans-serif" w:hAnsi="Arial;sans-serif"/>
          <w:b w:val="false"/>
          <w:color w:val="000000"/>
          <w:sz w:val="22"/>
        </w:rPr>
        <w:t>), pursuant to which Lonza licensed certain Intellectual Property Rights (as therein defined) to Licensee.</w:t>
      </w:r>
    </w:p>
    <w:p>
      <w:pPr>
        <w:pStyle w:val="TextBody"/>
        <w:bidi w:val="0"/>
        <w:spacing w:lineRule="auto" w:line="417" w:before="119" w:after="283"/>
        <w:ind w:left="0" w:right="0" w:hanging="708"/>
        <w:jc w:val="both"/>
        <w:rPr>
          <w:rFonts w:ascii="Arial;sans-serif" w:hAnsi="Arial;sans-serif"/>
          <w:b w:val="false"/>
          <w:color w:val="000000"/>
          <w:sz w:val="22"/>
        </w:rPr>
      </w:pPr>
      <w:r>
        <w:rPr>
          <w:rFonts w:ascii="Arial;sans-serif" w:hAnsi="Arial;sans-serif"/>
          <w:b w:val="false"/>
          <w:color w:val="000000"/>
          <w:sz w:val="22"/>
        </w:rPr>
        <w:t>B.Licensee notified Lonza of [*] and wishes to [*] to its Sublicensee, [*], for the [*] (each as defined in the Agreement or herein).</w:t>
      </w:r>
    </w:p>
    <w:p>
      <w:pPr>
        <w:pStyle w:val="TextBody"/>
        <w:bidi w:val="0"/>
        <w:spacing w:lineRule="auto" w:line="417" w:before="119" w:after="283"/>
        <w:ind w:left="0" w:right="0" w:hanging="708"/>
        <w:jc w:val="both"/>
        <w:rPr>
          <w:rFonts w:ascii="Arial;sans-serif" w:hAnsi="Arial;sans-serif"/>
          <w:b w:val="false"/>
          <w:color w:val="000000"/>
          <w:sz w:val="22"/>
        </w:rPr>
      </w:pPr>
      <w:r>
        <w:rPr>
          <w:rFonts w:ascii="Arial;sans-serif" w:hAnsi="Arial;sans-serif"/>
          <w:b w:val="false"/>
          <w:color w:val="000000"/>
          <w:sz w:val="22"/>
        </w:rPr>
        <w:t>C.Licensee wishes to grant a limited sublicence to [*] in relation [*].</w:t>
      </w:r>
    </w:p>
    <w:p>
      <w:pPr>
        <w:pStyle w:val="TextBody"/>
        <w:bidi w:val="0"/>
        <w:spacing w:lineRule="auto" w:line="240" w:before="123" w:after="283"/>
        <w:ind w:left="0" w:right="0" w:hanging="706"/>
        <w:jc w:val="both"/>
        <w:rPr>
          <w:rFonts w:ascii="Arial;sans-serif" w:hAnsi="Arial;sans-serif"/>
          <w:b w:val="false"/>
          <w:color w:val="000000"/>
          <w:sz w:val="22"/>
        </w:rPr>
      </w:pPr>
      <w:r>
        <w:rPr>
          <w:rFonts w:ascii="Arial;sans-serif" w:hAnsi="Arial;sans-serif"/>
          <w:b w:val="false"/>
          <w:color w:val="000000"/>
          <w:sz w:val="22"/>
        </w:rPr>
        <w:t>D.The Parties accordingly wish to amend the terms of the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220595"/>
                <wp:effectExtent l="0" t="0" r="0" b="0"/>
                <wp:wrapNone/>
                <wp:docPr id="96" name="Frame89"/>
                <a:graphic xmlns:a="http://schemas.openxmlformats.org/drawingml/2006/main">
                  <a:graphicData uri="http://schemas.microsoft.com/office/word/2010/wordprocessingShape">
                    <wps:wsp>
                      <wps:cNvSpPr txBox="1"/>
                      <wps:spPr>
                        <a:xfrm>
                          <a:off x="0" y="0"/>
                          <a:ext cx="6480175" cy="2220595"/>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shd w:fill="FFFFFF" w:val="clear"/>
                              </w:rPr>
                            </w:pPr>
                            <w:r>
                              <w:rPr>
                                <w:rFonts w:ascii="Arial;sans-serif" w:hAnsi="Arial;sans-serif"/>
                                <w:b/>
                                <w:color w:val="000000"/>
                                <w:sz w:val="22"/>
                                <w:shd w:fill="FFFFFF" w:val="clear"/>
                              </w:rPr>
                              <w:t>[*] = Certain information contained in this document, marked by brackets, has been omitted from this exhibit because it is both not material and would be competitively harmful if publicly disclosed.</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2" w:after="283"/>
                                    <w:jc w:val="left"/>
                                    <w:rPr/>
                                  </w:pPr>
                                  <w:r>
                                    <w:rPr/>
                                  </w:r>
                                </w:p>
                              </w:tc>
                            </w:tr>
                          </w:tbl>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4.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shd w:fill="FFFFFF" w:val="clear"/>
                        </w:rPr>
                      </w:pPr>
                      <w:r>
                        <w:rPr>
                          <w:rFonts w:ascii="Arial;sans-serif" w:hAnsi="Arial;sans-serif"/>
                          <w:b/>
                          <w:color w:val="000000"/>
                          <w:sz w:val="22"/>
                          <w:shd w:fill="FFFFFF" w:val="clear"/>
                        </w:rPr>
                        <w:t>[*] = Certain information contained in this document, marked by brackets, has been omitted from this exhibit because it is both not material and would be competitively harmful if publicly disclosed.</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2" w:after="283"/>
                              <w:jc w:val="left"/>
                              <w:rPr/>
                            </w:pPr>
                            <w:r>
                              <w:rPr/>
                            </w:r>
                          </w:p>
                        </w:tc>
                      </w:tr>
                    </w:tbl>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192" w:before="0" w:after="0"/>
        <w:jc w:val="left"/>
        <w:rPr/>
      </w:pPr>
      <w:r>
        <w:rPr>
          <w:rFonts w:ascii="Arial;sans-serif" w:hAnsi="Arial;sans-serif"/>
          <w:b w:val="false"/>
          <w:color w:val="000000"/>
          <w:sz w:val="24"/>
        </w:rPr>
        <w:t xml:space="preserve">CONFIDENTIAL                      </w:t>
      </w:r>
      <w:r>
        <w:rPr/>
        <w:drawing>
          <wp:inline distT="0" distB="0" distL="0" distR="0">
            <wp:extent cx="1371600" cy="247650"/>
            <wp:effectExtent l="0" t="0" r="0" b="0"/>
            <wp:docPr id="9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 descr=""/>
                    <pic:cNvPicPr>
                      <a:picLocks noChangeAspect="1" noChangeArrowheads="1"/>
                    </pic:cNvPicPr>
                  </pic:nvPicPr>
                  <pic:blipFill>
                    <a:blip r:embed="rId11"/>
                    <a:stretch>
                      <a:fillRect/>
                    </a:stretch>
                  </pic:blipFill>
                  <pic:spPr bwMode="auto">
                    <a:xfrm>
                      <a:off x="0" y="0"/>
                      <a:ext cx="1371600" cy="247650"/>
                    </a:xfrm>
                    <a:prstGeom prst="rect">
                      <a:avLst/>
                    </a:prstGeom>
                  </pic:spPr>
                </pic:pic>
              </a:graphicData>
            </a:graphic>
          </wp:inline>
        </w:drawing>
      </w:r>
      <w:r>
        <w:rPr>
          <w:color w:val="000000"/>
        </w:rPr>
        <w:t>    </w:t>
      </w:r>
    </w:p>
    <w:p>
      <w:pPr>
        <w:pStyle w:val="TextBody"/>
        <w:bidi w:val="0"/>
        <w:spacing w:lineRule="auto" w:line="417" w:before="193" w:after="283"/>
        <w:jc w:val="both"/>
        <w:rPr>
          <w:rFonts w:ascii="Arial;sans-serif" w:hAnsi="Arial;sans-serif"/>
          <w:b w:val="false"/>
          <w:color w:val="000000"/>
          <w:sz w:val="22"/>
        </w:rPr>
      </w:pPr>
      <w:r>
        <w:rPr>
          <w:rFonts w:ascii="Arial;sans-serif" w:hAnsi="Arial;sans-serif"/>
          <w:b w:val="false"/>
          <w:color w:val="000000"/>
          <w:sz w:val="22"/>
        </w:rPr>
        <w:t>NOW THEREFORE in consideration of the mutual promises and covenants contained herein, and other good and valuable consideration the receipt of which is hereby acknowledged, it is hereby agreed by the Parties to amend the Agreement, with effect from and including the Amendment No. 10 Effective Date, as follows:</w:t>
      </w:r>
    </w:p>
    <w:p>
      <w:pPr>
        <w:pStyle w:val="TextBody"/>
        <w:bidi w:val="0"/>
        <w:spacing w:lineRule="auto" w:line="417" w:before="120" w:after="283"/>
        <w:ind w:left="0" w:right="0" w:hanging="720"/>
        <w:jc w:val="both"/>
        <w:rPr>
          <w:rFonts w:ascii="Arial;sans-serif" w:hAnsi="Arial;sans-serif"/>
          <w:b w:val="false"/>
          <w:color w:val="000000"/>
          <w:sz w:val="22"/>
        </w:rPr>
      </w:pPr>
      <w:r>
        <w:rPr>
          <w:rFonts w:ascii="Arial;sans-serif" w:hAnsi="Arial;sans-serif"/>
          <w:b w:val="false"/>
          <w:color w:val="000000"/>
          <w:sz w:val="22"/>
        </w:rPr>
        <w:t>1.The words and phrases defined in the Agreement shall have the same meanings in this Amendment No. 10. In addition, the following terms shall have the meaning shown (in addition to the defined terms as set out in the recitals above):[*][*][*][*][*][*]</w:t>
      </w:r>
    </w:p>
    <w:p>
      <w:pPr>
        <w:pStyle w:val="TextBody"/>
        <w:bidi w:val="0"/>
        <w:spacing w:lineRule="auto" w:line="417" w:before="117" w:after="283"/>
        <w:ind w:left="0" w:right="0" w:hanging="720"/>
        <w:jc w:val="both"/>
        <w:rPr>
          <w:rFonts w:ascii="Arial;sans-serif" w:hAnsi="Arial;sans-serif"/>
          <w:b w:val="false"/>
          <w:color w:val="000000"/>
          <w:sz w:val="22"/>
        </w:rPr>
      </w:pPr>
      <w:r>
        <w:rPr>
          <w:rFonts w:ascii="Arial;sans-serif" w:hAnsi="Arial;sans-serif"/>
          <w:b w:val="false"/>
          <w:color w:val="000000"/>
          <w:sz w:val="22"/>
        </w:rPr>
        <w:t>2.Subject to the below and following signature of this Amendment No. 10 by both Parties, [*] shall be permitted to [*] provided always that:</w:t>
      </w:r>
    </w:p>
    <w:p>
      <w:pPr>
        <w:pStyle w:val="TextBody"/>
        <w:bidi w:val="0"/>
        <w:spacing w:lineRule="auto" w:line="417" w:before="121" w:after="283"/>
        <w:ind w:left="0" w:right="0" w:hanging="720"/>
        <w:jc w:val="both"/>
        <w:rPr>
          <w:rFonts w:ascii="Arial;sans-serif" w:hAnsi="Arial;sans-serif"/>
          <w:b w:val="false"/>
          <w:color w:val="000000"/>
          <w:sz w:val="22"/>
        </w:rPr>
      </w:pPr>
      <w:r>
        <w:rPr>
          <w:rFonts w:ascii="Arial;sans-serif" w:hAnsi="Arial;sans-serif"/>
          <w:b w:val="false"/>
          <w:color w:val="000000"/>
          <w:sz w:val="22"/>
        </w:rPr>
        <w:t>(a)Licensee shall ensure that [*] uses [*] for [*] at [*];</w:t>
      </w:r>
    </w:p>
    <w:p>
      <w:pPr>
        <w:pStyle w:val="TextBody"/>
        <w:bidi w:val="0"/>
        <w:spacing w:lineRule="auto" w:line="417" w:before="120" w:after="283"/>
        <w:ind w:left="0" w:right="0" w:hanging="720"/>
        <w:jc w:val="both"/>
        <w:rPr>
          <w:rFonts w:ascii="Arial;sans-serif" w:hAnsi="Arial;sans-serif"/>
          <w:b w:val="false"/>
          <w:color w:val="000000"/>
          <w:sz w:val="22"/>
        </w:rPr>
      </w:pPr>
      <w:r>
        <w:rPr>
          <w:rFonts w:ascii="Arial;sans-serif" w:hAnsi="Arial;sans-serif"/>
          <w:b w:val="false"/>
          <w:color w:val="000000"/>
          <w:sz w:val="22"/>
        </w:rPr>
        <w:t>(b)Licensee acknowledges and agrees that under no circumstances will [*] be permitted to [*];</w:t>
      </w:r>
    </w:p>
    <w:p>
      <w:pPr>
        <w:pStyle w:val="TextBody"/>
        <w:bidi w:val="0"/>
        <w:spacing w:lineRule="auto" w:line="417" w:before="120" w:after="283"/>
        <w:ind w:left="0" w:right="0" w:hanging="720"/>
        <w:jc w:val="both"/>
        <w:rPr>
          <w:rFonts w:ascii="Arial;sans-serif" w:hAnsi="Arial;sans-serif"/>
          <w:b w:val="false"/>
          <w:color w:val="000000"/>
          <w:sz w:val="22"/>
        </w:rPr>
      </w:pPr>
      <w:r>
        <w:rPr>
          <w:rFonts w:ascii="Arial;sans-serif" w:hAnsi="Arial;sans-serif"/>
          <w:b w:val="false"/>
          <w:color w:val="000000"/>
          <w:sz w:val="22"/>
        </w:rPr>
        <w:t>(c)Licensee shall procure and ensure that [*] does not: (i) [*]; nor (ii) [*], except in each case, (i) and (ii), as expressly permitted under this Amendment No. 10;</w:t>
      </w:r>
    </w:p>
    <w:p>
      <w:pPr>
        <w:pStyle w:val="TextBody"/>
        <w:bidi w:val="0"/>
        <w:spacing w:lineRule="auto" w:line="417" w:before="121" w:after="283"/>
        <w:ind w:left="0" w:right="0" w:hanging="720"/>
        <w:jc w:val="both"/>
        <w:rPr>
          <w:rFonts w:ascii="Arial;sans-serif" w:hAnsi="Arial;sans-serif"/>
          <w:b w:val="false"/>
          <w:color w:val="000000"/>
          <w:sz w:val="22"/>
        </w:rPr>
      </w:pPr>
      <w:r>
        <w:rPr>
          <w:rFonts w:ascii="Arial;sans-serif" w:hAnsi="Arial;sans-serif"/>
          <w:b w:val="false"/>
          <w:color w:val="000000"/>
          <w:sz w:val="22"/>
        </w:rPr>
        <w:t>(d)pursuant to Clause 4.3.3 of the Agreement, Licensee shall grant such further rights to [*] expressly subject to the terms of the Agreement and Licensee shall be responsible and liable for: (i) the strict adherence to the relevant terms of the Agreement by [*]; and (ii) the acts and omissions of [*] in relation to the use of [*] for [*] at [*]; and</w:t>
      </w:r>
    </w:p>
    <w:p>
      <w:pPr>
        <w:pStyle w:val="TextBody"/>
        <w:bidi w:val="0"/>
        <w:spacing w:lineRule="auto" w:line="417" w:before="120" w:after="283"/>
        <w:ind w:left="0" w:right="0" w:hanging="720"/>
        <w:jc w:val="both"/>
        <w:rPr>
          <w:rFonts w:ascii="Arial;sans-serif" w:hAnsi="Arial;sans-serif"/>
          <w:b w:val="false"/>
          <w:color w:val="000000"/>
          <w:sz w:val="22"/>
        </w:rPr>
      </w:pPr>
      <w:r>
        <w:rPr>
          <w:rFonts w:ascii="Arial;sans-serif" w:hAnsi="Arial;sans-serif"/>
          <w:b w:val="false"/>
          <w:color w:val="000000"/>
          <w:sz w:val="22"/>
        </w:rPr>
        <w:t>(e)On [*], Licensee shall ensure and procure that [*] immediately destroys, or returns to Licensee, [*].</w:t>
      </w:r>
    </w:p>
    <w:p>
      <w:pPr>
        <w:pStyle w:val="TextBody"/>
        <w:bidi w:val="0"/>
        <w:spacing w:lineRule="auto" w:line="417" w:before="119" w:after="283"/>
        <w:ind w:left="0" w:right="0" w:hanging="720"/>
        <w:jc w:val="both"/>
        <w:rPr>
          <w:rFonts w:ascii="Arial;sans-serif" w:hAnsi="Arial;sans-serif"/>
          <w:b w:val="false"/>
          <w:color w:val="000000"/>
          <w:sz w:val="22"/>
        </w:rPr>
      </w:pPr>
      <w:r>
        <w:rPr>
          <w:rFonts w:ascii="Arial;sans-serif" w:hAnsi="Arial;sans-serif"/>
          <w:b w:val="false"/>
          <w:color w:val="000000"/>
          <w:sz w:val="22"/>
        </w:rPr>
        <w:t>3.For clarity, [*], provided that all other payment obligations shall continue to apply in accordance with the terms of the Agreement.</w:t>
      </w:r>
    </w:p>
    <w:p>
      <w:pPr>
        <w:pStyle w:val="TextBody"/>
        <w:bidi w:val="0"/>
        <w:spacing w:lineRule="auto" w:line="417" w:before="122" w:after="283"/>
        <w:ind w:left="0" w:right="0" w:hanging="720"/>
        <w:jc w:val="both"/>
        <w:rPr>
          <w:rFonts w:ascii="Arial;sans-serif" w:hAnsi="Arial;sans-serif"/>
          <w:b w:val="false"/>
          <w:color w:val="000000"/>
          <w:sz w:val="22"/>
        </w:rPr>
      </w:pPr>
      <w:r>
        <w:rPr>
          <w:rFonts w:ascii="Arial;sans-serif" w:hAnsi="Arial;sans-serif"/>
          <w:b w:val="false"/>
          <w:color w:val="000000"/>
          <w:sz w:val="22"/>
        </w:rPr>
        <w:t>4.Lonza hereby consents to Licensee granting a limited sublicence to [*]. Licensee shall be permitted to [*] for [*], provided always that</w:t>
      </w:r>
    </w:p>
    <w:p>
      <w:pPr>
        <w:pStyle w:val="TextBody"/>
        <w:bidi w:val="0"/>
        <w:spacing w:lineRule="auto" w:line="417" w:before="119" w:after="283"/>
        <w:ind w:left="0" w:right="0" w:hanging="720"/>
        <w:jc w:val="both"/>
        <w:rPr>
          <w:rFonts w:ascii="Arial;sans-serif" w:hAnsi="Arial;sans-serif"/>
          <w:b w:val="false"/>
          <w:color w:val="000000"/>
          <w:sz w:val="22"/>
        </w:rPr>
      </w:pPr>
      <w:r>
        <w:rPr>
          <w:rFonts w:ascii="Arial;sans-serif" w:hAnsi="Arial;sans-serif"/>
          <w:b w:val="false"/>
          <w:color w:val="000000"/>
          <w:sz w:val="22"/>
        </w:rPr>
        <w:t>(a)Licensee shall ensure that [*] uses [*] for [*] at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220595"/>
                <wp:effectExtent l="0" t="0" r="0" b="0"/>
                <wp:wrapNone/>
                <wp:docPr id="98" name="Frame90"/>
                <a:graphic xmlns:a="http://schemas.openxmlformats.org/drawingml/2006/main">
                  <a:graphicData uri="http://schemas.microsoft.com/office/word/2010/wordprocessingShape">
                    <wps:wsp>
                      <wps:cNvSpPr txBox="1"/>
                      <wps:spPr>
                        <a:xfrm>
                          <a:off x="0" y="0"/>
                          <a:ext cx="6480175" cy="2220595"/>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shd w:fill="FFFFFF" w:val="clear"/>
                              </w:rPr>
                            </w:pPr>
                            <w:r>
                              <w:rPr>
                                <w:rFonts w:ascii="Arial;sans-serif" w:hAnsi="Arial;sans-serif"/>
                                <w:b/>
                                <w:color w:val="000000"/>
                                <w:sz w:val="22"/>
                                <w:shd w:fill="FFFFFF" w:val="clear"/>
                              </w:rPr>
                              <w:t>[*] = Certain information contained in this document, marked by brackets, has been omitted from this exhibit because it is both not material and would be competitively harmful if publicly disclosed.</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2" w:after="283"/>
                                    <w:jc w:val="left"/>
                                    <w:rPr/>
                                  </w:pPr>
                                  <w:r>
                                    <w:rPr/>
                                  </w:r>
                                </w:p>
                              </w:tc>
                            </w:tr>
                          </w:tbl>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4.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shd w:fill="FFFFFF" w:val="clear"/>
                        </w:rPr>
                      </w:pPr>
                      <w:r>
                        <w:rPr>
                          <w:rFonts w:ascii="Arial;sans-serif" w:hAnsi="Arial;sans-serif"/>
                          <w:b/>
                          <w:color w:val="000000"/>
                          <w:sz w:val="22"/>
                          <w:shd w:fill="FFFFFF" w:val="clear"/>
                        </w:rPr>
                        <w:t>[*] = Certain information contained in this document, marked by brackets, has been omitted from this exhibit because it is both not material and would be competitively harmful if publicly disclosed.</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2" w:after="283"/>
                              <w:jc w:val="left"/>
                              <w:rPr/>
                            </w:pPr>
                            <w:r>
                              <w:rPr/>
                            </w:r>
                          </w:p>
                        </w:tc>
                      </w:tr>
                    </w:tbl>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192" w:before="0" w:after="0"/>
        <w:jc w:val="left"/>
        <w:rPr/>
      </w:pPr>
      <w:r>
        <w:rPr>
          <w:rFonts w:ascii="Arial;sans-serif" w:hAnsi="Arial;sans-serif"/>
          <w:b w:val="false"/>
          <w:color w:val="000000"/>
          <w:sz w:val="24"/>
        </w:rPr>
        <w:t xml:space="preserve">CONFIDENTIAL                      </w:t>
      </w:r>
      <w:r>
        <w:rPr/>
        <w:drawing>
          <wp:inline distT="0" distB="0" distL="0" distR="0">
            <wp:extent cx="1371600" cy="247650"/>
            <wp:effectExtent l="0" t="0" r="0" b="0"/>
            <wp:docPr id="9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 descr=""/>
                    <pic:cNvPicPr>
                      <a:picLocks noChangeAspect="1" noChangeArrowheads="1"/>
                    </pic:cNvPicPr>
                  </pic:nvPicPr>
                  <pic:blipFill>
                    <a:blip r:embed="rId12"/>
                    <a:stretch>
                      <a:fillRect/>
                    </a:stretch>
                  </pic:blipFill>
                  <pic:spPr bwMode="auto">
                    <a:xfrm>
                      <a:off x="0" y="0"/>
                      <a:ext cx="1371600" cy="247650"/>
                    </a:xfrm>
                    <a:prstGeom prst="rect">
                      <a:avLst/>
                    </a:prstGeom>
                  </pic:spPr>
                </pic:pic>
              </a:graphicData>
            </a:graphic>
          </wp:inline>
        </w:drawing>
      </w:r>
      <w:r>
        <w:rPr>
          <w:color w:val="000000"/>
        </w:rPr>
        <w:t>    </w:t>
      </w:r>
    </w:p>
    <w:p>
      <w:pPr>
        <w:pStyle w:val="TextBody"/>
        <w:bidi w:val="0"/>
        <w:spacing w:lineRule="auto" w:line="417" w:before="119" w:after="283"/>
        <w:ind w:left="0" w:right="0" w:hanging="720"/>
        <w:jc w:val="both"/>
        <w:rPr>
          <w:rFonts w:ascii="Arial;sans-serif" w:hAnsi="Arial;sans-serif"/>
          <w:b w:val="false"/>
          <w:color w:val="000000"/>
          <w:sz w:val="22"/>
        </w:rPr>
      </w:pPr>
      <w:r>
        <w:rPr>
          <w:rFonts w:ascii="Arial;sans-serif" w:hAnsi="Arial;sans-serif"/>
          <w:b w:val="false"/>
          <w:color w:val="000000"/>
          <w:sz w:val="22"/>
        </w:rPr>
        <w:t>(b)Licensee acknowledges and agrees that under no circumstances will [*] be permitted to [*];</w:t>
      </w:r>
    </w:p>
    <w:p>
      <w:pPr>
        <w:pStyle w:val="TextBody"/>
        <w:bidi w:val="0"/>
        <w:spacing w:lineRule="auto" w:line="417" w:before="120" w:after="283"/>
        <w:ind w:left="0" w:right="0" w:hanging="720"/>
        <w:jc w:val="both"/>
        <w:rPr>
          <w:rFonts w:ascii="Arial;sans-serif" w:hAnsi="Arial;sans-serif"/>
          <w:b w:val="false"/>
          <w:color w:val="000000"/>
          <w:sz w:val="22"/>
        </w:rPr>
      </w:pPr>
      <w:r>
        <w:rPr>
          <w:rFonts w:ascii="Arial;sans-serif" w:hAnsi="Arial;sans-serif"/>
          <w:b w:val="false"/>
          <w:color w:val="000000"/>
          <w:sz w:val="22"/>
        </w:rPr>
        <w:t>(c)Licensee shall grant such rights to [*] expressly subject to the terms of the Agreement and Licensee shall be responsible and liable for: (i) the strict adherence to the relevant terms of the Agreement by [*]; and (ii) the acts and omissions of [*] in relation to the use of [*] for [*] at [*]; and</w:t>
      </w:r>
    </w:p>
    <w:p>
      <w:pPr>
        <w:pStyle w:val="TextBody"/>
        <w:bidi w:val="0"/>
        <w:spacing w:lineRule="auto" w:line="417" w:before="121" w:after="283"/>
        <w:ind w:left="0" w:right="0" w:hanging="720"/>
        <w:jc w:val="both"/>
        <w:rPr>
          <w:rFonts w:ascii="Arial;sans-serif" w:hAnsi="Arial;sans-serif"/>
          <w:b w:val="false"/>
          <w:color w:val="000000"/>
          <w:sz w:val="22"/>
        </w:rPr>
      </w:pPr>
      <w:r>
        <w:rPr>
          <w:rFonts w:ascii="Arial;sans-serif" w:hAnsi="Arial;sans-serif"/>
          <w:b w:val="false"/>
          <w:color w:val="000000"/>
          <w:sz w:val="22"/>
        </w:rPr>
        <w:t>(d)On [*], Licensee shall ensure and procure that [*] immediately destroys, or returns to Licensee, [*].</w:t>
      </w:r>
    </w:p>
    <w:p>
      <w:pPr>
        <w:pStyle w:val="TextBody"/>
        <w:bidi w:val="0"/>
        <w:spacing w:lineRule="auto" w:line="417" w:before="121" w:after="283"/>
        <w:ind w:left="0" w:right="0" w:hanging="720"/>
        <w:jc w:val="both"/>
        <w:rPr>
          <w:rFonts w:ascii="Arial;sans-serif" w:hAnsi="Arial;sans-serif"/>
          <w:b w:val="false"/>
          <w:color w:val="000000"/>
          <w:sz w:val="22"/>
        </w:rPr>
      </w:pPr>
      <w:r>
        <w:rPr>
          <w:rFonts w:ascii="Arial;sans-serif" w:hAnsi="Arial;sans-serif"/>
          <w:b w:val="false"/>
          <w:color w:val="000000"/>
          <w:sz w:val="22"/>
        </w:rPr>
        <w:t>5.Appendix 5 of the Agreement shall be deleted in its entirety and replaced with the Appendix 5 attached to this Amendment No. 10.</w:t>
      </w:r>
    </w:p>
    <w:p>
      <w:pPr>
        <w:pStyle w:val="TextBody"/>
        <w:bidi w:val="0"/>
        <w:spacing w:lineRule="auto" w:line="547" w:before="120" w:after="283"/>
        <w:ind w:left="0" w:right="0" w:hanging="720"/>
        <w:jc w:val="both"/>
        <w:rPr>
          <w:rFonts w:ascii="Arial;sans-serif" w:hAnsi="Arial;sans-serif"/>
          <w:b w:val="false"/>
          <w:color w:val="000000"/>
          <w:sz w:val="22"/>
        </w:rPr>
      </w:pPr>
      <w:r>
        <w:rPr>
          <w:rFonts w:ascii="Arial;sans-serif" w:hAnsi="Arial;sans-serif"/>
          <w:b w:val="false"/>
          <w:color w:val="000000"/>
          <w:sz w:val="22"/>
        </w:rPr>
        <w:t>6.Save as expressly provided herein through this Amendment No. 10, all terms and conditions of the Agreement shall continue in full force and effect.</w:t>
      </w:r>
    </w:p>
    <w:p>
      <w:pPr>
        <w:pStyle w:val="TextBody"/>
        <w:bidi w:val="0"/>
        <w:spacing w:lineRule="auto" w:line="417" w:before="2" w:after="283"/>
        <w:jc w:val="both"/>
        <w:rPr>
          <w:rFonts w:ascii="Arial;sans-serif" w:hAnsi="Arial;sans-serif"/>
          <w:b w:val="false"/>
          <w:color w:val="000000"/>
          <w:sz w:val="22"/>
        </w:rPr>
      </w:pPr>
      <w:r>
        <w:rPr>
          <w:rFonts w:ascii="Arial;sans-serif" w:hAnsi="Arial;sans-serif"/>
          <w:b w:val="false"/>
          <w:color w:val="000000"/>
          <w:sz w:val="22"/>
        </w:rPr>
        <w:t>AS WITNESS, the hands of the duly authorized representatives of the Parties hereto the Amendment No. 10 Effective Date.</w:t>
      </w:r>
    </w:p>
    <w:p>
      <w:pPr>
        <w:pStyle w:val="TextBody"/>
        <w:bidi w:val="0"/>
        <w:spacing w:before="0" w:after="0"/>
        <w:jc w:val="both"/>
        <w:rPr/>
      </w:pPr>
      <w:r>
        <w:rPr/>
      </w:r>
    </w:p>
    <w:tbl>
      <w:tblPr>
        <w:tblW w:w="5818" w:type="dxa"/>
        <w:jc w:val="left"/>
        <w:tblInd w:w="0" w:type="dxa"/>
        <w:tblLayout w:type="fixed"/>
        <w:tblCellMar>
          <w:top w:w="28" w:type="dxa"/>
          <w:left w:w="28" w:type="dxa"/>
          <w:bottom w:w="28" w:type="dxa"/>
          <w:right w:w="28" w:type="dxa"/>
        </w:tblCellMar>
      </w:tblPr>
      <w:tblGrid>
        <w:gridCol w:w="767"/>
        <w:gridCol w:w="672"/>
        <w:gridCol w:w="676"/>
        <w:gridCol w:w="109"/>
        <w:gridCol w:w="109"/>
        <w:gridCol w:w="109"/>
        <w:gridCol w:w="1324"/>
        <w:gridCol w:w="850"/>
        <w:gridCol w:w="1202"/>
      </w:tblGrid>
      <w:tr>
        <w:trPr/>
        <w:tc>
          <w:tcPr>
            <w:tcW w:w="7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SIGNED 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Ulrich Osswald</w:t>
            </w:r>
          </w:p>
        </w:tc>
      </w:tr>
      <w:tr>
        <w:trPr/>
        <w:tc>
          <w:tcPr>
            <w:tcW w:w="2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For and on behalf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22"/>
              </w:rPr>
            </w:pPr>
            <w:r>
              <w:rPr>
                <w:rFonts w:ascii="Arial;sans-serif" w:hAnsi="Arial;sans-serif"/>
                <w:b/>
                <w:color w:val="000000"/>
                <w:sz w:val="22"/>
              </w:rPr>
              <w:t>LONZA SALES AG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VP, BU Head Licensing</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Arial;sans-serif" w:hAnsi="Arial;sans-serif"/>
                <w:b w:val="false"/>
                <w:color w:val="000000"/>
                <w:sz w:val="22"/>
              </w:rPr>
              <w:t>Title</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10/16/2023</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2"/>
              </w:rPr>
            </w:pPr>
            <w:r>
              <w:rPr>
                <w:rFonts w:ascii="Arial;sans-serif" w:hAnsi="Arial;sans-serif"/>
                <w:b w:val="false"/>
                <w:color w:val="000000"/>
                <w:sz w:val="22"/>
              </w:rPr>
              <w:t>Date</w:t>
            </w:r>
          </w:p>
        </w:tc>
      </w:tr>
    </w:tbl>
    <w:p>
      <w:pPr>
        <w:pStyle w:val="TextBody"/>
        <w:bidi w:val="0"/>
        <w:spacing w:before="0" w:after="0"/>
        <w:jc w:val="both"/>
        <w:rPr/>
      </w:pPr>
      <w:r>
        <w:rPr/>
      </w:r>
    </w:p>
    <w:tbl>
      <w:tblPr>
        <w:tblW w:w="4331" w:type="dxa"/>
        <w:jc w:val="left"/>
        <w:tblInd w:w="0" w:type="dxa"/>
        <w:tblLayout w:type="fixed"/>
        <w:tblCellMar>
          <w:top w:w="28" w:type="dxa"/>
          <w:left w:w="28" w:type="dxa"/>
          <w:bottom w:w="28" w:type="dxa"/>
          <w:right w:w="28" w:type="dxa"/>
        </w:tblCellMar>
      </w:tblPr>
      <w:tblGrid>
        <w:gridCol w:w="767"/>
        <w:gridCol w:w="672"/>
        <w:gridCol w:w="676"/>
        <w:gridCol w:w="109"/>
        <w:gridCol w:w="109"/>
        <w:gridCol w:w="109"/>
        <w:gridCol w:w="552"/>
        <w:gridCol w:w="552"/>
        <w:gridCol w:w="785"/>
      </w:tblGrid>
      <w:tr>
        <w:trPr/>
        <w:tc>
          <w:tcPr>
            <w:tcW w:w="7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SIGNED 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Bart Van Aarnhem</w:t>
            </w:r>
          </w:p>
        </w:tc>
      </w:tr>
      <w:tr>
        <w:trPr/>
        <w:tc>
          <w:tcPr>
            <w:tcW w:w="2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For and on behalf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22"/>
              </w:rPr>
            </w:pPr>
            <w:r>
              <w:rPr>
                <w:rFonts w:ascii="Arial;sans-serif" w:hAnsi="Arial;sans-serif"/>
                <w:b/>
                <w:color w:val="000000"/>
                <w:sz w:val="22"/>
              </w:rPr>
              <w:t>LONZA SALES AG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220595"/>
                <wp:effectExtent l="0" t="0" r="0" b="0"/>
                <wp:wrapNone/>
                <wp:docPr id="100" name="Frame91"/>
                <a:graphic xmlns:a="http://schemas.openxmlformats.org/drawingml/2006/main">
                  <a:graphicData uri="http://schemas.microsoft.com/office/word/2010/wordprocessingShape">
                    <wps:wsp>
                      <wps:cNvSpPr txBox="1"/>
                      <wps:spPr>
                        <a:xfrm>
                          <a:off x="0" y="0"/>
                          <a:ext cx="6480175" cy="2220595"/>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shd w:fill="FFFFFF" w:val="clear"/>
                              </w:rPr>
                            </w:pPr>
                            <w:r>
                              <w:rPr>
                                <w:rFonts w:ascii="Arial;sans-serif" w:hAnsi="Arial;sans-serif"/>
                                <w:b/>
                                <w:color w:val="000000"/>
                                <w:sz w:val="22"/>
                                <w:shd w:fill="FFFFFF" w:val="clear"/>
                              </w:rPr>
                              <w:t>[*] = Certain information contained in this document, marked by brackets, has been omitted from this exhibit because it is both not material and would be competitively harmful if publicly disclosed.</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2" w:after="283"/>
                                    <w:jc w:val="left"/>
                                    <w:rPr/>
                                  </w:pPr>
                                  <w:r>
                                    <w:rPr/>
                                  </w:r>
                                </w:p>
                              </w:tc>
                            </w:tr>
                          </w:tbl>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4.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shd w:fill="FFFFFF" w:val="clear"/>
                        </w:rPr>
                      </w:pPr>
                      <w:r>
                        <w:rPr>
                          <w:rFonts w:ascii="Arial;sans-serif" w:hAnsi="Arial;sans-serif"/>
                          <w:b/>
                          <w:color w:val="000000"/>
                          <w:sz w:val="22"/>
                          <w:shd w:fill="FFFFFF" w:val="clear"/>
                        </w:rPr>
                        <w:t>[*] = Certain information contained in this document, marked by brackets, has been omitted from this exhibit because it is both not material and would be competitively harmful if publicly disclosed.</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2" w:after="283"/>
                              <w:jc w:val="left"/>
                              <w:rPr/>
                            </w:pPr>
                            <w:r>
                              <w:rPr/>
                            </w:r>
                          </w:p>
                        </w:tc>
                      </w:tr>
                    </w:tbl>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192" w:before="0" w:after="0"/>
        <w:jc w:val="left"/>
        <w:rPr/>
      </w:pPr>
      <w:r>
        <w:rPr>
          <w:rFonts w:ascii="Arial;sans-serif" w:hAnsi="Arial;sans-serif"/>
          <w:b w:val="false"/>
          <w:color w:val="000000"/>
          <w:sz w:val="24"/>
        </w:rPr>
        <w:t xml:space="preserve">CONFIDENTIAL                      </w:t>
      </w:r>
      <w:r>
        <w:rPr/>
        <w:drawing>
          <wp:inline distT="0" distB="0" distL="0" distR="0">
            <wp:extent cx="1371600" cy="247650"/>
            <wp:effectExtent l="0" t="0" r="0" b="0"/>
            <wp:docPr id="10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 descr=""/>
                    <pic:cNvPicPr>
                      <a:picLocks noChangeAspect="1" noChangeArrowheads="1"/>
                    </pic:cNvPicPr>
                  </pic:nvPicPr>
                  <pic:blipFill>
                    <a:blip r:embed="rId13"/>
                    <a:stretch>
                      <a:fillRect/>
                    </a:stretch>
                  </pic:blipFill>
                  <pic:spPr bwMode="auto">
                    <a:xfrm>
                      <a:off x="0" y="0"/>
                      <a:ext cx="1371600" cy="247650"/>
                    </a:xfrm>
                    <a:prstGeom prst="rect">
                      <a:avLst/>
                    </a:prstGeom>
                  </pic:spPr>
                </pic:pic>
              </a:graphicData>
            </a:graphic>
          </wp:inline>
        </w:drawing>
      </w: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8545" w:type="dxa"/>
        <w:jc w:val="left"/>
        <w:tblInd w:w="0" w:type="dxa"/>
        <w:tblLayout w:type="fixed"/>
        <w:tblCellMar>
          <w:top w:w="28" w:type="dxa"/>
          <w:left w:w="28" w:type="dxa"/>
          <w:bottom w:w="28" w:type="dxa"/>
          <w:right w:w="28" w:type="dxa"/>
        </w:tblCellMar>
      </w:tblPr>
      <w:tblGrid>
        <w:gridCol w:w="1434"/>
        <w:gridCol w:w="1257"/>
        <w:gridCol w:w="1268"/>
        <w:gridCol w:w="109"/>
        <w:gridCol w:w="109"/>
        <w:gridCol w:w="109"/>
        <w:gridCol w:w="1244"/>
        <w:gridCol w:w="1244"/>
        <w:gridCol w:w="1771"/>
      </w:tblGrid>
      <w:tr>
        <w:trPr/>
        <w:tc>
          <w:tcPr>
            <w:tcW w:w="1434"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Associate General Counsel</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2"/>
              </w:rPr>
            </w:pPr>
            <w:r>
              <w:rPr>
                <w:rFonts w:ascii="Arial;sans-serif" w:hAnsi="Arial;sans-serif"/>
                <w:b w:val="false"/>
                <w:color w:val="000000"/>
                <w:sz w:val="22"/>
              </w:rPr>
              <w:t>Title</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10/16/2023</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2"/>
              </w:rPr>
            </w:pPr>
            <w:r>
              <w:rPr>
                <w:rFonts w:ascii="Arial;sans-serif" w:hAnsi="Arial;sans-serif"/>
                <w:b w:val="false"/>
                <w:color w:val="000000"/>
                <w:sz w:val="22"/>
              </w:rPr>
              <w:t>Date</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SIGNED 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Valerie Pierce</w:t>
            </w:r>
          </w:p>
        </w:tc>
      </w:tr>
      <w:tr>
        <w:trPr/>
        <w:tc>
          <w:tcPr>
            <w:tcW w:w="39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For and on behalf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22"/>
              </w:rPr>
            </w:pPr>
            <w:r>
              <w:rPr>
                <w:rFonts w:ascii="Arial;sans-serif" w:hAnsi="Arial;sans-serif"/>
                <w:b/>
                <w:color w:val="000000"/>
                <w:sz w:val="22"/>
              </w:rPr>
              <w:t>NGM BIOPHARMACEUTICALS,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SVP, General Counsel &amp; Chief Compliance Officer</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Arial;sans-serif" w:hAnsi="Arial;sans-serif"/>
                <w:b w:val="false"/>
                <w:color w:val="000000"/>
                <w:sz w:val="22"/>
              </w:rPr>
              <w:t>Title</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10/13/2023</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2"/>
              </w:rPr>
            </w:pPr>
            <w:r>
              <w:rPr>
                <w:rFonts w:ascii="Arial;sans-serif" w:hAnsi="Arial;sans-serif"/>
                <w:b w:val="false"/>
                <w:color w:val="000000"/>
                <w:sz w:val="22"/>
              </w:rPr>
              <w:t>Date</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119"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220595"/>
                <wp:effectExtent l="0" t="0" r="0" b="0"/>
                <wp:wrapNone/>
                <wp:docPr id="102" name="Frame92"/>
                <a:graphic xmlns:a="http://schemas.openxmlformats.org/drawingml/2006/main">
                  <a:graphicData uri="http://schemas.microsoft.com/office/word/2010/wordprocessingShape">
                    <wps:wsp>
                      <wps:cNvSpPr txBox="1"/>
                      <wps:spPr>
                        <a:xfrm>
                          <a:off x="0" y="0"/>
                          <a:ext cx="6480175" cy="2220595"/>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shd w:fill="FFFFFF" w:val="clear"/>
                              </w:rPr>
                            </w:pPr>
                            <w:r>
                              <w:rPr>
                                <w:rFonts w:ascii="Arial;sans-serif" w:hAnsi="Arial;sans-serif"/>
                                <w:b/>
                                <w:color w:val="000000"/>
                                <w:sz w:val="22"/>
                                <w:shd w:fill="FFFFFF" w:val="clear"/>
                              </w:rPr>
                              <w:t>[*] = Certain information contained in this document, marked by brackets, has been omitted from this exhibit because it is both not material and would be competitively harmful if publicly disclosed.</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2" w:after="283"/>
                                    <w:jc w:val="left"/>
                                    <w:rPr/>
                                  </w:pPr>
                                  <w:r>
                                    <w:rPr/>
                                  </w:r>
                                </w:p>
                              </w:tc>
                            </w:tr>
                          </w:tbl>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4.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shd w:fill="FFFFFF" w:val="clear"/>
                        </w:rPr>
                      </w:pPr>
                      <w:r>
                        <w:rPr>
                          <w:rFonts w:ascii="Arial;sans-serif" w:hAnsi="Arial;sans-serif"/>
                          <w:b/>
                          <w:color w:val="000000"/>
                          <w:sz w:val="22"/>
                          <w:shd w:fill="FFFFFF" w:val="clear"/>
                        </w:rPr>
                        <w:t>[*] = Certain information contained in this document, marked by brackets, has been omitted from this exhibit because it is both not material and would be competitively harmful if publicly disclosed.</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2" w:after="283"/>
                              <w:jc w:val="left"/>
                              <w:rPr/>
                            </w:pPr>
                            <w:r>
                              <w:rPr/>
                            </w:r>
                          </w:p>
                        </w:tc>
                      </w:tr>
                    </w:tbl>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192" w:before="0" w:after="0"/>
        <w:jc w:val="left"/>
        <w:rPr/>
      </w:pPr>
      <w:r>
        <w:rPr>
          <w:rFonts w:ascii="Arial;sans-serif" w:hAnsi="Arial;sans-serif"/>
          <w:b w:val="false"/>
          <w:color w:val="000000"/>
          <w:sz w:val="24"/>
        </w:rPr>
        <w:t xml:space="preserve">CONFIDENTIAL                      </w:t>
      </w:r>
      <w:r>
        <w:rPr/>
        <w:drawing>
          <wp:inline distT="0" distB="0" distL="0" distR="0">
            <wp:extent cx="1371600" cy="247650"/>
            <wp:effectExtent l="0" t="0" r="0" b="0"/>
            <wp:docPr id="10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1" descr=""/>
                    <pic:cNvPicPr>
                      <a:picLocks noChangeAspect="1" noChangeArrowheads="1"/>
                    </pic:cNvPicPr>
                  </pic:nvPicPr>
                  <pic:blipFill>
                    <a:blip r:embed="rId14"/>
                    <a:stretch>
                      <a:fillRect/>
                    </a:stretch>
                  </pic:blipFill>
                  <pic:spPr bwMode="auto">
                    <a:xfrm>
                      <a:off x="0" y="0"/>
                      <a:ext cx="1371600" cy="247650"/>
                    </a:xfrm>
                    <a:prstGeom prst="rect">
                      <a:avLst/>
                    </a:prstGeom>
                  </pic:spPr>
                </pic:pic>
              </a:graphicData>
            </a:graphic>
          </wp:inline>
        </w:drawing>
      </w:r>
      <w:r>
        <w:rPr>
          <w:color w:val="000000"/>
        </w:rPr>
        <w:t>    </w:t>
      </w:r>
    </w:p>
    <w:p>
      <w:pPr>
        <w:pStyle w:val="TextBody"/>
        <w:bidi w:val="0"/>
        <w:spacing w:lineRule="auto" w:line="240" w:before="154" w:after="283"/>
        <w:jc w:val="center"/>
        <w:rPr>
          <w:rFonts w:ascii="Arial;sans-serif" w:hAnsi="Arial;sans-serif"/>
          <w:b/>
          <w:color w:val="000000"/>
          <w:sz w:val="22"/>
          <w:u w:val="single"/>
        </w:rPr>
      </w:pPr>
      <w:r>
        <w:rPr>
          <w:rFonts w:ascii="Arial;sans-serif" w:hAnsi="Arial;sans-serif"/>
          <w:b/>
          <w:color w:val="000000"/>
          <w:sz w:val="22"/>
          <w:u w:val="single"/>
        </w:rPr>
        <w:t>APPENDIX 5</w:t>
      </w:r>
    </w:p>
    <w:p>
      <w:pPr>
        <w:pStyle w:val="TextBody"/>
        <w:bidi w:val="0"/>
        <w:spacing w:before="10" w:after="283"/>
        <w:jc w:val="left"/>
        <w:rPr/>
      </w:pPr>
      <w:r>
        <w:rPr/>
      </w:r>
    </w:p>
    <w:p>
      <w:pPr>
        <w:pStyle w:val="TextBody"/>
        <w:bidi w:val="0"/>
        <w:spacing w:lineRule="auto" w:line="240" w:before="94" w:after="283"/>
        <w:jc w:val="center"/>
        <w:rPr>
          <w:rFonts w:ascii="Arial;sans-serif" w:hAnsi="Arial;sans-serif"/>
          <w:b/>
          <w:color w:val="000000"/>
          <w:sz w:val="22"/>
          <w:u w:val="single"/>
        </w:rPr>
      </w:pPr>
      <w:r>
        <w:rPr>
          <w:rFonts w:ascii="Arial;sans-serif" w:hAnsi="Arial;sans-serif"/>
          <w:b/>
          <w:color w:val="000000"/>
          <w:sz w:val="22"/>
          <w:u w:val="single"/>
        </w:rPr>
        <w:t>PRODUCTS</w:t>
      </w:r>
    </w:p>
    <w:p>
      <w:pPr>
        <w:pStyle w:val="TextBody"/>
        <w:bidi w:val="0"/>
        <w:spacing w:before="0" w:after="0"/>
        <w:jc w:val="left"/>
        <w:rPr/>
      </w:pPr>
      <w:r>
        <w:rPr/>
      </w:r>
    </w:p>
    <w:p>
      <w:pPr>
        <w:pStyle w:val="TextBody"/>
        <w:bidi w:val="0"/>
        <w:spacing w:before="9" w:after="283"/>
        <w:jc w:val="left"/>
        <w:rPr/>
      </w:pPr>
      <w:r>
        <w:rPr/>
      </w:r>
    </w:p>
    <w:p>
      <w:pPr>
        <w:pStyle w:val="TextBody"/>
        <w:bidi w:val="0"/>
        <w:spacing w:lineRule="auto" w:line="240" w:before="94" w:after="283"/>
        <w:jc w:val="center"/>
        <w:rPr>
          <w:rFonts w:ascii="Arial;sans-serif" w:hAnsi="Arial;sans-serif"/>
          <w:b/>
          <w:color w:val="000000"/>
          <w:sz w:val="22"/>
          <w:u w:val="single"/>
        </w:rPr>
      </w:pPr>
      <w:r>
        <w:rPr>
          <w:rFonts w:ascii="Arial;sans-serif" w:hAnsi="Arial;sans-serif"/>
          <w:b/>
          <w:color w:val="000000"/>
          <w:sz w:val="22"/>
          <w:u w:val="single"/>
        </w:rPr>
        <w:t>Table A</w:t>
      </w:r>
    </w:p>
    <w:p>
      <w:pPr>
        <w:pStyle w:val="TextBody"/>
        <w:bidi w:val="0"/>
        <w:spacing w:before="5" w:after="283"/>
        <w:jc w:val="left"/>
        <w:rPr/>
      </w:pPr>
      <w:r>
        <w:rPr/>
      </w:r>
    </w:p>
    <w:tbl>
      <w:tblPr>
        <w:tblW w:w="3099" w:type="dxa"/>
        <w:jc w:val="left"/>
        <w:tblInd w:w="0" w:type="dxa"/>
        <w:tblLayout w:type="fixed"/>
        <w:tblCellMar>
          <w:top w:w="28" w:type="dxa"/>
          <w:left w:w="28" w:type="dxa"/>
          <w:bottom w:w="28" w:type="dxa"/>
          <w:right w:w="28" w:type="dxa"/>
        </w:tblCellMar>
      </w:tblPr>
      <w:tblGrid>
        <w:gridCol w:w="321"/>
        <w:gridCol w:w="282"/>
        <w:gridCol w:w="283"/>
        <w:gridCol w:w="504"/>
        <w:gridCol w:w="504"/>
        <w:gridCol w:w="506"/>
        <w:gridCol w:w="109"/>
        <w:gridCol w:w="109"/>
        <w:gridCol w:w="109"/>
        <w:gridCol w:w="109"/>
        <w:gridCol w:w="109"/>
        <w:gridCol w:w="1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Product</w:t>
            </w:r>
          </w:p>
        </w:tc>
        <w:tc>
          <w:tcPr>
            <w:tcW w:w="15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Product Name</w:t>
            </w:r>
          </w:p>
        </w:tc>
        <w:tc>
          <w:tcPr>
            <w:tcW w:w="3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w:t>
            </w:r>
          </w:p>
        </w:tc>
        <w:tc>
          <w:tcPr>
            <w:tcW w:w="37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w:t>
            </w:r>
          </w:p>
        </w:tc>
      </w:tr>
      <w:tr>
        <w:trPr/>
        <w:tc>
          <w:tcPr>
            <w:tcW w:w="886" w:type="dxa"/>
            <w:gridSpan w:val="3"/>
            <w:tcBorders>
              <w:top w:val="single" w:sz="4" w:space="0" w:color="000000"/>
              <w:left w:val="single" w:sz="4" w:space="0" w:color="000000"/>
              <w:bottom w:val="single" w:sz="4" w:space="0" w:color="000000"/>
            </w:tcBorders>
            <w:tcMar>
              <w:top w:w="30" w:type="dxa"/>
              <w:left w:w="127"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14" w:type="dxa"/>
            <w:gridSpan w:val="3"/>
            <w:tcBorders>
              <w:top w:val="single" w:sz="4" w:space="0" w:color="000000"/>
              <w:left w:val="single" w:sz="4" w:space="0" w:color="000000"/>
              <w:bottom w:val="single" w:sz="4" w:space="0" w:color="000000"/>
            </w:tcBorders>
            <w:tcMar>
              <w:top w:w="30" w:type="dxa"/>
              <w:left w:w="131"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top w:val="single" w:sz="4" w:space="0" w:color="000000"/>
              <w:left w:val="single" w:sz="4" w:space="0" w:color="000000"/>
              <w:bottom w:val="single" w:sz="4" w:space="0" w:color="000000"/>
            </w:tcBorders>
            <w:tcMar>
              <w:top w:w="30" w:type="dxa"/>
              <w:left w:w="128"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72" w:type="dxa"/>
            <w:gridSpan w:val="3"/>
            <w:tcBorders>
              <w:top w:val="single" w:sz="4" w:space="0" w:color="000000"/>
              <w:left w:val="single" w:sz="4" w:space="0" w:color="000000"/>
              <w:bottom w:val="single" w:sz="4" w:space="0" w:color="000000"/>
              <w:right w:val="single" w:sz="4" w:space="0" w:color="000000"/>
            </w:tcBorders>
            <w:tcMar>
              <w:top w:w="30" w:type="dxa"/>
              <w:left w:w="128" w:type="dxa"/>
              <w:bottom w:w="3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bl>
    <w:p>
      <w:pPr>
        <w:pStyle w:val="TextBody"/>
        <w:bidi w:val="0"/>
        <w:spacing w:before="0" w:after="0"/>
        <w:jc w:val="left"/>
        <w:rPr/>
      </w:pPr>
      <w:r>
        <w:rPr/>
      </w:r>
    </w:p>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 Licensee shall notify Lonza in writing within a period of [*]days for [*] for each Product per the terms of the Agreement.</w:t>
      </w:r>
    </w:p>
    <w:p>
      <w:pPr>
        <w:pStyle w:val="TextBody"/>
        <w:bidi w:val="0"/>
        <w:spacing w:before="11" w:after="283"/>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w:t>
      </w:r>
    </w:p>
    <w:p>
      <w:pPr>
        <w:pStyle w:val="TextBody"/>
        <w:bidi w:val="0"/>
        <w:spacing w:before="11" w:after="283"/>
        <w:jc w:val="left"/>
        <w:rPr/>
      </w:pPr>
      <w:r>
        <w:rPr/>
      </w:r>
    </w:p>
    <w:p>
      <w:pPr>
        <w:pStyle w:val="TextBody"/>
        <w:bidi w:val="0"/>
        <w:spacing w:lineRule="auto" w:line="240" w:before="0" w:after="0"/>
        <w:jc w:val="center"/>
        <w:rPr>
          <w:rFonts w:ascii="Arial;sans-serif" w:hAnsi="Arial;sans-serif"/>
          <w:b/>
          <w:color w:val="000000"/>
          <w:sz w:val="22"/>
          <w:u w:val="single"/>
        </w:rPr>
      </w:pPr>
      <w:r>
        <w:rPr>
          <w:rFonts w:ascii="Arial;sans-serif" w:hAnsi="Arial;sans-serif"/>
          <w:b/>
          <w:color w:val="000000"/>
          <w:sz w:val="22"/>
          <w:u w:val="single"/>
        </w:rPr>
        <w:t>Table B</w:t>
      </w:r>
    </w:p>
    <w:p>
      <w:pPr>
        <w:pStyle w:val="TextBody"/>
        <w:bidi w:val="0"/>
        <w:spacing w:before="10" w:after="283"/>
        <w:jc w:val="left"/>
        <w:rPr/>
      </w:pPr>
      <w:r>
        <w:rPr/>
      </w:r>
    </w:p>
    <w:p>
      <w:pPr>
        <w:pStyle w:val="TextBody"/>
        <w:bidi w:val="0"/>
        <w:spacing w:lineRule="auto" w:line="240" w:before="94" w:after="283"/>
        <w:jc w:val="center"/>
        <w:rPr>
          <w:rFonts w:ascii="Arial;sans-serif" w:hAnsi="Arial;sans-serif"/>
          <w:b/>
          <w:color w:val="000000"/>
          <w:sz w:val="22"/>
          <w:u w:val="single"/>
        </w:rPr>
      </w:pPr>
      <w:r>
        <w:rPr>
          <w:rFonts w:ascii="Arial;sans-serif" w:hAnsi="Arial;sans-serif"/>
          <w:b/>
          <w:color w:val="000000"/>
          <w:sz w:val="22"/>
          <w:u w:val="single"/>
        </w:rPr>
        <w:t>COMMERCIAL PRODUCTS AND ROYALTIES</w:t>
      </w:r>
    </w:p>
    <w:p>
      <w:pPr>
        <w:pStyle w:val="TextBody"/>
        <w:bidi w:val="0"/>
        <w:spacing w:before="0" w:after="0"/>
        <w:jc w:val="left"/>
        <w:rPr/>
      </w:pPr>
      <w:r>
        <w:rPr/>
      </w:r>
    </w:p>
    <w:p>
      <w:pPr>
        <w:pStyle w:val="TextBody"/>
        <w:bidi w:val="0"/>
        <w:spacing w:before="4" w:after="283"/>
        <w:jc w:val="left"/>
        <w:rPr/>
      </w:pPr>
      <w:r>
        <w:rPr/>
      </w:r>
    </w:p>
    <w:tbl>
      <w:tblPr>
        <w:tblW w:w="8547" w:type="dxa"/>
        <w:jc w:val="left"/>
        <w:tblInd w:w="0" w:type="dxa"/>
        <w:tblLayout w:type="fixed"/>
        <w:tblCellMar>
          <w:top w:w="28" w:type="dxa"/>
          <w:left w:w="28" w:type="dxa"/>
          <w:bottom w:w="28" w:type="dxa"/>
          <w:right w:w="28" w:type="dxa"/>
        </w:tblCellMar>
      </w:tblPr>
      <w:tblGrid>
        <w:gridCol w:w="767"/>
        <w:gridCol w:w="673"/>
        <w:gridCol w:w="675"/>
        <w:gridCol w:w="504"/>
        <w:gridCol w:w="504"/>
        <w:gridCol w:w="506"/>
        <w:gridCol w:w="539"/>
        <w:gridCol w:w="539"/>
        <w:gridCol w:w="541"/>
        <w:gridCol w:w="965"/>
        <w:gridCol w:w="965"/>
        <w:gridCol w:w="1369"/>
      </w:tblGrid>
      <w:tr>
        <w:trPr/>
        <w:tc>
          <w:tcPr>
            <w:tcW w:w="7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Commercial Product</w:t>
            </w:r>
          </w:p>
        </w:tc>
        <w:tc>
          <w:tcPr>
            <w:tcW w:w="15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Product Name</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Rate of Royalty</w:t>
            </w:r>
          </w:p>
        </w:tc>
        <w:tc>
          <w:tcPr>
            <w:tcW w:w="32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Party manufacturing the Product</w:t>
            </w:r>
          </w:p>
        </w:tc>
      </w:tr>
      <w:tr>
        <w:trPr/>
        <w:tc>
          <w:tcPr>
            <w:tcW w:w="21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2"/>
              </w:rPr>
            </w:pPr>
            <w:r>
              <w:rPr>
                <w:rFonts w:ascii="Arial;sans-serif" w:hAnsi="Arial;sans-serif"/>
                <w:b w:val="false"/>
                <w:color w:val="000000"/>
                <w:sz w:val="22"/>
              </w:rPr>
              <w:t>Product #1</w:t>
            </w:r>
          </w:p>
        </w:tc>
        <w:tc>
          <w:tcPr>
            <w:tcW w:w="151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4" w:before="0" w:after="0"/>
              <w:jc w:val="left"/>
              <w:rPr>
                <w:rFonts w:ascii="Arial;sans-serif" w:hAnsi="Arial;sans-serif"/>
                <w:b w:val="false"/>
                <w:color w:val="000000"/>
                <w:sz w:val="22"/>
              </w:rPr>
            </w:pPr>
            <w:r>
              <w:rPr>
                <w:rFonts w:ascii="Arial;sans-serif" w:hAnsi="Arial;sans-serif"/>
                <w:b w:val="false"/>
                <w:color w:val="000000"/>
                <w:sz w:val="22"/>
              </w:rPr>
              <w:t>Product #2</w:t>
            </w:r>
          </w:p>
        </w:tc>
        <w:tc>
          <w:tcPr>
            <w:tcW w:w="151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2"/>
              </w:rPr>
            </w:pPr>
            <w:r>
              <w:rPr>
                <w:rFonts w:ascii="Arial;sans-serif" w:hAnsi="Arial;sans-serif"/>
                <w:b w:val="false"/>
                <w:color w:val="000000"/>
                <w:sz w:val="22"/>
              </w:rPr>
              <w:t>Product #3</w:t>
            </w:r>
          </w:p>
        </w:tc>
        <w:tc>
          <w:tcPr>
            <w:tcW w:w="151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4" w:before="0" w:after="0"/>
              <w:jc w:val="left"/>
              <w:rPr>
                <w:rFonts w:ascii="Arial;sans-serif" w:hAnsi="Arial;sans-serif"/>
                <w:b w:val="false"/>
                <w:color w:val="000000"/>
                <w:sz w:val="22"/>
              </w:rPr>
            </w:pPr>
            <w:r>
              <w:rPr>
                <w:rFonts w:ascii="Arial;sans-serif" w:hAnsi="Arial;sans-serif"/>
                <w:b w:val="false"/>
                <w:color w:val="000000"/>
                <w:sz w:val="22"/>
              </w:rPr>
              <w:t>Product #4</w:t>
            </w:r>
          </w:p>
        </w:tc>
        <w:tc>
          <w:tcPr>
            <w:tcW w:w="151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4" w:before="0" w:after="0"/>
              <w:jc w:val="left"/>
              <w:rPr>
                <w:rFonts w:ascii="Arial;sans-serif" w:hAnsi="Arial;sans-serif"/>
                <w:b w:val="false"/>
                <w:color w:val="000000"/>
                <w:sz w:val="22"/>
              </w:rPr>
            </w:pPr>
            <w:r>
              <w:rPr>
                <w:rFonts w:ascii="Arial;sans-serif" w:hAnsi="Arial;sans-serif"/>
                <w:b w:val="false"/>
                <w:color w:val="000000"/>
                <w:sz w:val="22"/>
              </w:rPr>
              <w:t>Product #5</w:t>
            </w:r>
          </w:p>
        </w:tc>
        <w:tc>
          <w:tcPr>
            <w:tcW w:w="151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2"/>
              </w:rPr>
            </w:pPr>
            <w:r>
              <w:rPr>
                <w:rFonts w:ascii="Arial;sans-serif" w:hAnsi="Arial;sans-serif"/>
                <w:b w:val="false"/>
                <w:color w:val="000000"/>
                <w:sz w:val="22"/>
              </w:rPr>
              <w:t>Product #6</w:t>
            </w:r>
          </w:p>
        </w:tc>
        <w:tc>
          <w:tcPr>
            <w:tcW w:w="151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54" w:before="0" w:after="0"/>
              <w:jc w:val="left"/>
              <w:rPr>
                <w:rFonts w:ascii="Arial;sans-serif" w:hAnsi="Arial;sans-serif"/>
                <w:b w:val="false"/>
                <w:color w:val="000000"/>
                <w:sz w:val="22"/>
              </w:rPr>
            </w:pPr>
            <w:r>
              <w:rPr>
                <w:rFonts w:ascii="Arial;sans-serif" w:hAnsi="Arial;sans-serif"/>
                <w:b w:val="false"/>
                <w:color w:val="000000"/>
                <w:sz w:val="22"/>
              </w:rPr>
              <w:t>Product #7</w:t>
            </w:r>
          </w:p>
        </w:tc>
        <w:tc>
          <w:tcPr>
            <w:tcW w:w="151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220595"/>
                <wp:effectExtent l="0" t="0" r="0" b="0"/>
                <wp:wrapNone/>
                <wp:docPr id="104" name="Frame93"/>
                <a:graphic xmlns:a="http://schemas.openxmlformats.org/drawingml/2006/main">
                  <a:graphicData uri="http://schemas.microsoft.com/office/word/2010/wordprocessingShape">
                    <wps:wsp>
                      <wps:cNvSpPr txBox="1"/>
                      <wps:spPr>
                        <a:xfrm>
                          <a:off x="0" y="0"/>
                          <a:ext cx="6480175" cy="2220595"/>
                        </a:xfrm>
                        <a:prstGeom prst="rect"/>
                        <a:solidFill>
                          <a:srgbClr val="FFFFFF"/>
                        </a:solidFill>
                      </wps:spPr>
                      <wps:txbx>
                        <w:txbxContent>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shd w:fill="FFFFFF" w:val="clear"/>
                              </w:rPr>
                            </w:pPr>
                            <w:r>
                              <w:rPr>
                                <w:rFonts w:ascii="Arial;sans-serif" w:hAnsi="Arial;sans-serif"/>
                                <w:b/>
                                <w:color w:val="000000"/>
                                <w:sz w:val="22"/>
                                <w:shd w:fill="FFFFFF" w:val="clear"/>
                              </w:rPr>
                              <w:t>[*] = Certain information contained in this document, marked by brackets, has been omitted from this exhibit because it is both not material and would be competitively harmful if publicly disclosed.</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2" w:after="283"/>
                                    <w:jc w:val="left"/>
                                    <w:rPr/>
                                  </w:pPr>
                                  <w:r>
                                    <w:rPr/>
                                  </w:r>
                                </w:p>
                              </w:tc>
                            </w:tr>
                          </w:tbl>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4.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shd w:fill="FFFFFF" w:val="clear"/>
                        </w:rPr>
                      </w:pPr>
                      <w:r>
                        <w:rPr>
                          <w:rFonts w:ascii="Arial;sans-serif" w:hAnsi="Arial;sans-serif"/>
                          <w:b/>
                          <w:color w:val="000000"/>
                          <w:sz w:val="22"/>
                          <w:shd w:fill="FFFFFF" w:val="clear"/>
                        </w:rPr>
                        <w:t>[*] = Certain information contained in this document, marked by brackets, has been omitted from this exhibit because it is both not material and would be competitively harmful if publicly disclosed.</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2" w:after="283"/>
                              <w:jc w:val="left"/>
                              <w:rPr/>
                            </w:pPr>
                            <w:r>
                              <w:rPr/>
                            </w:r>
                          </w:p>
                        </w:tc>
                      </w:tr>
                    </w:tbl>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31.1</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 xml:space="preserve">CERTIFICATION BY THE CHIEF EXECUTIVE OFFICER PURSUANT TO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SECTION 302 OF THE SARBANES-OXLEY ACT OF 2002 </w: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 David J. Woodhouse, certify that:</w:t>
      </w:r>
    </w:p>
    <w:p>
      <w:pPr>
        <w:pStyle w:val="TextBody"/>
        <w:bidi w:val="0"/>
        <w:spacing w:lineRule="auto" w:line="288" w:before="240" w:after="120"/>
        <w:ind w:left="0" w:right="0" w:hanging="72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NGM Biopharmaceuticals, Inc.;</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w:t>
      </w:r>
      <w:r>
        <w:rPr>
          <w:color w:val="000000"/>
        </w:rPr>
        <w:t xml:space="preserve"> </w:t>
      </w:r>
      <w:r>
        <w:rPr>
          <w:rFonts w:ascii="Arial;sans-serif" w:hAnsi="Arial;sans-serif"/>
          <w:b w:val="false"/>
          <w:color w:val="000000"/>
          <w:sz w:val="20"/>
        </w:rPr>
        <w:t>for the registrant and have:</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both"/>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r>
        <w:rPr>
          <w:rFonts w:ascii="Arial;sans-serif" w:hAnsi="Arial;sans-serif"/>
          <w:b w:val="false"/>
          <w:color w:val="000000"/>
          <w:sz w:val="18"/>
        </w:rPr>
        <w:t>.</w:t>
      </w:r>
    </w:p>
    <w:tbl>
      <w:tblPr>
        <w:tblW w:w="5923" w:type="dxa"/>
        <w:jc w:val="center"/>
        <w:tblInd w:w="0" w:type="dxa"/>
        <w:tblLayout w:type="fixed"/>
        <w:tblCellMar>
          <w:top w:w="28" w:type="dxa"/>
          <w:left w:w="28" w:type="dxa"/>
          <w:bottom w:w="28" w:type="dxa"/>
          <w:right w:w="28" w:type="dxa"/>
        </w:tblCellMar>
      </w:tblPr>
      <w:tblGrid>
        <w:gridCol w:w="808"/>
        <w:gridCol w:w="709"/>
        <w:gridCol w:w="717"/>
        <w:gridCol w:w="134"/>
        <w:gridCol w:w="134"/>
        <w:gridCol w:w="136"/>
        <w:gridCol w:w="962"/>
        <w:gridCol w:w="962"/>
        <w:gridCol w:w="1361"/>
      </w:tblGrid>
      <w:tr>
        <w:trP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November 2,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Woodhouse</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Woodhouse, Ph.D.</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 and Director</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 xml:space="preserve">CERTIFICATION BY THE CHIEF FINANCIAL OFFICER PURSUANT TO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SECTION 302 OF THE SARBANES-OXLEY ACT OF 2002 </w: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 Siobhan Nolan Mangini, certify that:</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NGM Biopharmaceuticals, Inc.;</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both"/>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r>
        <w:rPr>
          <w:rFonts w:ascii="Arial;sans-serif" w:hAnsi="Arial;sans-serif"/>
          <w:b w:val="false"/>
          <w:color w:val="000000"/>
          <w:sz w:val="18"/>
        </w:rPr>
        <w:t>.</w:t>
      </w:r>
    </w:p>
    <w:tbl>
      <w:tblPr>
        <w:tblW w:w="5983" w:type="dxa"/>
        <w:jc w:val="center"/>
        <w:tblInd w:w="0" w:type="dxa"/>
        <w:tblLayout w:type="fixed"/>
        <w:tblCellMar>
          <w:top w:w="28" w:type="dxa"/>
          <w:left w:w="28" w:type="dxa"/>
          <w:bottom w:w="28" w:type="dxa"/>
          <w:right w:w="28" w:type="dxa"/>
        </w:tblCellMar>
      </w:tblPr>
      <w:tblGrid>
        <w:gridCol w:w="808"/>
        <w:gridCol w:w="709"/>
        <w:gridCol w:w="717"/>
        <w:gridCol w:w="134"/>
        <w:gridCol w:w="134"/>
        <w:gridCol w:w="136"/>
        <w:gridCol w:w="980"/>
        <w:gridCol w:w="980"/>
        <w:gridCol w:w="1385"/>
      </w:tblGrid>
      <w:tr>
        <w:trP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November 2,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Siobhan Nolan Mangini</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Siobhan Nolan Mangini</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Financial Officer</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 set forth in Rule 13a-14(b) of the Securities Exchange Act of 1934, as amended, (the “Exchange Act”) and Section 1350 of Chapter 63 of Title 18 of the United States Code (18 U.S.C. § 1350), David Woodhouse, Chief Executive Officer and Director of NGM Biopharmaceuticals, Inc. (the “Company”), and Siobhan Nolan Mangini, President and Chief Financial Officer of the Company, each hereby certifies that, to the best of his or her knowledge:</w:t>
      </w:r>
    </w:p>
    <w:p>
      <w:pPr>
        <w:pStyle w:val="TextBody"/>
        <w:bidi w:val="0"/>
        <w:spacing w:lineRule="auto" w:line="288" w:before="240" w:after="283"/>
        <w:ind w:left="0" w:right="0" w:hanging="540"/>
        <w:jc w:val="both"/>
        <w:rPr>
          <w:rFonts w:ascii="Arial;sans-serif" w:hAnsi="Arial;sans-serif"/>
          <w:b w:val="false"/>
          <w:color w:val="000000"/>
          <w:sz w:val="20"/>
        </w:rPr>
      </w:pPr>
      <w:r>
        <w:rPr>
          <w:rFonts w:ascii="Arial;sans-serif" w:hAnsi="Arial;sans-serif"/>
          <w:b w:val="false"/>
          <w:color w:val="000000"/>
          <w:sz w:val="20"/>
        </w:rPr>
        <w:t>1.The Company’s Quarterly Report on Form 10-Q for the period ended September 30, 2023, to which this Certification is attached as Exhibit 32.1 (the “Quarterly Report”), fully complies with the requirements of Section 13(a) or Section 15(d) of the Exchange Act; and</w:t>
      </w:r>
    </w:p>
    <w:p>
      <w:pPr>
        <w:pStyle w:val="TextBody"/>
        <w:bidi w:val="0"/>
        <w:spacing w:lineRule="auto" w:line="288" w:before="240" w:after="283"/>
        <w:ind w:left="0" w:right="0" w:hanging="540"/>
        <w:jc w:val="both"/>
        <w:rPr>
          <w:rFonts w:ascii="Arial;sans-serif" w:hAnsi="Arial;sans-serif"/>
          <w:b w:val="false"/>
          <w:color w:val="000000"/>
          <w:sz w:val="20"/>
        </w:rPr>
      </w:pPr>
      <w:r>
        <w:rPr>
          <w:rFonts w:ascii="Arial;sans-serif" w:hAnsi="Arial;sans-serif"/>
          <w:b w:val="false"/>
          <w:color w:val="000000"/>
          <w:sz w:val="20"/>
        </w:rPr>
        <w:t>2.The information contained in the Quarterly Report fairly presents, in all material respects, the financial condition and results of operations of the Company.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Dated: November 2, 2023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I</w:t>
      </w:r>
      <w:r>
        <w:rPr>
          <w:rFonts w:ascii="Arial;sans-serif" w:hAnsi="Arial;sans-serif"/>
          <w:b/>
          <w:color w:val="000000"/>
          <w:sz w:val="16"/>
        </w:rPr>
        <w:t>N</w:t>
      </w:r>
      <w:r>
        <w:rPr>
          <w:color w:val="000000"/>
        </w:rPr>
        <w:t xml:space="preserve"> </w:t>
      </w:r>
      <w:r>
        <w:rPr>
          <w:rFonts w:ascii="Arial;sans-serif" w:hAnsi="Arial;sans-serif"/>
          <w:b/>
          <w:color w:val="000000"/>
          <w:sz w:val="20"/>
        </w:rPr>
        <w:t>W</w:t>
      </w:r>
      <w:r>
        <w:rPr>
          <w:rFonts w:ascii="Arial;sans-serif" w:hAnsi="Arial;sans-serif"/>
          <w:b/>
          <w:color w:val="000000"/>
          <w:sz w:val="16"/>
        </w:rPr>
        <w:t>ITNESS</w:t>
      </w:r>
      <w:r>
        <w:rPr>
          <w:color w:val="000000"/>
        </w:rPr>
        <w:t xml:space="preserve"> </w:t>
      </w:r>
      <w:r>
        <w:rPr>
          <w:rFonts w:ascii="Arial;sans-serif" w:hAnsi="Arial;sans-serif"/>
          <w:b/>
          <w:color w:val="000000"/>
          <w:sz w:val="20"/>
        </w:rPr>
        <w:t>W</w:t>
      </w:r>
      <w:r>
        <w:rPr>
          <w:rFonts w:ascii="Arial;sans-serif" w:hAnsi="Arial;sans-serif"/>
          <w:b/>
          <w:color w:val="000000"/>
          <w:sz w:val="16"/>
        </w:rPr>
        <w:t>HEREOF</w:t>
      </w:r>
      <w:r>
        <w:rPr>
          <w:rFonts w:ascii="Arial;sans-serif" w:hAnsi="Arial;sans-serif"/>
          <w:b w:val="false"/>
          <w:color w:val="000000"/>
          <w:sz w:val="20"/>
        </w:rPr>
        <w:t>, the undersigned have set their hands hereto as of the 2</w:t>
      </w:r>
      <w:r>
        <w:rPr>
          <w:rFonts w:ascii="Arial;sans-serif" w:hAnsi="Arial;sans-serif"/>
          <w:b w:val="false"/>
          <w:color w:val="000000"/>
          <w:sz w:val="13"/>
        </w:rPr>
        <w:t>nd</w:t>
      </w:r>
      <w:r>
        <w:rPr>
          <w:color w:val="000000"/>
        </w:rPr>
        <w:t xml:space="preserve"> </w:t>
      </w:r>
      <w:r>
        <w:rPr>
          <w:rFonts w:ascii="Arial;sans-serif" w:hAnsi="Arial;sans-serif"/>
          <w:b w:val="false"/>
          <w:color w:val="000000"/>
          <w:sz w:val="20"/>
        </w:rPr>
        <w:t>day of November, 2023.</w:t>
      </w:r>
    </w:p>
    <w:tbl>
      <w:tblPr>
        <w:tblW w:w="6927" w:type="dxa"/>
        <w:jc w:val="left"/>
        <w:tblInd w:w="0" w:type="dxa"/>
        <w:tblLayout w:type="fixed"/>
        <w:tblCellMar>
          <w:top w:w="28" w:type="dxa"/>
          <w:left w:w="28" w:type="dxa"/>
          <w:bottom w:w="28" w:type="dxa"/>
          <w:right w:w="28" w:type="dxa"/>
        </w:tblCellMar>
      </w:tblPr>
      <w:tblGrid>
        <w:gridCol w:w="1179"/>
        <w:gridCol w:w="1035"/>
        <w:gridCol w:w="1041"/>
        <w:gridCol w:w="109"/>
        <w:gridCol w:w="109"/>
        <w:gridCol w:w="109"/>
        <w:gridCol w:w="980"/>
        <w:gridCol w:w="980"/>
        <w:gridCol w:w="1385"/>
      </w:tblGrid>
      <w:tr>
        <w:trPr/>
        <w:tc>
          <w:tcPr>
            <w:tcW w:w="117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Woodhouse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Siobhan Nolan Mangini</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Woodhouse,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Siobhan Nolan Mangini</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Financial Officer</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(Principal Financial Officer)</w:t>
            </w:r>
          </w:p>
        </w:tc>
      </w:tr>
    </w:tbl>
    <w:p>
      <w:pPr>
        <w:pStyle w:val="TextBody"/>
        <w:bidi w:val="0"/>
        <w:spacing w:before="240" w:after="283"/>
        <w:jc w:val="left"/>
        <w:rPr/>
      </w:pPr>
      <w:r>
        <w:rPr/>
      </w:r>
    </w:p>
    <w:p>
      <w:pPr>
        <w:pStyle w:val="TextBody"/>
        <w:bidi w:val="0"/>
        <w:spacing w:before="240" w:after="283"/>
        <w:jc w:val="both"/>
        <w:rPr/>
      </w:pPr>
      <w:r>
        <w:rPr/>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This certification accompanies the Quarterly Report to which it relates, is not deemed filed with the Securities and Exchange Commission and is not to be incorporated by reference into any filing of NGM Biopharmaceuticals, Inc. under the Securities Act of 1933, as amended, or the Securities Exchange Act of 1934, as amended (whether made before or after the date of the Quarterly Report), irrespective of any general incorporation language contained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Calibri">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426332/000119312519100757/d731361dex31.htm" TargetMode="External"/><Relationship Id="rId3" Type="http://schemas.openxmlformats.org/officeDocument/2006/relationships/hyperlink" Target="https://www.sec.gov/Archives/edgar/data/0001426332/000119312518287727/d693178dex34.htm" TargetMode="External"/><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59532</Words>
  <Characters>332424</Characters>
  <CharactersWithSpaces>390631</CharactersWithSpaces>
  <Paragraphs>2457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