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520" w:type="dxa"/>
            <w:vAlign w:val="bottom"/>
            <w:tcBorders>
              <w:top w:val="single" w:sz="8" w:color="2C2C2C"/>
            </w:tcBorders>
          </w:tcPr>
          <w:p>
            <w:pPr>
              <w:spacing w:after="0"/>
              <w:rPr>
                <w:sz w:val="4"/>
                <w:szCs w:val="4"/>
                <w:color w:val="auto"/>
              </w:rPr>
            </w:pPr>
          </w:p>
        </w:tc>
        <w:tc>
          <w:tcPr>
            <w:tcW w:w="3340" w:type="dxa"/>
            <w:vAlign w:val="bottom"/>
            <w:tcBorders>
              <w:top w:val="single" w:sz="8" w:color="2C2C2C"/>
              <w:bottom w:val="single" w:sz="8" w:color="2C2C2C"/>
            </w:tcBorders>
            <w:gridSpan w:val="6"/>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9"/>
            <w:vMerge w:val="continue"/>
          </w:tcPr>
          <w:p>
            <w:pPr>
              <w:spacing w:after="0"/>
              <w:rPr>
                <w:sz w:val="12"/>
                <w:szCs w:val="12"/>
                <w:color w:val="auto"/>
              </w:rPr>
            </w:pPr>
          </w:p>
        </w:tc>
        <w:tc>
          <w:tcPr>
            <w:tcW w:w="520" w:type="dxa"/>
            <w:vAlign w:val="bottom"/>
          </w:tcPr>
          <w:p>
            <w:pPr>
              <w:spacing w:after="0"/>
              <w:rPr>
                <w:sz w:val="12"/>
                <w:szCs w:val="12"/>
                <w:color w:val="auto"/>
              </w:rPr>
            </w:pPr>
          </w:p>
        </w:tc>
        <w:tc>
          <w:tcPr>
            <w:tcW w:w="334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w w:val="89"/>
              </w:rPr>
              <w:t>Line)</w:t>
            </w: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0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06/19/2019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15,214</w:t>
            </w:r>
            <w:r>
              <w:rPr>
                <w:rFonts w:ascii="Arial" w:cs="Arial" w:eastAsia="Arial" w:hAnsi="Arial"/>
                <w:sz w:val="22"/>
                <w:szCs w:val="22"/>
                <w:color w:val="008000"/>
                <w:w w:val="82"/>
                <w:vertAlign w:val="superscript"/>
              </w:rPr>
              <w:t>(1)</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13.9131</w:t>
            </w: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2,093,597</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06/20/2019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15,400</w:t>
            </w:r>
            <w:r>
              <w:rPr>
                <w:rFonts w:ascii="Arial" w:cs="Arial" w:eastAsia="Arial" w:hAnsi="Arial"/>
                <w:sz w:val="22"/>
                <w:szCs w:val="22"/>
                <w:color w:val="008000"/>
                <w:w w:val="82"/>
                <w:vertAlign w:val="superscript"/>
              </w:rPr>
              <w:t>(4)</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13.8562</w:t>
            </w: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2,108,997</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06/21/2019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3,763</w:t>
            </w:r>
            <w:r>
              <w:rPr>
                <w:rFonts w:ascii="Arial" w:cs="Arial" w:eastAsia="Arial" w:hAnsi="Arial"/>
                <w:sz w:val="22"/>
                <w:szCs w:val="22"/>
                <w:color w:val="008000"/>
                <w:w w:val="82"/>
                <w:vertAlign w:val="superscript"/>
              </w:rPr>
              <w:t>(5)</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14.0285</w:t>
            </w: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5"/>
              </w:rPr>
              <w:t>2,112,760</w:t>
            </w:r>
            <w:r>
              <w:rPr>
                <w:rFonts w:ascii="Arial" w:cs="Arial" w:eastAsia="Arial" w:hAnsi="Arial"/>
                <w:sz w:val="22"/>
                <w:szCs w:val="22"/>
                <w:color w:val="008000"/>
                <w:w w:val="85"/>
                <w:vertAlign w:val="superscript"/>
              </w:rPr>
              <w:t>(6)</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(7)</w:t>
            </w:r>
          </w:p>
        </w:tc>
        <w:tc>
          <w:tcPr>
            <w:tcW w:w="92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(8)(9)(10)(11)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6"/>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60" w:type="dxa"/>
            <w:vAlign w:val="bottom"/>
            <w:gridSpan w:val="14"/>
          </w:tcPr>
          <w:p>
            <w:pPr>
              <w:jc w:val="center"/>
              <w:ind w:left="2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COLUMN GROUP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w w:val="91"/>
              </w:rPr>
            </w:pPr>
            <w:hyperlink r:id="rId16">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-8999220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-8999220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-8338820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-8338820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-7901305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-7901305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-7189470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-7189470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-6666865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-6666865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-6229350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-6229350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-5517515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-5517515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199"/>
          </w:cols>
          <w:pgMar w:left="260" w:top="140" w:right="1440" w:bottom="0" w:gutter="0" w:footer="0" w:header="0"/>
        </w:sectPr>
      </w:pPr>
    </w:p>
    <w:p>
      <w:pPr>
        <w:spacing w:after="0" w:line="20" w:lineRule="exact"/>
        <w:rPr>
          <w:sz w:val="20"/>
          <w:szCs w:val="20"/>
          <w:color w:val="auto"/>
        </w:rPr>
      </w:pPr>
    </w:p>
    <w:p>
      <w:pPr>
        <w:ind w:left="100"/>
        <w:spacing w:after="0"/>
        <w:tabs>
          <w:tab w:leader="none" w:pos="300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38"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4"/>
          </w:tcPr>
          <w:p>
            <w:pPr>
              <w:spacing w:after="0" w:line="224" w:lineRule="exact"/>
              <w:rPr>
                <w:rFonts w:ascii="Arial" w:cs="Arial" w:eastAsia="Arial" w:hAnsi="Arial"/>
                <w:sz w:val="22"/>
                <w:szCs w:val="22"/>
                <w:color w:val="0000EE"/>
              </w:rPr>
            </w:pPr>
            <w:hyperlink r:id="rId57">
              <w:r>
                <w:rPr>
                  <w:rFonts w:ascii="Arial" w:cs="Arial" w:eastAsia="Arial" w:hAnsi="Arial"/>
                  <w:sz w:val="22"/>
                  <w:szCs w:val="22"/>
                  <w:color w:val="0000EE"/>
                </w:rPr>
                <w:t>Ponoi II Management,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8">
              <w:r>
                <w:rPr>
                  <w:rFonts w:ascii="Arial" w:cs="Arial" w:eastAsia="Arial" w:hAnsi="Arial"/>
                  <w:sz w:val="22"/>
                  <w:szCs w:val="22"/>
                  <w:color w:val="0000EE"/>
                </w:rPr>
                <w:t>Kutzkey Tim</w:t>
              </w:r>
            </w:hyperlink>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691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924175" cy="3691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7,607 shares of Common Stock held directly by Ponoi Capital, LP ("Ponoi LP") and 7,607 shares of Common Stock held directly by Ponoi Capital II, LP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7,700 shares of Common Stock held directly by Ponoi LP and 7,700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1,882 shares of Common Stock held directly by Ponoi LP and 1,881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1,056,380 shares of Common Stock held directly by Ponoi LP and 1,056,380 shares of Common Stock held directly by Ponoi II LP.</w:t>
      </w:r>
    </w:p>
    <w:p>
      <w:pPr>
        <w:spacing w:after="0" w:line="41"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7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9" Type="http://schemas.openxmlformats.org/officeDocument/2006/relationships/image" Target="media/image41.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45340" TargetMode="External"/><Relationship Id="rId17" Type="http://schemas.openxmlformats.org/officeDocument/2006/relationships/hyperlink" Target="http://www.sec.gov/cgi-bin/browse-edgar?action=getcompany&amp;CIK=0001645333" TargetMode="External"/><Relationship Id="rId18" Type="http://schemas.openxmlformats.org/officeDocument/2006/relationships/hyperlink" Target="http://www.sec.gov/cgi-bin/browse-edgar?action=getcompany&amp;CIK=0001707230" TargetMode="External"/><Relationship Id="rId19" Type="http://schemas.openxmlformats.org/officeDocument/2006/relationships/hyperlink" Target="http://www.sec.gov/cgi-bin/browse-edgar?action=getcompany&amp;CIK=0001720702" TargetMode="External"/><Relationship Id="rId20" Type="http://schemas.openxmlformats.org/officeDocument/2006/relationships/hyperlink" Target="http://www.sec.gov/cgi-bin/browse-edgar?action=getcompany&amp;CIK=0001732601" TargetMode="External"/><Relationship Id="rId57" Type="http://schemas.openxmlformats.org/officeDocument/2006/relationships/hyperlink" Target="http://www.sec.gov/cgi-bin/browse-edgar?action=getcompany&amp;CIK=0001746488" TargetMode="External"/><Relationship Id="rId58"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2019-12-24T06:55:25Z</dcterms:created>
  <dcterms:modified xsi:type="dcterms:W3CDTF">2019-12-24T06:55:25Z</dcterms:modified>
</cp:coreProperties>
</file>