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37"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COLUMN GROUP L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60"/>
        <w:spacing w:after="0" w:line="365" w:lineRule="auto"/>
        <w:rPr>
          <w:sz w:val="20"/>
          <w:szCs w:val="20"/>
          <w:color w:val="auto"/>
        </w:rPr>
      </w:pPr>
      <w:r>
        <w:rPr>
          <w:rFonts w:ascii="Times New Roman" w:cs="Times New Roman" w:eastAsia="Times New Roman" w:hAnsi="Times New Roman"/>
          <w:sz w:val="17"/>
          <w:szCs w:val="17"/>
          <w:color w:val="0000FF"/>
        </w:rPr>
        <w:t>1 LETTERMAN DRIVE BUILDING D, SUITE DM-900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NGM BIOPHARMACEUTICALS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NGM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05/09/2022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73"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8" w:lineRule="exact"/>
        <w:rPr>
          <w:sz w:val="24"/>
          <w:szCs w:val="24"/>
          <w:color w:val="auto"/>
        </w:rPr>
      </w:pPr>
    </w:p>
    <w:p>
      <w:pPr>
        <w:sectPr>
          <w:pgSz w:w="11900" w:h="16838" w:orient="portrait"/>
          <w:cols w:equalWidth="0" w:num="3">
            <w:col w:w="3200" w:space="720"/>
            <w:col w:w="3540" w:space="275"/>
            <w:col w:w="3345"/>
          </w:cols>
          <w:pgMar w:left="460" w:top="219" w:right="359" w:bottom="37" w:gutter="0" w:footer="0" w:header="0"/>
          <w:type w:val="continuous"/>
        </w:sect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3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20" w:type="dxa"/>
            <w:vAlign w:val="bottom"/>
            <w:tcBorders>
              <w:top w:val="single" w:sz="8" w:color="2C2C2C"/>
              <w:bottom w:val="single" w:sz="8" w:color="2C2C2C"/>
            </w:tcBorders>
            <w:gridSpan w:val="7"/>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tcBorders>
              <w:top w:val="single" w:sz="8" w:color="2C2C2C"/>
              <w:bottom w:val="single" w:sz="8" w:color="2C2C2C"/>
            </w:tcBorders>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20" w:type="dxa"/>
            <w:vAlign w:val="bottom"/>
            <w:gridSpan w:val="7"/>
            <w:vMerge w:val="continue"/>
          </w:tcPr>
          <w:p>
            <w:pPr>
              <w:spacing w:after="0" w:line="20" w:lineRule="exact"/>
              <w:rPr>
                <w:sz w:val="1"/>
                <w:szCs w:val="1"/>
                <w:color w:val="auto"/>
              </w:rPr>
            </w:pPr>
          </w:p>
        </w:tc>
        <w:tc>
          <w:tcPr>
            <w:tcW w:w="3300" w:type="dxa"/>
            <w:vAlign w:val="bottom"/>
            <w:gridSpan w:val="9"/>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20" w:type="dxa"/>
            <w:vAlign w:val="bottom"/>
            <w:gridSpan w:val="7"/>
            <w:vMerge w:val="continue"/>
          </w:tcPr>
          <w:p>
            <w:pPr>
              <w:spacing w:after="0"/>
              <w:rPr>
                <w:sz w:val="11"/>
                <w:szCs w:val="11"/>
                <w:color w:val="auto"/>
              </w:rPr>
            </w:pPr>
          </w:p>
        </w:tc>
        <w:tc>
          <w:tcPr>
            <w:tcW w:w="3300" w:type="dxa"/>
            <w:vAlign w:val="bottom"/>
            <w:gridSpan w:val="9"/>
            <w:vMerge w:val="continue"/>
          </w:tcPr>
          <w:p>
            <w:pPr>
              <w:spacing w:after="0"/>
              <w:rPr>
                <w:sz w:val="11"/>
                <w:szCs w:val="11"/>
                <w:color w:val="auto"/>
              </w:rPr>
            </w:pPr>
          </w:p>
        </w:tc>
        <w:tc>
          <w:tcPr>
            <w:tcW w:w="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3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20" w:type="dxa"/>
            <w:vAlign w:val="bottom"/>
            <w:gridSpan w:val="3"/>
            <w:vMerge w:val="continue"/>
          </w:tcPr>
          <w:p>
            <w:pPr>
              <w:spacing w:after="0"/>
              <w:rPr>
                <w:sz w:val="4"/>
                <w:szCs w:val="4"/>
                <w:color w:val="auto"/>
              </w:rPr>
            </w:pPr>
          </w:p>
        </w:tc>
        <w:tc>
          <w:tcPr>
            <w:tcW w:w="5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4"/>
                <w:szCs w:val="14"/>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gridSpan w:val="9"/>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7"/>
              </w:rPr>
              <w:t>X</w:t>
            </w:r>
          </w:p>
        </w:tc>
        <w:tc>
          <w:tcPr>
            <w:tcW w:w="3000" w:type="dxa"/>
            <w:vAlign w:val="bottom"/>
            <w:gridSpan w:val="9"/>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300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6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w w:val="96"/>
              </w:rPr>
              <w:t>2A. Deemed</w:t>
            </w:r>
          </w:p>
        </w:tc>
        <w:tc>
          <w:tcPr>
            <w:tcW w:w="360" w:type="dxa"/>
            <w:vAlign w:val="bottom"/>
          </w:tcPr>
          <w:p>
            <w:pPr>
              <w:spacing w:after="0"/>
              <w:rPr>
                <w:sz w:val="15"/>
                <w:szCs w:val="15"/>
                <w:color w:val="auto"/>
              </w:rPr>
            </w:pP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5"/>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40" w:type="dxa"/>
            <w:vAlign w:val="bottom"/>
            <w:gridSpan w:val="6"/>
          </w:tcPr>
          <w:p>
            <w:pPr>
              <w:jc w:val="center"/>
              <w:ind w:right="2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(Month/Day/Year)  if any</w:t>
            </w:r>
          </w:p>
        </w:tc>
        <w:tc>
          <w:tcPr>
            <w:tcW w:w="36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560" w:type="dxa"/>
            <w:vAlign w:val="bottom"/>
          </w:tcPr>
          <w:p>
            <w:pPr>
              <w:spacing w:after="0"/>
              <w:rPr>
                <w:sz w:val="13"/>
                <w:szCs w:val="13"/>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080" w:type="dxa"/>
            <w:vAlign w:val="bottom"/>
            <w:tcBorders>
              <w:top w:val="single" w:sz="8" w:color="2C2C2C"/>
            </w:tcBorders>
            <w:gridSpan w:val="2"/>
            <w:vMerge w:val="restart"/>
          </w:tcPr>
          <w:p>
            <w:pPr>
              <w:ind w:left="12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20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0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Pr>
          <w:p>
            <w:pPr>
              <w:spacing w:after="0"/>
              <w:rPr>
                <w:sz w:val="21"/>
                <w:szCs w:val="2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80,430</w:t>
            </w:r>
          </w:p>
        </w:tc>
        <w:tc>
          <w:tcPr>
            <w:tcW w:w="360" w:type="dxa"/>
            <w:vAlign w:val="bottom"/>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902,090</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05/09/2022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2,745</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10.7929</w:t>
            </w:r>
            <w:r>
              <w:rPr>
                <w:rFonts w:ascii="Times New Roman" w:cs="Times New Roman" w:eastAsia="Times New Roman" w:hAnsi="Times New Roman"/>
                <w:sz w:val="22"/>
                <w:szCs w:val="22"/>
                <w:color w:val="008000"/>
                <w:vertAlign w:val="superscript"/>
              </w:rPr>
              <w:t>(1)</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30,786</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30,233</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932,323</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05/10/2022</w:t>
            </w: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spacing w:after="0"/>
              <w:rPr>
                <w:sz w:val="20"/>
                <w:szCs w:val="20"/>
                <w:color w:val="auto"/>
              </w:rPr>
            </w:pPr>
            <w:r>
              <w:rPr>
                <w:rFonts w:ascii="Times New Roman" w:cs="Times New Roman" w:eastAsia="Times New Roman" w:hAnsi="Times New Roman"/>
                <w:sz w:val="17"/>
                <w:szCs w:val="17"/>
                <w:color w:val="0000FF"/>
              </w:rPr>
              <w:t>1,032</w:t>
            </w:r>
          </w:p>
        </w:tc>
        <w:tc>
          <w:tcPr>
            <w:tcW w:w="360" w:type="dxa"/>
            <w:vAlign w:val="bottom"/>
            <w:tcBorders>
              <w:top w:val="single" w:sz="8" w:color="2C2C2C"/>
            </w:tcBorders>
            <w:vMerge w:val="restart"/>
          </w:tcPr>
          <w:p>
            <w:pPr>
              <w:jc w:val="center"/>
              <w:ind w:left="122"/>
              <w:spacing w:after="0"/>
              <w:rPr>
                <w:sz w:val="20"/>
                <w:szCs w:val="20"/>
                <w:color w:val="auto"/>
              </w:rPr>
            </w:pPr>
            <w:r>
              <w:rPr>
                <w:rFonts w:ascii="Times New Roman" w:cs="Times New Roman" w:eastAsia="Times New Roman" w:hAnsi="Times New Roman"/>
                <w:sz w:val="17"/>
                <w:szCs w:val="17"/>
                <w:color w:val="0000FF"/>
                <w:w w:val="97"/>
              </w:rPr>
              <w:t>A</w:t>
            </w:r>
          </w:p>
        </w:tc>
        <w:tc>
          <w:tcPr>
            <w:tcW w:w="1080" w:type="dxa"/>
            <w:vAlign w:val="bottom"/>
            <w:tcBorders>
              <w:top w:val="single" w:sz="8" w:color="2C2C2C"/>
            </w:tcBorders>
            <w:gridSpan w:val="3"/>
            <w:vMerge w:val="restart"/>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11.3636</w:t>
            </w:r>
            <w:r>
              <w:rPr>
                <w:rFonts w:ascii="Times New Roman" w:cs="Times New Roman" w:eastAsia="Times New Roman" w:hAnsi="Times New Roman"/>
                <w:sz w:val="22"/>
                <w:szCs w:val="22"/>
                <w:color w:val="008000"/>
                <w:vertAlign w:val="superscript"/>
              </w:rPr>
              <w:t>(4)</w:t>
            </w: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31,818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bottom w:val="single" w:sz="8" w:color="2C2C2C"/>
            </w:tcBorders>
          </w:tcPr>
          <w:p>
            <w:pPr>
              <w:spacing w:after="0"/>
              <w:rPr>
                <w:sz w:val="24"/>
                <w:szCs w:val="24"/>
                <w:color w:val="auto"/>
              </w:rPr>
            </w:pPr>
          </w:p>
        </w:tc>
        <w:tc>
          <w:tcPr>
            <w:tcW w:w="820" w:type="dxa"/>
            <w:vAlign w:val="bottom"/>
            <w:tcBorders>
              <w:top w:val="single" w:sz="8" w:color="2C2C2C"/>
              <w:bottom w:val="single" w:sz="8" w:color="2C2C2C"/>
            </w:tcBorders>
          </w:tcPr>
          <w:p>
            <w:pPr>
              <w:spacing w:after="0"/>
              <w:rPr>
                <w:sz w:val="24"/>
                <w:szCs w:val="24"/>
                <w:color w:val="auto"/>
              </w:rPr>
            </w:pP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32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16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140" w:type="dxa"/>
            <w:vAlign w:val="bottom"/>
            <w:tcBorders>
              <w:top w:val="single" w:sz="8" w:color="2C2C2C"/>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11,103,333</w:t>
            </w:r>
          </w:p>
        </w:tc>
        <w:tc>
          <w:tcPr>
            <w:tcW w:w="26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jc w:val="center"/>
              <w:ind w:right="246"/>
              <w:spacing w:after="0" w:line="320" w:lineRule="exact"/>
              <w:rPr>
                <w:sz w:val="20"/>
                <w:szCs w:val="20"/>
                <w:color w:val="auto"/>
              </w:rPr>
            </w:pPr>
            <w:r>
              <w:rPr>
                <w:rFonts w:ascii="Times New Roman" w:cs="Times New Roman" w:eastAsia="Times New Roman" w:hAnsi="Times New Roman"/>
                <w:sz w:val="34"/>
                <w:szCs w:val="34"/>
                <w:color w:val="0000FF"/>
                <w:w w:val="82"/>
                <w:vertAlign w:val="subscript"/>
              </w:rPr>
              <w:t>D</w:t>
            </w:r>
            <w:r>
              <w:rPr>
                <w:rFonts w:ascii="Times New Roman" w:cs="Times New Roman" w:eastAsia="Times New Roman" w:hAnsi="Times New Roman"/>
                <w:sz w:val="11"/>
                <w:szCs w:val="11"/>
                <w:color w:val="008000"/>
                <w:w w:val="82"/>
              </w:rPr>
              <w:t>(5)</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858,035</w:t>
            </w:r>
          </w:p>
        </w:tc>
        <w:tc>
          <w:tcPr>
            <w:tcW w:w="260" w:type="dxa"/>
            <w:vAlign w:val="bottom"/>
          </w:tcPr>
          <w:p>
            <w:pPr>
              <w:spacing w:after="0"/>
              <w:rPr>
                <w:sz w:val="21"/>
                <w:szCs w:val="21"/>
                <w:color w:val="auto"/>
              </w:rPr>
            </w:pPr>
          </w:p>
        </w:tc>
        <w:tc>
          <w:tcPr>
            <w:tcW w:w="560" w:type="dxa"/>
            <w:vAlign w:val="bottom"/>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968,990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2,265,758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1,298,908</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color w:val="0000FF"/>
              </w:rPr>
              <w:t>100,000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15,000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2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w w:val="98"/>
              </w:rPr>
              <w:t>44,000</w:t>
            </w:r>
          </w:p>
        </w:tc>
        <w:tc>
          <w:tcPr>
            <w:tcW w:w="2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vMerge w:val="restart"/>
          </w:tcPr>
          <w:p>
            <w:pPr>
              <w:jc w:val="center"/>
              <w:ind w:right="246"/>
              <w:spacing w:after="0"/>
              <w:rPr>
                <w:sz w:val="20"/>
                <w:szCs w:val="20"/>
                <w:color w:val="auto"/>
              </w:rPr>
            </w:pPr>
            <w:r>
              <w:rPr>
                <w:rFonts w:ascii="Times New Roman" w:cs="Times New Roman" w:eastAsia="Times New Roman" w:hAnsi="Times New Roman"/>
                <w:sz w:val="16"/>
                <w:szCs w:val="16"/>
                <w:color w:val="0000FF"/>
                <w:w w:val="74"/>
              </w:rPr>
              <w:t>I</w:t>
            </w:r>
          </w:p>
        </w:tc>
        <w:tc>
          <w:tcPr>
            <w:tcW w:w="34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7"/>
              </w:rPr>
              <w:t>See</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4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6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00" w:type="dxa"/>
            <w:vAlign w:val="bottom"/>
            <w:gridSpan w:val="4"/>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60" w:type="dxa"/>
            <w:vAlign w:val="bottom"/>
          </w:tcPr>
          <w:p>
            <w:pPr>
              <w:spacing w:after="0"/>
              <w:rPr>
                <w:sz w:val="11"/>
                <w:szCs w:val="11"/>
                <w:color w:val="auto"/>
              </w:rPr>
            </w:pP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9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8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-1289685</wp:posOffset>
            </wp:positionV>
            <wp:extent cx="29845" cy="1595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595120"/>
                    </a:xfrm>
                    <a:prstGeom prst="rect">
                      <a:avLst/>
                    </a:prstGeom>
                    <a:noFill/>
                  </pic:spPr>
                </pic:pic>
              </a:graphicData>
            </a:graphic>
          </wp:anchor>
        </w:drawing>
      </w:r>
    </w:p>
    <w:p>
      <w:pPr>
        <w:sectPr>
          <w:pgSz w:w="11900" w:h="16838" w:orient="portrait"/>
          <w:cols w:equalWidth="0" w:num="1">
            <w:col w:w="11080"/>
          </w:cols>
          <w:pgMar w:left="460" w:top="219" w:right="359" w:bottom="3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4055" cy="10526395"/>
                    </a:xfrm>
                    <a:prstGeom prst="rect">
                      <a:avLst/>
                    </a:prstGeom>
                    <a:noFill/>
                  </pic:spPr>
                </pic:pic>
              </a:graphicData>
            </a:graphic>
          </wp:anchor>
        </w:drawing>
        <w:t>Table II - Derivative Securities Acquired, Disposed of, or Beneficially</w:t>
      </w:r>
      <w:r>
        <w:rPr>
          <w:rFonts w:ascii="Arial" w:cs="Arial" w:eastAsia="Arial" w:hAnsi="Arial"/>
          <w:sz w:val="23"/>
          <w:szCs w:val="23"/>
          <w:b w:val="1"/>
          <w:bCs w:val="1"/>
          <w:color w:val="auto"/>
          <w:vertAlign w:val="superscript"/>
        </w:rPr>
        <w:t>Amount</w:t>
      </w:r>
      <w:r>
        <w:rPr>
          <w:rFonts w:ascii="Arial" w:cs="Arial" w:eastAsia="Arial" w:hAnsi="Arial"/>
          <w:sz w:val="17"/>
          <w:szCs w:val="17"/>
          <w:b w:val="1"/>
          <w:bCs w:val="1"/>
          <w:color w:val="auto"/>
        </w:rPr>
        <w:t xml:space="preserve"> Owned</w:t>
      </w:r>
    </w:p>
    <w:p>
      <w:pPr>
        <w:ind w:left="7340"/>
        <w:spacing w:after="0" w:line="187" w:lineRule="auto"/>
        <w:rPr>
          <w:sz w:val="20"/>
          <w:szCs w:val="20"/>
          <w:color w:val="auto"/>
        </w:rPr>
      </w:pPr>
      <w:r>
        <w:rPr>
          <w:rFonts w:ascii="Arial" w:cs="Arial" w:eastAsia="Arial" w:hAnsi="Arial"/>
          <w:sz w:val="8"/>
          <w:szCs w:val="8"/>
          <w:b w:val="1"/>
          <w:bCs w:val="1"/>
          <w:color w:val="auto"/>
        </w:rPr>
        <w:t>or</w:t>
      </w:r>
    </w:p>
    <w:p>
      <w:pPr>
        <w:jc w:val="center"/>
        <w:spacing w:after="0"/>
        <w:rPr>
          <w:sz w:val="20"/>
          <w:szCs w:val="20"/>
          <w:color w:val="auto"/>
        </w:rPr>
      </w:pPr>
      <w:r>
        <w:rPr>
          <w:rFonts w:ascii="Arial" w:cs="Arial" w:eastAsia="Arial" w:hAnsi="Arial"/>
          <w:sz w:val="17"/>
          <w:szCs w:val="17"/>
          <w:b w:val="1"/>
          <w:bCs w:val="1"/>
          <w:color w:val="auto"/>
        </w:rPr>
        <w:t xml:space="preserve">(e.g., puts, calls, warrants, options, convertible </w:t>
      </w:r>
      <w:r>
        <w:rPr>
          <w:rFonts w:ascii="Arial" w:cs="Arial" w:eastAsia="Arial" w:hAnsi="Arial"/>
          <w:sz w:val="11"/>
          <w:szCs w:val="11"/>
          <w:b w:val="1"/>
          <w:bCs w:val="1"/>
          <w:color w:val="auto"/>
        </w:rPr>
        <w:t>securities)Numb</w:t>
      </w:r>
    </w:p>
    <w:p>
      <w:pPr>
        <w:ind w:left="5400"/>
        <w:spacing w:after="0"/>
        <w:tabs>
          <w:tab w:leader="none" w:pos="6200" w:val="left"/>
          <w:tab w:leader="none" w:pos="7320"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Expiration</w:t>
      </w:r>
      <w:r>
        <w:rPr>
          <w:sz w:val="20"/>
          <w:szCs w:val="20"/>
          <w:color w:val="auto"/>
        </w:rPr>
        <w:tab/>
      </w:r>
      <w:r>
        <w:rPr>
          <w:rFonts w:ascii="Arial" w:cs="Arial" w:eastAsia="Arial" w:hAnsi="Arial"/>
          <w:sz w:val="10"/>
          <w:szCs w:val="10"/>
          <w:b w:val="1"/>
          <w:bCs w:val="1"/>
          <w:color w:val="auto"/>
        </w:rPr>
        <w:t>of</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720" w:type="dxa"/>
            <w:vAlign w:val="bottom"/>
            <w:gridSpan w:val="2"/>
          </w:tcPr>
          <w:p>
            <w:pPr>
              <w:ind w:left="60"/>
              <w:spacing w:after="0" w:line="122" w:lineRule="exact"/>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line="122" w:lineRule="exact"/>
              <w:rPr>
                <w:sz w:val="20"/>
                <w:szCs w:val="20"/>
                <w:color w:val="auto"/>
              </w:rPr>
            </w:pPr>
            <w:r>
              <w:rPr>
                <w:rFonts w:ascii="Arial" w:cs="Arial" w:eastAsia="Arial" w:hAnsi="Arial"/>
                <w:sz w:val="12"/>
                <w:szCs w:val="12"/>
                <w:b w:val="1"/>
                <w:bCs w:val="1"/>
                <w:color w:val="auto"/>
              </w:rPr>
              <w:t>2.</w:t>
            </w:r>
          </w:p>
        </w:tc>
        <w:tc>
          <w:tcPr>
            <w:tcW w:w="1180" w:type="dxa"/>
            <w:vAlign w:val="bottom"/>
            <w:gridSpan w:val="4"/>
          </w:tcPr>
          <w:p>
            <w:pPr>
              <w:ind w:left="100"/>
              <w:spacing w:after="0" w:line="122" w:lineRule="exact"/>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line="122" w:lineRule="exact"/>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89"/>
              </w:rPr>
              <w:t>4Code.</w:t>
            </w:r>
          </w:p>
        </w:tc>
        <w:tc>
          <w:tcPr>
            <w:tcW w:w="380" w:type="dxa"/>
            <w:vAlign w:val="bottom"/>
            <w:gridSpan w:val="3"/>
          </w:tcPr>
          <w:p>
            <w:pPr>
              <w:ind w:left="60"/>
              <w:spacing w:after="0" w:line="122"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80"/>
              <w:spacing w:after="0" w:line="122" w:lineRule="exact"/>
              <w:rPr>
                <w:sz w:val="20"/>
                <w:szCs w:val="20"/>
                <w:color w:val="auto"/>
              </w:rPr>
            </w:pPr>
            <w:r>
              <w:rPr>
                <w:rFonts w:ascii="Arial" w:cs="Arial" w:eastAsia="Arial" w:hAnsi="Arial"/>
                <w:sz w:val="12"/>
                <w:szCs w:val="12"/>
                <w:b w:val="1"/>
                <w:bCs w:val="1"/>
                <w:color w:val="auto"/>
                <w:w w:val="72"/>
              </w:rPr>
              <w:t>5(A).Number(D)</w:t>
            </w:r>
          </w:p>
        </w:tc>
        <w:tc>
          <w:tcPr>
            <w:tcW w:w="154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w w:val="72"/>
              </w:rPr>
              <w:t>6Exercisable.DateExercisableDate and</w:t>
            </w:r>
          </w:p>
        </w:tc>
        <w:tc>
          <w:tcPr>
            <w:tcW w:w="980" w:type="dxa"/>
            <w:vAlign w:val="bottom"/>
          </w:tcPr>
          <w:p>
            <w:pPr>
              <w:ind w:left="60"/>
              <w:spacing w:after="0" w:line="122" w:lineRule="exact"/>
              <w:rPr>
                <w:sz w:val="20"/>
                <w:szCs w:val="20"/>
                <w:color w:val="auto"/>
              </w:rPr>
            </w:pPr>
            <w:r>
              <w:rPr>
                <w:rFonts w:ascii="Arial" w:cs="Arial" w:eastAsia="Arial" w:hAnsi="Arial"/>
                <w:sz w:val="12"/>
                <w:szCs w:val="12"/>
                <w:b w:val="1"/>
                <w:bCs w:val="1"/>
                <w:color w:val="auto"/>
                <w:w w:val="72"/>
              </w:rPr>
              <w:t>7Title.Title Sharesand</w:t>
            </w:r>
          </w:p>
        </w:tc>
        <w:tc>
          <w:tcPr>
            <w:tcW w:w="72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line="122" w:lineRule="exact"/>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80"/>
              <w:spacing w:after="0" w:line="122" w:lineRule="exact"/>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76"/>
              </w:rPr>
              <w:t>Transaction</w:t>
            </w: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4"/>
          </w:tcPr>
          <w:p>
            <w:pPr>
              <w:ind w:left="100"/>
              <w:spacing w:after="0" w:line="121" w:lineRule="exact"/>
              <w:rPr>
                <w:sz w:val="20"/>
                <w:szCs w:val="20"/>
                <w:color w:val="auto"/>
              </w:rPr>
            </w:pPr>
            <w:r>
              <w:rPr>
                <w:rFonts w:ascii="Arial" w:cs="Arial" w:eastAsia="Arial" w:hAnsi="Arial"/>
                <w:sz w:val="8"/>
                <w:szCs w:val="8"/>
                <w:b w:val="1"/>
                <w:bCs w:val="1"/>
                <w:color w:val="auto"/>
              </w:rPr>
              <w:t>(Month/Day/Year)</w:t>
            </w:r>
            <w:r>
              <w:rPr>
                <w:rFonts w:ascii="Arial" w:cs="Arial" w:eastAsia="Arial" w:hAnsi="Arial"/>
                <w:sz w:val="13"/>
                <w:szCs w:val="13"/>
                <w:color w:val="auto"/>
                <w:vertAlign w:val="subscript"/>
              </w:rPr>
              <w:t>*</w:t>
            </w:r>
          </w:p>
        </w:tc>
        <w:tc>
          <w:tcPr>
            <w:tcW w:w="1100" w:type="dxa"/>
            <w:vAlign w:val="bottom"/>
          </w:tcPr>
          <w:p>
            <w:pPr>
              <w:ind w:left="40"/>
              <w:spacing w:after="0" w:line="121"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21"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660" w:type="dxa"/>
            <w:vAlign w:val="bottom"/>
            <w:gridSpan w:val="7"/>
          </w:tcPr>
          <w:p>
            <w:pPr>
              <w:ind w:left="60"/>
              <w:spacing w:after="0" w:line="80" w:lineRule="exact"/>
              <w:rPr>
                <w:sz w:val="20"/>
                <w:szCs w:val="20"/>
                <w:color w:val="auto"/>
              </w:rPr>
            </w:pPr>
            <w:r>
              <w:rPr>
                <w:rFonts w:ascii="Arial" w:cs="Arial" w:eastAsia="Arial" w:hAnsi="Arial"/>
                <w:sz w:val="9"/>
                <w:szCs w:val="9"/>
                <w:color w:val="auto"/>
              </w:rPr>
              <w:t>1. Name and Address of Reporting Person</w:t>
            </w: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20" w:type="dxa"/>
            <w:vAlign w:val="bottom"/>
            <w:gridSpan w:val="2"/>
          </w:tcPr>
          <w:p>
            <w:pPr>
              <w:ind w:left="60"/>
              <w:spacing w:after="0" w:line="54" w:lineRule="exact"/>
              <w:rPr>
                <w:sz w:val="20"/>
                <w:szCs w:val="20"/>
                <w:color w:val="auto"/>
              </w:rPr>
            </w:pPr>
            <w:r>
              <w:rPr>
                <w:rFonts w:ascii="Arial" w:cs="Arial" w:eastAsia="Arial" w:hAnsi="Arial"/>
                <w:sz w:val="6"/>
                <w:szCs w:val="6"/>
                <w:b w:val="1"/>
                <w:bCs w:val="1"/>
                <w:color w:val="auto"/>
              </w:rPr>
              <w:t>(Instr. 3)</w:t>
            </w:r>
          </w:p>
        </w:tc>
        <w:tc>
          <w:tcPr>
            <w:tcW w:w="760" w:type="dxa"/>
            <w:vAlign w:val="bottom"/>
          </w:tcPr>
          <w:p>
            <w:pPr>
              <w:ind w:left="60"/>
              <w:spacing w:after="0" w:line="54" w:lineRule="exact"/>
              <w:rPr>
                <w:sz w:val="20"/>
                <w:szCs w:val="20"/>
                <w:color w:val="auto"/>
              </w:rPr>
            </w:pPr>
            <w:r>
              <w:rPr>
                <w:rFonts w:ascii="Arial" w:cs="Arial" w:eastAsia="Arial" w:hAnsi="Arial"/>
                <w:sz w:val="6"/>
                <w:szCs w:val="6"/>
                <w:b w:val="1"/>
                <w:bCs w:val="1"/>
                <w:color w:val="auto"/>
              </w:rPr>
              <w:t>Price of</w:t>
            </w: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720" w:type="dxa"/>
            <w:vAlign w:val="bottom"/>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2"/>
                <w:szCs w:val="2"/>
                <w:color w:val="0000EE"/>
              </w:rPr>
              <w:t>COLUMN GROUP L P</w:t>
            </w: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2"/>
                <w:szCs w:val="2"/>
                <w:color w:val="auto"/>
              </w:rPr>
            </w:pPr>
          </w:p>
        </w:tc>
        <w:tc>
          <w:tcPr>
            <w:tcW w:w="9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Indirect</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ind w:left="60"/>
              <w:spacing w:after="0" w:line="121"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Derivative</w:t>
              </w:r>
            </w:hyperlink>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rFonts w:ascii="Arial" w:cs="Arial" w:eastAsia="Arial" w:hAnsi="Arial"/>
                <w:sz w:val="12"/>
                <w:szCs w:val="12"/>
                <w:b w:val="1"/>
                <w:bCs w:val="1"/>
                <w:color w:val="auto"/>
              </w:rPr>
            </w:pPr>
            <w:hyperlink r:id="rId12">
              <w:r>
                <w:rPr>
                  <w:rFonts w:ascii="Arial" w:cs="Arial" w:eastAsia="Arial" w:hAnsi="Arial"/>
                  <w:sz w:val="12"/>
                  <w:szCs w:val="12"/>
                  <w:b w:val="1"/>
                  <w:bCs w:val="1"/>
                  <w:color w:val="auto"/>
                </w:rPr>
                <w:t>Security</w:t>
              </w:r>
            </w:hyperlink>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52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01" w:lineRule="exact"/>
              <w:rPr>
                <w:sz w:val="20"/>
                <w:szCs w:val="20"/>
                <w:color w:val="auto"/>
              </w:rPr>
            </w:pPr>
            <w:r>
              <w:rPr>
                <w:rFonts w:ascii="Arial" w:cs="Arial" w:eastAsia="Arial" w:hAnsi="Arial"/>
                <w:sz w:val="11"/>
                <w:szCs w:val="11"/>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01" w:lineRule="exact"/>
              <w:rPr>
                <w:sz w:val="20"/>
                <w:szCs w:val="20"/>
                <w:color w:val="auto"/>
              </w:rPr>
            </w:pPr>
            <w:r>
              <w:rPr>
                <w:rFonts w:ascii="Arial" w:cs="Arial" w:eastAsia="Arial" w:hAnsi="Arial"/>
                <w:sz w:val="11"/>
                <w:szCs w:val="11"/>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ind w:left="80"/>
              <w:spacing w:after="0" w:line="120"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line="148" w:lineRule="exact"/>
              <w:rPr>
                <w:sz w:val="20"/>
                <w:szCs w:val="20"/>
                <w:color w:val="auto"/>
              </w:rPr>
            </w:pPr>
            <w:r>
              <w:rPr>
                <w:rFonts w:ascii="Arial" w:cs="Arial" w:eastAsia="Arial" w:hAnsi="Arial"/>
                <w:sz w:val="13"/>
                <w:szCs w:val="13"/>
                <w:color w:val="auto"/>
              </w:rPr>
              <w:t>(Last)</w:t>
            </w:r>
          </w:p>
        </w:tc>
        <w:tc>
          <w:tcPr>
            <w:tcW w:w="760" w:type="dxa"/>
            <w:vAlign w:val="bottom"/>
          </w:tcPr>
          <w:p>
            <w:pPr>
              <w:spacing w:after="0"/>
              <w:rPr>
                <w:sz w:val="12"/>
                <w:szCs w:val="12"/>
                <w:color w:val="auto"/>
              </w:rPr>
            </w:pPr>
          </w:p>
        </w:tc>
        <w:tc>
          <w:tcPr>
            <w:tcW w:w="1180" w:type="dxa"/>
            <w:vAlign w:val="bottom"/>
            <w:gridSpan w:val="4"/>
          </w:tcPr>
          <w:p>
            <w:pPr>
              <w:ind w:left="20"/>
              <w:spacing w:after="0" w:line="148" w:lineRule="exact"/>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line="148" w:lineRule="exact"/>
              <w:rPr>
                <w:sz w:val="20"/>
                <w:szCs w:val="20"/>
                <w:color w:val="auto"/>
              </w:rPr>
            </w:pPr>
            <w:r>
              <w:rPr>
                <w:rFonts w:ascii="Arial" w:cs="Arial" w:eastAsia="Arial" w:hAnsi="Arial"/>
                <w:sz w:val="13"/>
                <w:szCs w:val="13"/>
                <w:color w:val="auto"/>
              </w:rPr>
              <w:t>(Middle)</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1 LETTERMAN DRIVE</w:t>
            </w: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60" w:type="dxa"/>
            <w:vAlign w:val="bottom"/>
            <w:gridSpan w:val="6"/>
            <w:vMerge w:val="continu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40" w:type="dxa"/>
            <w:vAlign w:val="bottom"/>
            <w:tcBorders>
              <w:bottom w:val="single" w:sz="8" w:color="808080"/>
            </w:tcBorders>
          </w:tcPr>
          <w:p>
            <w:pPr>
              <w:spacing w:after="0" w:line="20" w:lineRule="exact"/>
              <w:rPr>
                <w:sz w:val="1"/>
                <w:szCs w:val="1"/>
                <w:color w:val="auto"/>
              </w:rPr>
            </w:pPr>
          </w:p>
        </w:tc>
        <w:tc>
          <w:tcPr>
            <w:tcW w:w="60" w:type="dxa"/>
            <w:vAlign w:val="bottom"/>
            <w:tcBorders>
              <w:bottom w:val="single" w:sz="8" w:color="808080"/>
            </w:tcBorders>
          </w:tcPr>
          <w:p>
            <w:pPr>
              <w:spacing w:after="0" w:line="20" w:lineRule="exact"/>
              <w:rPr>
                <w:sz w:val="1"/>
                <w:szCs w:val="1"/>
                <w:color w:val="auto"/>
              </w:rPr>
            </w:pPr>
          </w:p>
        </w:tc>
        <w:tc>
          <w:tcPr>
            <w:tcW w:w="100" w:type="dxa"/>
            <w:vAlign w:val="bottom"/>
            <w:tcBorders>
              <w:bottom w:val="single" w:sz="8" w:color="808080"/>
            </w:tcBorders>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800" w:type="dxa"/>
            <w:vAlign w:val="bottom"/>
            <w:tcBorders>
              <w:bottom w:val="single" w:sz="8" w:color="808080"/>
            </w:tcBorders>
          </w:tcPr>
          <w:p>
            <w:pPr>
              <w:spacing w:after="0" w:line="20" w:lineRule="exact"/>
              <w:rPr>
                <w:sz w:val="1"/>
                <w:szCs w:val="1"/>
                <w:color w:val="auto"/>
              </w:rPr>
            </w:pPr>
          </w:p>
        </w:tc>
        <w:tc>
          <w:tcPr>
            <w:tcW w:w="740" w:type="dxa"/>
            <w:vAlign w:val="bottom"/>
            <w:tcBorders>
              <w:bottom w:val="single" w:sz="8" w:color="808080"/>
            </w:tcBorders>
          </w:tcPr>
          <w:p>
            <w:pPr>
              <w:spacing w:after="0" w:line="20" w:lineRule="exact"/>
              <w:rPr>
                <w:sz w:val="1"/>
                <w:szCs w:val="1"/>
                <w:color w:val="auto"/>
              </w:rPr>
            </w:pPr>
          </w:p>
        </w:tc>
        <w:tc>
          <w:tcPr>
            <w:tcW w:w="980" w:type="dxa"/>
            <w:vAlign w:val="bottom"/>
            <w:tcBorders>
              <w:bottom w:val="single" w:sz="8" w:color="808080"/>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2560" w:type="dxa"/>
            <w:vAlign w:val="bottom"/>
            <w:gridSpan w:val="6"/>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highlight w:val="white"/>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44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4"/>
            <w:vMerge w:val="restart"/>
          </w:tcPr>
          <w:p>
            <w:pPr>
              <w:ind w:left="20"/>
              <w:spacing w:after="0" w:line="187" w:lineRule="exact"/>
              <w:rPr>
                <w:sz w:val="20"/>
                <w:szCs w:val="20"/>
                <w:color w:val="auto"/>
              </w:rPr>
            </w:pPr>
            <w:r>
              <w:rPr>
                <w:rFonts w:ascii="Times New Roman" w:cs="Times New Roman" w:eastAsia="Times New Roman" w:hAnsi="Times New Roman"/>
                <w:sz w:val="17"/>
                <w:szCs w:val="17"/>
                <w:color w:val="0000FF"/>
                <w:highlight w:val="white"/>
              </w:rPr>
              <w:t>CA</w:t>
            </w:r>
          </w:p>
        </w:tc>
        <w:tc>
          <w:tcPr>
            <w:tcW w:w="1100" w:type="dxa"/>
            <w:vAlign w:val="bottom"/>
            <w:vMerge w:val="restart"/>
          </w:tcPr>
          <w:p>
            <w:pPr>
              <w:ind w:left="240"/>
              <w:spacing w:after="0" w:line="187" w:lineRule="exact"/>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980" w:type="dxa"/>
            <w:vAlign w:val="bottom"/>
            <w:vMerge w:val="restart"/>
          </w:tcPr>
          <w:p>
            <w:pPr>
              <w:ind w:left="460"/>
              <w:spacing w:after="0"/>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highlight w:val="white"/>
              </w:rPr>
              <w:t>FRANCISCO</w:t>
            </w:r>
          </w:p>
        </w:tc>
        <w:tc>
          <w:tcPr>
            <w:tcW w:w="1180" w:type="dxa"/>
            <w:vAlign w:val="bottom"/>
            <w:gridSpan w:val="4"/>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380" w:type="dxa"/>
            <w:vAlign w:val="bottom"/>
            <w:tcBorders>
              <w:bottom w:val="single" w:sz="8" w:color="808080"/>
            </w:tcBorders>
            <w:gridSpan w:val="2"/>
            <w:vMerge w:val="continue"/>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110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vMerge w:val="continue"/>
          </w:tcPr>
          <w:p>
            <w:pPr>
              <w:spacing w:after="0"/>
              <w:rPr>
                <w:sz w:val="12"/>
                <w:szCs w:val="12"/>
                <w:color w:val="auto"/>
              </w:rPr>
            </w:pPr>
          </w:p>
        </w:tc>
        <w:tc>
          <w:tcPr>
            <w:tcW w:w="380" w:type="dxa"/>
            <w:vAlign w:val="bottom"/>
            <w:tcBorders>
              <w:bottom w:val="single" w:sz="8" w:color="808080"/>
            </w:tcBorders>
            <w:gridSpan w:val="3"/>
            <w:vMerge w:val="continue"/>
          </w:tcPr>
          <w:p>
            <w:pPr>
              <w:spacing w:after="0"/>
              <w:rPr>
                <w:sz w:val="12"/>
                <w:szCs w:val="12"/>
                <w:color w:val="auto"/>
              </w:rPr>
            </w:pPr>
          </w:p>
        </w:tc>
        <w:tc>
          <w:tcPr>
            <w:tcW w:w="740" w:type="dxa"/>
            <w:vAlign w:val="bottom"/>
            <w:tcBorders>
              <w:bottom w:val="single" w:sz="8" w:color="808080"/>
            </w:tcBorders>
            <w:vMerge w:val="continue"/>
          </w:tcPr>
          <w:p>
            <w:pPr>
              <w:spacing w:after="0"/>
              <w:rPr>
                <w:sz w:val="12"/>
                <w:szCs w:val="12"/>
                <w:color w:val="auto"/>
              </w:rPr>
            </w:pPr>
          </w:p>
        </w:tc>
        <w:tc>
          <w:tcPr>
            <w:tcW w:w="80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Borders>
              <w:bottom w:val="single" w:sz="8" w:color="808080"/>
            </w:tcBorders>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Borders>
              <w:bottom w:val="single" w:sz="8" w:color="808080"/>
            </w:tcBorders>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COLUMN GROUP GP,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COLUMN GROUP III,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0000EE"/>
            </w:tcBorders>
            <w:gridSpan w:val="6"/>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COLUMN GROUP III-A,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1700 OWENS STREET</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500</w:t>
            </w: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94158</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3"/>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720" w:type="dxa"/>
            <w:vAlign w:val="bottom"/>
          </w:tcPr>
          <w:p>
            <w:pPr>
              <w:spacing w:after="0"/>
              <w:rPr>
                <w:sz w:val="7"/>
                <w:szCs w:val="7"/>
                <w:color w:val="auto"/>
              </w:rPr>
            </w:pPr>
          </w:p>
        </w:tc>
        <w:tc>
          <w:tcPr>
            <w:tcW w:w="9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Column Group IV,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760" w:type="dxa"/>
            <w:vAlign w:val="bottom"/>
          </w:tcPr>
          <w:p>
            <w:pPr>
              <w:spacing w:after="0"/>
              <w:rPr>
                <w:sz w:val="19"/>
                <w:szCs w:val="19"/>
                <w:color w:val="auto"/>
              </w:rPr>
            </w:pPr>
          </w:p>
        </w:tc>
        <w:tc>
          <w:tcPr>
            <w:tcW w:w="11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94129</w:t>
            </w: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4"/>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98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73" w:right="359" w:bottom="0" w:gutter="0" w:footer="0" w:header="0"/>
        </w:sectPr>
      </w:pPr>
    </w:p>
    <w:p>
      <w:pPr>
        <w:ind w:left="12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Column Group IV-A, LP</w:t>
        </w:r>
      </w:hyperlink>
    </w:p>
    <w:p>
      <w:pPr>
        <w:sectPr>
          <w:pgSz w:w="11900" w:h="16838" w:orient="portrait"/>
          <w:cols w:equalWidth="0" w:num="1">
            <w:col w:w="11080"/>
          </w:cols>
          <w:pgMar w:left="460" w:top="73" w:right="35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Column Group IV GP,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4"/>
          </w:tcPr>
          <w:p>
            <w:pPr>
              <w:spacing w:after="0" w:line="227" w:lineRule="exact"/>
              <w:rPr>
                <w:rFonts w:ascii="Times New Roman" w:cs="Times New Roman" w:eastAsia="Times New Roman" w:hAnsi="Times New Roman"/>
                <w:sz w:val="21"/>
                <w:szCs w:val="21"/>
                <w:color w:val="0000EE"/>
              </w:rPr>
            </w:pPr>
            <w:hyperlink r:id="rId22">
              <w:r>
                <w:rPr>
                  <w:rFonts w:ascii="Times New Roman" w:cs="Times New Roman" w:eastAsia="Times New Roman" w:hAnsi="Times New Roman"/>
                  <w:sz w:val="21"/>
                  <w:szCs w:val="21"/>
                  <w:color w:val="0000EE"/>
                </w:rPr>
                <w:t>TCG 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100" w:type="dxa"/>
            <w:vAlign w:val="bottom"/>
          </w:tcPr>
          <w:p>
            <w:pPr>
              <w:spacing w:after="0"/>
              <w:rPr>
                <w:sz w:val="24"/>
                <w:szCs w:val="24"/>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 LETTERMAN DRIVE</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2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BUILDING D, SUITE DM-900</w:t>
            </w: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7"/>
                <w:szCs w:val="17"/>
                <w:color w:val="0000FF"/>
              </w:rPr>
              <w:t>SAN</w:t>
            </w:r>
          </w:p>
        </w:tc>
        <w:tc>
          <w:tcPr>
            <w:tcW w:w="14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1460" w:type="dxa"/>
            <w:vAlign w:val="bottom"/>
            <w:gridSpan w:val="3"/>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460" w:type="dxa"/>
            <w:vAlign w:val="bottom"/>
            <w:gridSpan w:val="3"/>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351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535178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$10.62 to $11.35,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(1) to this Form 4.</w:t>
      </w:r>
    </w:p>
    <w:p>
      <w:pPr>
        <w:spacing w:after="0" w:line="20" w:lineRule="exact"/>
        <w:rPr>
          <w:rFonts w:ascii="Times New Roman" w:cs="Times New Roman" w:eastAsia="Times New Roman" w:hAnsi="Times New Roman"/>
          <w:sz w:val="13"/>
          <w:szCs w:val="13"/>
          <w:color w:val="008000"/>
        </w:rPr>
      </w:pPr>
    </w:p>
    <w:p>
      <w:pPr>
        <w:ind w:left="20" w:right="2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 LP ("TCG IV LP"). The Column Group IV GP, LP ("TCG IV GP LP") is the general partner of TCG IV LP and may be deemed to have voting and investment power with respect to these securities. TCG IV GP LLC ("TCG IV LLC") is the general partner of TCG IV GP LP and the ultimate general partner of TCG IV LP and may be deemed to have voting and investment power with respect to these securities. The managing members of TCG IV LLC are David Goeddel, a member of the issuer's board of directors, Peter Svennilson and Tim Kutzkey (collectively,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jc w:val="both"/>
        <w:ind w:left="20" w:right="24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IV-A, LP ("TCG IV-A LP"). The Column Group IV GP, LP ("TCG IV GP LP") is the general partner of TCG IV-A LP and may be deemed to have voting and investment power with respect to these securities. TCG IV LLC is the general partner of TCG IV GP LP and the ultimate general partner of TCG IV-A LP and may be deemed to have voting and investment power with respect to these securities. The managing members of TCG IV LLC are the TCG IV Managing Members. The TCG IV Managing Members may be deemed to share voting and investment power with respect to such securities. TCG IV GP LP, TCG IV LLC and each of the TCG IV Managing Members disclaim beneficial ownership of these securities, except to the extent of their respective pecuniary interest in such securities.</w:t>
      </w:r>
    </w:p>
    <w:p>
      <w:pPr>
        <w:spacing w:after="0" w:line="26" w:lineRule="exact"/>
        <w:rPr>
          <w:rFonts w:ascii="Times New Roman" w:cs="Times New Roman" w:eastAsia="Times New Roman" w:hAnsi="Times New Roman"/>
          <w:sz w:val="13"/>
          <w:szCs w:val="13"/>
          <w:color w:val="008000"/>
        </w:rPr>
      </w:pPr>
    </w:p>
    <w:p>
      <w:pPr>
        <w:ind w:left="20" w:right="1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at prices ranging from $10.91 to $11.90, inclusive. The Reporting Person undertakes to provide to the Issuer, any security holder of the Issuer or the staff of the Securities Exchange Commission, upon request, full information regarding the number of securities purchased at each separate price within the ranges set forth in this footnote (4) to this Form 4.</w:t>
      </w:r>
    </w:p>
    <w:p>
      <w:pPr>
        <w:spacing w:after="0" w:line="20" w:lineRule="exact"/>
        <w:rPr>
          <w:rFonts w:ascii="Times New Roman" w:cs="Times New Roman" w:eastAsia="Times New Roman" w:hAnsi="Times New Roman"/>
          <w:sz w:val="13"/>
          <w:szCs w:val="13"/>
          <w:color w:val="008000"/>
        </w:rPr>
      </w:pPr>
    </w:p>
    <w:p>
      <w:pPr>
        <w:ind w:left="20" w:right="10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LP ("TCG LP").The Column Group GP, LP ("TCG GP") is the general partner of TCG LP and may be deemed to have voting and investment power with respect to these securities. The managing partners of TCG GP are David Goeddel, a member of the issuer's board of directors and Peter Svennilson (the "TCG Managing Partners"). The TCG Managing Partners may be deemed to share voting and investment power with respect to such securities. TCG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 LP ("TCG III LP"). The Column Group III GP, LP ("TCG III GP") is the general partner of TCG III LP and may be deemed to have voting and investment power with respect to these securities. The managing partners of TCG III GP are David Goeddel, a member of the issuer's board of directors, Peter Svennilson and Tim Kutzkey (collectively, the "TCG III Managing Partners"). The TCG III GP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18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III-A, LP ("TCG III-A LP"). TCG III GP is the general partner of TCG III-A LP and may be deemed to have voting and investment power with respect to these securities. The managing partners of TCG III GP are the TCG III GP Managing Partners. The TCG III Managing Partners may be deemed to share voting and investment power with respect to such securities. TCG III GP and each of the TCG III Managing Partners disclaim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II, LP ("TCG II LP"). The Column Group II GP LP ("TCG II GP") is the general partner of TCG II LP and may be deemed to have voting and investment power with respect to these securities. The managing partners of TCG II GP are the TCG Managing Partners. The TCG Managing Partners may be deemed to share voting and investment power with respect to such securities. TCG II GP and each of the TCG Managing Partners disclaim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40" w:firstLine="7"/>
        <w:spacing w:after="0" w:line="248"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LP ("Ponoi LP"). Ponoi Management, LLC ("Ponoi LLC") is the general partner of Ponoi LP and may be deemed to have voting and investment power with respect to these securities. The managing members of Ponoi LLC are the Ponoi Managing Partners. The TCG III Managing Partners may be deemed to share voting and investment power with respect to such securities. Ponoi LLC and the each of the TCG III Managing Partners disclaims beneficial ownership of these securities, except to the extent of their respective pecuniary interest in such securities.</w:t>
      </w:r>
    </w:p>
    <w:p>
      <w:pPr>
        <w:spacing w:after="0" w:line="176" w:lineRule="exact"/>
        <w:rPr>
          <w:rFonts w:ascii="Times New Roman" w:cs="Times New Roman" w:eastAsia="Times New Roman" w:hAnsi="Times New Roman"/>
          <w:sz w:val="13"/>
          <w:szCs w:val="13"/>
          <w:color w:val="008000"/>
        </w:rPr>
      </w:pPr>
    </w:p>
    <w:p>
      <w:pPr>
        <w:ind w:left="20" w:right="20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Ponoi Capital II, LP ("Ponoi II LP"). Ponoi II Management, LLC ("Ponoi II LLC") is the general partner of Ponoi II LP and may be deemed to have voting and investment power with respect to these securities. The managing members of Ponoi II LLC are the TCG III Managing Partners. The TCG III Managing Partners may be deemed to share voting and investment power with respect to such securities. Ponoi II LLC and the each of the TCG III Managing Partners disclaims beneficial ownership of these securities, except to the extent of their respective pecuniary interest in such securities.</w:t>
      </w:r>
    </w:p>
    <w:p>
      <w:pPr>
        <w:spacing w:after="0" w:line="24"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21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TCG GP. The managing partners of TCG GP are the TCG Managing Partners. The TCG Managing Partners may be deemed to share voting and investment power with respect to such securities. Each of the TCG Managing Partners disclaim beneficial ownership of these securities, except to the extent of their respective pecuniary interest in such securities.</w:t>
      </w:r>
    </w:p>
    <w:p>
      <w:pPr>
        <w:spacing w:after="0" w:line="7"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The Column Group Management LP ("TCGM LP"). The managing partners of TCGM LP are the TCG Managing Partners. The TCG Managing Partners may be</w:t>
      </w:r>
    </w:p>
    <w:p>
      <w:pPr>
        <w:spacing w:after="0" w:line="11" w:lineRule="exact"/>
        <w:rPr>
          <w:rFonts w:ascii="Times New Roman" w:cs="Times New Roman" w:eastAsia="Times New Roman" w:hAnsi="Times New Roman"/>
          <w:sz w:val="13"/>
          <w:szCs w:val="13"/>
          <w:color w:val="008000"/>
        </w:rPr>
      </w:pPr>
    </w:p>
    <w:p>
      <w:pPr>
        <w:ind w:left="20" w:right="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deemed to share voting and investment power with respect to such securities. Each of the TCG Managing Partners disclaim beneficial ownership of these securities, except to the extent of their respective pecuniary interest in such securities.</w:t>
      </w:r>
    </w:p>
    <w:p>
      <w:pPr>
        <w:spacing w:after="0" w:line="21"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solely by Tim Kutzkey.</w:t>
      </w:r>
    </w:p>
    <w:p>
      <w:pPr>
        <w:spacing w:after="0" w:line="50" w:lineRule="exact"/>
        <w:rPr>
          <w:rFonts w:ascii="Times New Roman" w:cs="Times New Roman" w:eastAsia="Times New Roman" w:hAnsi="Times New Roman"/>
          <w:sz w:val="13"/>
          <w:szCs w:val="13"/>
          <w:color w:val="008000"/>
        </w:rPr>
      </w:pPr>
    </w:p>
    <w:p>
      <w:pPr>
        <w:ind w:left="220" w:hanging="193"/>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directly held by Peter Svennilson.</w:t>
      </w:r>
    </w:p>
    <w:p>
      <w:pPr>
        <w:sectPr>
          <w:pgSz w:w="11900" w:h="16838" w:orient="portrait"/>
          <w:cols w:equalWidth="0" w:num="1">
            <w:col w:w="10920"/>
          </w:cols>
          <w:pgMar w:left="480" w:top="300" w:right="499" w:bottom="0" w:gutter="0" w:footer="0" w:header="0"/>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0920"/>
          </w:cols>
          <w:pgMar w:left="480" w:top="300" w:right="4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3"/>
          <w:szCs w:val="13"/>
          <w:color w:val="008000"/>
        </w:rPr>
        <w:t>Due to SEC restrictions on the number of reporting owners, this is Form 2 of 2.</w:t>
      </w:r>
    </w:p>
    <w:p>
      <w:pPr>
        <w:sectPr>
          <w:pgSz w:w="11900" w:h="16838" w:orient="portrait"/>
          <w:cols w:equalWidth="0" w:num="1">
            <w:col w:w="10180"/>
          </w:cols>
          <w:pgMar w:left="500" w:top="127" w:right="1219" w:bottom="1440" w:gutter="0" w:footer="0" w:header="0"/>
        </w:sectPr>
      </w:pP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20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563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95631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25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0725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III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245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12458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62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87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Column Group IV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03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1303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James Evangelista,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877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10877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TCG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617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759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7592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05/11/2022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40" w:space="200"/>
            <w:col w:w="1440"/>
          </w:cols>
          <w:pgMar w:left="500" w:top="127" w:right="12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12" Type="http://schemas.openxmlformats.org/officeDocument/2006/relationships/hyperlink" Target="http://www.sec.gov/cgi-bin/browse-edgar?action=getcompany&amp;CIK=0001347769" TargetMode="External"/><Relationship Id="rId13" Type="http://schemas.openxmlformats.org/officeDocument/2006/relationships/hyperlink" Target="http://www.sec.gov/cgi-bin/browse-edgar?action=getcompany&amp;CIK=0001426332" TargetMode="External"/><Relationship Id="rId16" Type="http://schemas.openxmlformats.org/officeDocument/2006/relationships/hyperlink" Target="http://www.sec.gov/cgi-bin/browse-edgar?action=getcompany&amp;CIK=0001614627" TargetMode="External"/><Relationship Id="rId17" Type="http://schemas.openxmlformats.org/officeDocument/2006/relationships/hyperlink" Target="http://www.sec.gov/cgi-bin/browse-edgar?action=getcompany&amp;CIK=0001668159" TargetMode="External"/><Relationship Id="rId18" Type="http://schemas.openxmlformats.org/officeDocument/2006/relationships/hyperlink" Target="http://www.sec.gov/cgi-bin/browse-edgar?action=getcompany&amp;CIK=0001668085" TargetMode="External"/><Relationship Id="rId19" Type="http://schemas.openxmlformats.org/officeDocument/2006/relationships/hyperlink" Target="http://www.sec.gov/cgi-bin/browse-edgar?action=getcompany&amp;CIK=0001796354" TargetMode="External"/><Relationship Id="rId20" Type="http://schemas.openxmlformats.org/officeDocument/2006/relationships/hyperlink" Target="http://www.sec.gov/cgi-bin/browse-edgar?action=getcompany&amp;CIK=0001796353" TargetMode="External"/><Relationship Id="rId21" Type="http://schemas.openxmlformats.org/officeDocument/2006/relationships/hyperlink" Target="http://www.sec.gov/cgi-bin/browse-edgar?action=getcompany&amp;CIK=0001796356" TargetMode="External"/><Relationship Id="rId22" Type="http://schemas.openxmlformats.org/officeDocument/2006/relationships/hyperlink" Target="http://www.sec.gov/cgi-bin/browse-edgar?action=getcompany&amp;CIK=00017963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2022-05-11T17:16:50Z</dcterms:created>
  <dcterms:modified xsi:type="dcterms:W3CDTF">2022-05-11T17:16:50Z</dcterms:modified>
</cp:coreProperties>
</file>