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6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1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-173355</wp:posOffset>
            </wp:positionV>
            <wp:extent cx="8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60" w:type="dxa"/>
            <w:vAlign w:val="bottom"/>
          </w:tcPr>
          <w:p>
            <w:pPr>
              <w:jc w:val="center"/>
              <w:ind w:right="1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13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11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60" w:type="dxa"/>
            <w:vAlign w:val="bottom"/>
            <w:vMerge w:val="restart"/>
          </w:tcPr>
          <w:p>
            <w:pPr>
              <w:jc w:val="center"/>
              <w:ind w:right="1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5414645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-608330</wp:posOffset>
            </wp:positionV>
            <wp:extent cx="126936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-1506220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140" w:space="240"/>
            <w:col w:w="870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COLUMN GROUP L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1700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4">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07/28/2020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4" w:lineRule="exact"/>
        <w:rPr>
          <w:sz w:val="24"/>
          <w:szCs w:val="24"/>
          <w:color w:val="auto"/>
        </w:rPr>
      </w:pPr>
    </w:p>
    <w:p>
      <w:pPr>
        <w:sectPr>
          <w:pgSz w:w="11900" w:h="16838" w:orient="portrait"/>
          <w:cols w:equalWidth="0" w:num="3">
            <w:col w:w="3200" w:space="720"/>
            <w:col w:w="3540" w:space="275"/>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9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80" w:type="dxa"/>
            <w:vAlign w:val="bottom"/>
            <w:tcBorders>
              <w:top w:val="single" w:sz="8" w:color="2C2C2C"/>
              <w:bottom w:val="single" w:sz="8" w:color="2C2C2C"/>
            </w:tcBorders>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bottom w:val="single" w:sz="8" w:color="2C2C2C"/>
            </w:tcBorders>
            <w:gridSpan w:val="8"/>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9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10"/>
            <w:vMerge w:val="continue"/>
          </w:tcPr>
          <w:p>
            <w:pPr>
              <w:spacing w:after="0" w:line="20" w:lineRule="exact"/>
              <w:rPr>
                <w:sz w:val="1"/>
                <w:szCs w:val="1"/>
                <w:color w:val="auto"/>
              </w:rPr>
            </w:pPr>
          </w:p>
        </w:tc>
        <w:tc>
          <w:tcPr>
            <w:tcW w:w="3640" w:type="dxa"/>
            <w:vAlign w:val="bottom"/>
            <w:gridSpan w:val="8"/>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80" w:type="dxa"/>
            <w:vAlign w:val="bottom"/>
            <w:gridSpan w:val="10"/>
            <w:vMerge w:val="continue"/>
          </w:tcPr>
          <w:p>
            <w:pPr>
              <w:spacing w:after="0"/>
              <w:rPr>
                <w:sz w:val="12"/>
                <w:szCs w:val="12"/>
                <w:color w:val="auto"/>
              </w:rPr>
            </w:pPr>
          </w:p>
        </w:tc>
        <w:tc>
          <w:tcPr>
            <w:tcW w:w="3640" w:type="dxa"/>
            <w:vAlign w:val="bottom"/>
            <w:gridSpan w:val="8"/>
            <w:vMerge w:val="continue"/>
          </w:tcPr>
          <w:p>
            <w:pPr>
              <w:spacing w:after="0"/>
              <w:rPr>
                <w:sz w:val="12"/>
                <w:szCs w:val="12"/>
                <w:color w:val="auto"/>
              </w:rPr>
            </w:pPr>
          </w:p>
        </w:tc>
        <w:tc>
          <w:tcPr>
            <w:tcW w:w="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gridSpan w:val="3"/>
            <w:vMerge w:val="restart"/>
          </w:tcPr>
          <w:p>
            <w:pPr>
              <w:ind w:left="4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rPr>
              <w:t>FRANCISCO</w:t>
            </w: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restart"/>
          </w:tcPr>
          <w:p>
            <w:pPr>
              <w:spacing w:after="0"/>
              <w:rPr>
                <w:sz w:val="20"/>
                <w:szCs w:val="20"/>
                <w:color w:val="auto"/>
              </w:rPr>
            </w:pPr>
            <w:r>
              <w:rPr>
                <w:rFonts w:ascii="Arial" w:cs="Arial" w:eastAsia="Arial" w:hAnsi="Arial"/>
                <w:sz w:val="17"/>
                <w:szCs w:val="17"/>
                <w:color w:val="0000FF"/>
                <w:w w:val="87"/>
              </w:rPr>
              <w:t>X</w:t>
            </w: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30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108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640" w:type="dxa"/>
            <w:vAlign w:val="bottom"/>
            <w:tcBorders>
              <w:top w:val="single" w:sz="8" w:color="2C2C2C"/>
            </w:tcBorders>
            <w:gridSpan w:val="19"/>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jc w:val="center"/>
              <w:ind w:left="9"/>
              <w:spacing w:after="0" w:line="131" w:lineRule="exact"/>
              <w:rPr>
                <w:sz w:val="20"/>
                <w:szCs w:val="20"/>
                <w:color w:val="auto"/>
              </w:rPr>
            </w:pPr>
            <w:r>
              <w:rPr>
                <w:rFonts w:ascii="Arial" w:cs="Arial" w:eastAsia="Arial" w:hAnsi="Arial"/>
                <w:sz w:val="12"/>
                <w:szCs w:val="12"/>
                <w:b w:val="1"/>
                <w:bCs w:val="1"/>
                <w:color w:val="auto"/>
                <w:w w:val="99"/>
              </w:rPr>
              <w:t>Date</w:t>
            </w:r>
          </w:p>
        </w:tc>
        <w:tc>
          <w:tcPr>
            <w:tcW w:w="300" w:type="dxa"/>
            <w:vAlign w:val="bottom"/>
          </w:tcPr>
          <w:p>
            <w:pPr>
              <w:spacing w:after="0"/>
              <w:rPr>
                <w:sz w:val="11"/>
                <w:szCs w:val="11"/>
                <w:color w:val="auto"/>
              </w:rPr>
            </w:pPr>
          </w:p>
        </w:tc>
        <w:tc>
          <w:tcPr>
            <w:tcW w:w="114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11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Form: Direct (D)</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720" w:type="dxa"/>
            <w:vAlign w:val="bottom"/>
            <w:gridSpan w:val="4"/>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4"/>
          </w:tcPr>
          <w:p>
            <w:pPr>
              <w:ind w:left="720"/>
              <w:spacing w:after="0"/>
              <w:rPr>
                <w:sz w:val="20"/>
                <w:szCs w:val="20"/>
                <w:color w:val="auto"/>
              </w:rPr>
            </w:pPr>
            <w:r>
              <w:rPr>
                <w:rFonts w:ascii="Arial" w:cs="Arial" w:eastAsia="Arial" w:hAnsi="Arial"/>
                <w:sz w:val="17"/>
                <w:szCs w:val="17"/>
                <w:color w:val="0000FF"/>
              </w:rPr>
              <w:t>07/28/2020</w:t>
            </w: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P</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4,105</w:t>
            </w:r>
            <w:r>
              <w:rPr>
                <w:rFonts w:ascii="Arial" w:cs="Arial" w:eastAsia="Arial" w:hAnsi="Arial"/>
                <w:sz w:val="22"/>
                <w:szCs w:val="22"/>
                <w:color w:val="008000"/>
                <w:vertAlign w:val="superscript"/>
              </w:rPr>
              <w:t>(1)</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17.99</w:t>
            </w: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jc w:val="center"/>
              <w:ind w:right="80"/>
              <w:spacing w:after="0"/>
              <w:rPr>
                <w:sz w:val="20"/>
                <w:szCs w:val="20"/>
                <w:color w:val="auto"/>
              </w:rPr>
            </w:pPr>
            <w:r>
              <w:rPr>
                <w:rFonts w:ascii="Arial" w:cs="Arial" w:eastAsia="Arial" w:hAnsi="Arial"/>
                <w:sz w:val="17"/>
                <w:szCs w:val="17"/>
                <w:color w:val="0000FF"/>
                <w:w w:val="92"/>
              </w:rPr>
              <w:t>1,616,952</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4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jc w:val="center"/>
              <w:ind w:right="80"/>
              <w:spacing w:after="0"/>
              <w:rPr>
                <w:sz w:val="20"/>
                <w:szCs w:val="20"/>
                <w:color w:val="auto"/>
              </w:rPr>
            </w:pPr>
            <w:r>
              <w:rPr>
                <w:rFonts w:ascii="Arial" w:cs="Arial" w:eastAsia="Arial" w:hAnsi="Arial"/>
                <w:sz w:val="17"/>
                <w:szCs w:val="17"/>
                <w:color w:val="0000FF"/>
                <w:w w:val="87"/>
              </w:rPr>
              <w:t>16,166,907</w:t>
            </w:r>
            <w:r>
              <w:rPr>
                <w:rFonts w:ascii="Arial" w:cs="Arial" w:eastAsia="Arial" w:hAnsi="Arial"/>
                <w:sz w:val="22"/>
                <w:szCs w:val="22"/>
                <w:color w:val="008000"/>
                <w:w w:val="87"/>
                <w:vertAlign w:val="superscript"/>
              </w:rPr>
              <w:t>(4)</w:t>
            </w:r>
          </w:p>
        </w:tc>
        <w:tc>
          <w:tcPr>
            <w:tcW w:w="1120" w:type="dxa"/>
            <w:vAlign w:val="bottom"/>
            <w:tcBorders>
              <w:bottom w:val="single" w:sz="8" w:color="2C2C2C"/>
            </w:tcBorders>
            <w:gridSpan w:val="2"/>
          </w:tcPr>
          <w:p>
            <w:pPr>
              <w:ind w:left="4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(5)(6)(7)(8)(9)(10)</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jc w:val="center"/>
              <w:ind w:right="80"/>
              <w:spacing w:after="0"/>
              <w:rPr>
                <w:sz w:val="20"/>
                <w:szCs w:val="20"/>
                <w:color w:val="auto"/>
              </w:rPr>
            </w:pPr>
            <w:r>
              <w:rPr>
                <w:rFonts w:ascii="Arial" w:cs="Arial" w:eastAsia="Arial" w:hAnsi="Arial"/>
                <w:sz w:val="17"/>
                <w:szCs w:val="17"/>
                <w:color w:val="0000FF"/>
                <w:w w:val="88"/>
              </w:rPr>
              <w:t>15,000</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8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jc w:val="center"/>
              <w:ind w:right="80"/>
              <w:spacing w:after="0"/>
              <w:rPr>
                <w:sz w:val="20"/>
                <w:szCs w:val="20"/>
                <w:color w:val="auto"/>
              </w:rPr>
            </w:pPr>
            <w:r>
              <w:rPr>
                <w:rFonts w:ascii="Arial" w:cs="Arial" w:eastAsia="Arial" w:hAnsi="Arial"/>
                <w:sz w:val="17"/>
                <w:szCs w:val="17"/>
                <w:color w:val="0000FF"/>
                <w:w w:val="88"/>
              </w:rPr>
              <w:t>44,000</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8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7"/>
                <w:szCs w:val="17"/>
                <w:color w:val="0000FF"/>
                <w:w w:val="91"/>
              </w:rPr>
              <w:t>190,000</w:t>
            </w:r>
          </w:p>
        </w:tc>
        <w:tc>
          <w:tcPr>
            <w:tcW w:w="280" w:type="dxa"/>
            <w:vAlign w:val="bottom"/>
          </w:tcPr>
          <w:p>
            <w:pPr>
              <w:spacing w:after="0"/>
              <w:rPr>
                <w:sz w:val="22"/>
                <w:szCs w:val="22"/>
                <w:color w:val="auto"/>
              </w:rPr>
            </w:pPr>
          </w:p>
        </w:tc>
        <w:tc>
          <w:tcPr>
            <w:tcW w:w="840" w:type="dxa"/>
            <w:vAlign w:val="bottom"/>
            <w:vMerge w:val="restart"/>
          </w:tcPr>
          <w:p>
            <w:pPr>
              <w:ind w:left="20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7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8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jc w:val="center"/>
              <w:ind w:left="9"/>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(Instr. 4)</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3760" w:type="dxa"/>
            <w:vAlign w:val="bottom"/>
            <w:tcBorders>
              <w:bottom w:val="single" w:sz="8" w:color="2C2C2C"/>
            </w:tcBorders>
            <w:gridSpan w:val="7"/>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COLUMN GROUP L P</w:t>
              </w:r>
            </w:hyperlink>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jc w:val="center"/>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1700 OWENS STREET</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restart"/>
          </w:tcPr>
          <w:p>
            <w:pPr>
              <w:ind w:left="2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jc w:val="center"/>
              <w:ind w:left="29"/>
              <w:spacing w:after="0"/>
              <w:rPr>
                <w:sz w:val="20"/>
                <w:szCs w:val="20"/>
                <w:color w:val="auto"/>
              </w:rPr>
            </w:pPr>
            <w:r>
              <w:rPr>
                <w:rFonts w:ascii="Arial" w:cs="Arial" w:eastAsia="Arial" w:hAnsi="Arial"/>
                <w:sz w:val="17"/>
                <w:szCs w:val="17"/>
                <w:color w:val="0000FF"/>
                <w:w w:val="92"/>
              </w:rPr>
              <w:t>94158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2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820" w:type="dxa"/>
            <w:vAlign w:val="bottom"/>
            <w:tcBorders>
              <w:bottom w:val="single" w:sz="8" w:color="2C2C2C"/>
            </w:tcBorders>
            <w:gridSpan w:val="8"/>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COLUMN GROUP III, LP</w:t>
              </w:r>
            </w:hyperlink>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jc w:val="center"/>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-6506210</wp:posOffset>
            </wp:positionV>
            <wp:extent cx="7031355" cy="7412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031355" cy="7412355"/>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1700 OWENS STREET</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SUITE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109855</wp:posOffset>
            </wp:positionV>
            <wp:extent cx="26485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pacing w:after="0" w:line="28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p>
      <w:pPr>
        <w:spacing w:after="0" w:line="2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7"/>
          <w:szCs w:val="17"/>
          <w:color w:val="0000FF"/>
        </w:rPr>
        <w:t>SAN</w:t>
      </w:r>
      <w:r>
        <w:rPr>
          <w:sz w:val="20"/>
          <w:szCs w:val="20"/>
          <w:color w:val="auto"/>
        </w:rPr>
        <w:tab/>
      </w:r>
      <w:r>
        <w:rPr>
          <w:rFonts w:ascii="Arial" w:cs="Arial" w:eastAsia="Arial" w:hAnsi="Arial"/>
          <w:sz w:val="17"/>
          <w:szCs w:val="17"/>
          <w:color w:val="0000FF"/>
        </w:rPr>
        <w:t>CA</w:t>
      </w:r>
      <w:r>
        <w:rPr>
          <w:sz w:val="20"/>
          <w:szCs w:val="20"/>
          <w:color w:val="auto"/>
        </w:rPr>
        <w:tab/>
      </w:r>
      <w:r>
        <w:rPr>
          <w:rFonts w:ascii="Arial" w:cs="Arial" w:eastAsia="Arial" w:hAnsi="Arial"/>
          <w:sz w:val="15"/>
          <w:szCs w:val="15"/>
          <w:color w:val="0000FF"/>
        </w:rPr>
        <w:t>94158</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0000FF"/>
        </w:rPr>
        <w:t>FRANCISCO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-118110</wp:posOffset>
            </wp:positionV>
            <wp:extent cx="2783840" cy="8190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783840" cy="8190865"/>
                    </a:xfrm>
                    <a:prstGeom prst="rect">
                      <a:avLst/>
                    </a:prstGeom>
                    <a:noFill/>
                  </pic:spPr>
                </pic:pic>
              </a:graphicData>
            </a:graphic>
          </wp:anchor>
        </w:drawing>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720" w:type="dxa"/>
            <w:vAlign w:val="bottom"/>
            <w:tcBorders>
              <w:bottom w:val="single" w:sz="8" w:color="2C2C2C"/>
            </w:tcBorders>
            <w:gridSpan w:val="2"/>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20" w:type="dxa"/>
            <w:vAlign w:val="bottom"/>
            <w:gridSpan w:val="2"/>
          </w:tcPr>
          <w:p>
            <w:pPr>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COLUMN GROUP III-A, LP</w:t>
              </w:r>
            </w:hyperlink>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0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2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440" w:type="dxa"/>
            <w:vAlign w:val="bottom"/>
            <w:vMerge w:val="restart"/>
          </w:tcPr>
          <w:p>
            <w:pPr>
              <w:ind w:left="8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720" w:type="dxa"/>
            <w:vAlign w:val="bottom"/>
            <w:tcBorders>
              <w:bottom w:val="single" w:sz="8" w:color="2C2C2C"/>
            </w:tcBorders>
            <w:gridSpan w:val="2"/>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20" w:type="dxa"/>
            <w:vAlign w:val="bottom"/>
            <w:gridSpan w:val="2"/>
          </w:tcPr>
          <w:p>
            <w:pPr>
              <w:spacing w:after="0"/>
              <w:rPr>
                <w:rFonts w:ascii="Arial" w:cs="Arial" w:eastAsia="Arial" w:hAnsi="Arial"/>
                <w:sz w:val="21"/>
                <w:szCs w:val="21"/>
                <w:u w:val="single" w:color="auto"/>
                <w:color w:val="0000EE"/>
                <w:w w:val="99"/>
              </w:rPr>
            </w:pPr>
            <w:hyperlink r:id="rId20">
              <w:r>
                <w:rPr>
                  <w:rFonts w:ascii="Arial" w:cs="Arial" w:eastAsia="Arial" w:hAnsi="Arial"/>
                  <w:sz w:val="21"/>
                  <w:szCs w:val="21"/>
                  <w:u w:val="single" w:color="auto"/>
                  <w:color w:val="0000EE"/>
                  <w:w w:val="99"/>
                </w:rPr>
                <w:t>COLUMN GROUP III GP, LP</w:t>
              </w:r>
            </w:hyperlink>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0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2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440" w:type="dxa"/>
            <w:vAlign w:val="bottom"/>
            <w:vMerge w:val="restart"/>
          </w:tcPr>
          <w:p>
            <w:pPr>
              <w:ind w:left="8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820" w:type="dxa"/>
            <w:vAlign w:val="bottom"/>
            <w:tcBorders>
              <w:bottom w:val="single" w:sz="8" w:color="2C2C2C"/>
            </w:tcBorders>
            <w:gridSpan w:val="3"/>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20" w:type="dxa"/>
            <w:vAlign w:val="bottom"/>
            <w:gridSpan w:val="2"/>
          </w:tcPr>
          <w:p>
            <w:pPr>
              <w:spacing w:after="0"/>
              <w:rPr>
                <w:rFonts w:ascii="Arial" w:cs="Arial" w:eastAsia="Arial" w:hAnsi="Arial"/>
                <w:sz w:val="21"/>
                <w:szCs w:val="21"/>
                <w:u w:val="single" w:color="auto"/>
                <w:color w:val="0000EE"/>
              </w:rPr>
            </w:pPr>
            <w:hyperlink r:id="rId21">
              <w:r>
                <w:rPr>
                  <w:rFonts w:ascii="Arial" w:cs="Arial" w:eastAsia="Arial" w:hAnsi="Arial"/>
                  <w:sz w:val="21"/>
                  <w:szCs w:val="21"/>
                  <w:u w:val="single" w:color="auto"/>
                  <w:color w:val="0000EE"/>
                </w:rPr>
                <w:t>GOEDDEL DAVID V</w:t>
              </w:r>
            </w:hyperlink>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0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2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440" w:type="dxa"/>
            <w:vAlign w:val="bottom"/>
            <w:vMerge w:val="restart"/>
          </w:tcPr>
          <w:p>
            <w:pPr>
              <w:ind w:left="8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820" w:type="dxa"/>
            <w:vAlign w:val="bottom"/>
            <w:tcBorders>
              <w:bottom w:val="single" w:sz="8" w:color="2C2C2C"/>
            </w:tcBorders>
            <w:gridSpan w:val="3"/>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20" w:type="dxa"/>
            <w:vAlign w:val="bottom"/>
            <w:gridSpan w:val="2"/>
          </w:tcPr>
          <w:p>
            <w:pPr>
              <w:spacing w:after="0"/>
              <w:rPr>
                <w:rFonts w:ascii="Arial" w:cs="Arial" w:eastAsia="Arial" w:hAnsi="Arial"/>
                <w:sz w:val="21"/>
                <w:szCs w:val="21"/>
                <w:u w:val="single" w:color="auto"/>
                <w:color w:val="0000EE"/>
              </w:rPr>
            </w:pPr>
            <w:hyperlink r:id="rId22">
              <w:r>
                <w:rPr>
                  <w:rFonts w:ascii="Arial" w:cs="Arial" w:eastAsia="Arial" w:hAnsi="Arial"/>
                  <w:sz w:val="21"/>
                  <w:szCs w:val="21"/>
                  <w:u w:val="single" w:color="auto"/>
                  <w:color w:val="0000EE"/>
                </w:rPr>
                <w:t>Svennilson Peter</w:t>
              </w:r>
            </w:hyperlink>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0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2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440" w:type="dxa"/>
            <w:vAlign w:val="bottom"/>
            <w:vMerge w:val="restart"/>
          </w:tcPr>
          <w:p>
            <w:pPr>
              <w:ind w:left="8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40" w:firstLine="7"/>
        <w:spacing w:after="0" w:line="266"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1,928 shares of Common Stock held directly by The Column Group III, LP ("TCG III LP") and 2,177 shares of Common Stock held directly by The Column Group III-A, LP ("TCG III-A LP").</w:t>
      </w:r>
    </w:p>
    <w:p>
      <w:pPr>
        <w:spacing w:after="0" w:line="15" w:lineRule="exact"/>
        <w:rPr>
          <w:rFonts w:ascii="Arial" w:cs="Arial" w:eastAsia="Arial" w:hAnsi="Arial"/>
          <w:sz w:val="13"/>
          <w:szCs w:val="13"/>
          <w:color w:val="008000"/>
        </w:rPr>
      </w:pPr>
    </w:p>
    <w:p>
      <w:pPr>
        <w:ind w:left="20" w:right="10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 and indirectly held by The Column Group III GP, LP ("TCG III GP"), the general partner of TCG III.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8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10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GP"),100,000 shares of Common Stock held directly by The Column Group Management, LP ("TCGM LP"), 1,298,908 shares of Common Stock held directly by Ponoi Capital, LP ("Ponoi LP"), and 1,298,908 shares of Common Stock held directly by Ponoi Capital II, LP ("Ponoi II LP").</w:t>
      </w:r>
    </w:p>
    <w:p>
      <w:pPr>
        <w:spacing w:after="0" w:line="8" w:lineRule="exact"/>
        <w:rPr>
          <w:rFonts w:ascii="Arial" w:cs="Arial" w:eastAsia="Arial" w:hAnsi="Arial"/>
          <w:sz w:val="12"/>
          <w:szCs w:val="12"/>
          <w:color w:val="008000"/>
        </w:rPr>
      </w:pPr>
    </w:p>
    <w:p>
      <w:pPr>
        <w:ind w:left="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16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380" w:firstLine="7"/>
        <w:spacing w:after="0" w:line="30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160" w:hanging="133"/>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w:t>
      </w:r>
    </w:p>
    <w:p>
      <w:pPr>
        <w:sectPr>
          <w:pgSz w:w="11900" w:h="16838" w:orient="portrait"/>
          <w:cols w:equalWidth="0" w:num="1">
            <w:col w:w="10820"/>
          </w:cols>
          <w:pgMar w:left="480" w:top="131" w:right="599" w:bottom="0" w:gutter="0" w:footer="0" w:header="0"/>
        </w:sectPr>
      </w:pPr>
    </w:p>
    <w:bookmarkStart w:id="2" w:name="page3"/>
    <w:bookmarkEnd w:id="2"/>
    <w:p>
      <w:pPr>
        <w:spacing w:after="0"/>
        <w:rPr>
          <w:sz w:val="20"/>
          <w:szCs w:val="20"/>
          <w:color w:val="auto"/>
        </w:rPr>
      </w:pPr>
      <w:r>
        <w:rPr>
          <w:rFonts w:ascii="Arial" w:cs="Arial" w:eastAsia="Arial" w:hAnsi="Arial"/>
          <w:sz w:val="12"/>
          <w:szCs w:val="12"/>
          <w:color w:val="008000"/>
        </w:rPr>
        <w:t>investment power with respect to such shares. Each individual managing partner disclaims beneficial ownership of these shares, except to the extent of his pecuniary interest in such shares.</w:t>
      </w:r>
    </w:p>
    <w:p>
      <w:pPr>
        <w:spacing w:after="0" w:line="62" w:lineRule="exact"/>
        <w:rPr>
          <w:sz w:val="20"/>
          <w:szCs w:val="20"/>
          <w:color w:val="auto"/>
        </w:rPr>
      </w:pPr>
    </w:p>
    <w:p>
      <w:pPr>
        <w:ind w:right="40" w:firstLine="7"/>
        <w:spacing w:after="0" w:line="250"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right="100"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0" w:hanging="193"/>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These securities are owned solely by Tim Kutzkey.</w:t>
      </w:r>
    </w:p>
    <w:p>
      <w:pPr>
        <w:spacing w:after="0" w:line="50" w:lineRule="exact"/>
        <w:rPr>
          <w:rFonts w:ascii="Arial" w:cs="Arial" w:eastAsia="Arial" w:hAnsi="Arial"/>
          <w:sz w:val="13"/>
          <w:szCs w:val="13"/>
          <w:color w:val="008000"/>
        </w:rPr>
      </w:pPr>
    </w:p>
    <w:p>
      <w:pPr>
        <w:ind w:firstLine="7"/>
        <w:spacing w:after="0" w:line="245"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Peter Svennilson who is a managing partner at The Column Group which invests through TCG II LP, Ponoi LP, Ponoi II LP, TCG III LP and TCG III-A LP (collectively, the "Funds"), among other entities. Under the partnership agreements of the Funds and his agreement with TCGM LP, Mr. Svennilson is deemed to hold certain of the securities for the economic benefit of the Funds and TCGM LP. The Funds and their respective general partners, TCGM LP and the individual managing partners of such entities may be deemed indirect beneficial owners of such securities. Such reporting persons disclaim beneficial ownership of the securities except to the extent of their pecuniary interest therein.</w:t>
      </w:r>
    </w:p>
    <w:p>
      <w:pPr>
        <w:spacing w:after="0" w:line="29" w:lineRule="exact"/>
        <w:rPr>
          <w:rFonts w:ascii="Arial" w:cs="Arial" w:eastAsia="Arial" w:hAnsi="Arial"/>
          <w:sz w:val="13"/>
          <w:szCs w:val="13"/>
          <w:color w:val="008000"/>
        </w:rPr>
      </w:pPr>
    </w:p>
    <w:p>
      <w:pPr>
        <w:ind w:left="200" w:hanging="193"/>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David V. Goeddel and Alena Z. Goeddel 2004 Trust for which David V. Goeddel and Alena Z. Goeddel serve as co-trustee.</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008000"/>
        </w:rPr>
        <w:t>Due to SEC restrictions on the number of reporting owners, this is Form 2 of 2.</w:t>
      </w:r>
    </w:p>
    <w:p>
      <w:pPr>
        <w:spacing w:after="0" w:line="64"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Jennifer J. Carlson,</w:t>
            </w:r>
          </w:p>
        </w:tc>
        <w:tc>
          <w:tcPr>
            <w:tcW w:w="5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07/30/2020</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2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31"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9"/>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3" Type="http://schemas.openxmlformats.org/officeDocument/2006/relationships/hyperlink" Target="http://www.sec.gov/cgi-bin/browse-edgar?action=getcompany&amp;CIK=0001347769" TargetMode="External"/><Relationship Id="rId14" Type="http://schemas.openxmlformats.org/officeDocument/2006/relationships/hyperlink" Target="http://www.sec.gov/cgi-bin/browse-edgar?action=getcompany&amp;CIK=0001426332" TargetMode="External"/><Relationship Id="rId15" Type="http://schemas.openxmlformats.org/officeDocument/2006/relationships/hyperlink" Target="http://www.sec.gov/cgi-bin/browse-edgar?action=getcompany&amp;CIK=0001668159" TargetMode="External"/><Relationship Id="rId19" Type="http://schemas.openxmlformats.org/officeDocument/2006/relationships/hyperlink" Target="http://www.sec.gov/cgi-bin/browse-edgar?action=getcompany&amp;CIK=0001668085" TargetMode="External"/><Relationship Id="rId20" Type="http://schemas.openxmlformats.org/officeDocument/2006/relationships/hyperlink" Target="http://www.sec.gov/cgi-bin/browse-edgar?action=getcompany&amp;CIK=0001790965" TargetMode="External"/><Relationship Id="rId21" Type="http://schemas.openxmlformats.org/officeDocument/2006/relationships/hyperlink" Target="http://www.sec.gov/cgi-bin/browse-edgar?action=getcompany&amp;CIK=0001182464" TargetMode="External"/><Relationship Id="rId22" Type="http://schemas.openxmlformats.org/officeDocument/2006/relationships/hyperlink" Target="http://www.sec.gov/cgi-bin/browse-edgar?action=getcompany&amp;CIK=00016060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2020-07-30T19:09:42Z</dcterms:created>
  <dcterms:modified xsi:type="dcterms:W3CDTF">2020-07-30T19:09:42Z</dcterms:modified>
</cp:coreProperties>
</file>