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tcBorders>
              <w:top w:val="single" w:sz="8" w:color="2C2C2C"/>
              <w:bottom w:val="single" w:sz="8" w:color="2C2C2C"/>
            </w:tcBorders>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84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384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120" w:type="dxa"/>
            <w:vAlign w:val="bottom"/>
            <w:tcBorders>
              <w:bottom w:val="single" w:sz="8" w:color="2C2C2C"/>
            </w:tcBorders>
            <w:gridSpan w:val="9"/>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7"/>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06/04/2019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12,600</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jc w:val="center"/>
              <w:ind w:right="3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13.394</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2,012,523</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06/06/2019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12,600</w:t>
            </w:r>
            <w:r>
              <w:rPr>
                <w:rFonts w:ascii="Arial" w:cs="Arial" w:eastAsia="Arial" w:hAnsi="Arial"/>
                <w:sz w:val="22"/>
                <w:szCs w:val="22"/>
                <w:color w:val="008000"/>
                <w:w w:val="90"/>
                <w:vertAlign w:val="superscript"/>
              </w:rPr>
              <w:t>(4)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13.4035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2,025,123</w:t>
            </w:r>
            <w:r>
              <w:rPr>
                <w:rFonts w:ascii="Arial" w:cs="Arial" w:eastAsia="Arial" w:hAnsi="Arial"/>
                <w:sz w:val="22"/>
                <w:szCs w:val="22"/>
                <w:color w:val="008000"/>
                <w:w w:val="85"/>
                <w:vertAlign w:val="superscript"/>
              </w:rPr>
              <w:t>(5)</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(6)</w:t>
            </w:r>
          </w:p>
        </w:tc>
        <w:tc>
          <w:tcPr>
            <w:tcW w:w="92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5"/>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gridSpan w:val="12"/>
          </w:tcPr>
          <w:p>
            <w:pPr>
              <w:jc w:val="center"/>
              <w:ind w:left="5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278701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9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20">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Column Group II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-8689340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-8689340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-7977505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-7977505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-7454900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-7454900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-7017385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-7017385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-6305550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-6305550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-5782310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-5782310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-5344795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-5344795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-4632960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-4632960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-3972560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-3972560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-3535680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-3535680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-2823845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-2823845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-2163445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-2163445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-1725930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-1725930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-1014095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-1014095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-353695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-353695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83185</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42" w:orient="portrait"/>
          <w:cols w:equalWidth="0" w:num="1">
            <w:col w:w="10199"/>
          </w:cols>
          <w:pgMar w:left="260" w:top="113" w:right="1440" w:bottom="0" w:gutter="0" w:footer="0" w:header="0"/>
        </w:sectPr>
      </w:pPr>
    </w:p>
    <w:p>
      <w:pPr>
        <w:spacing w:after="0" w:line="3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42" w:orient="portrait"/>
          <w:cols w:equalWidth="0" w:num="1">
            <w:col w:w="10199"/>
          </w:cols>
          <w:pgMar w:left="260" w:top="113"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20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924175" cy="352044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57">
        <w:r>
          <w:rPr>
            <w:rFonts w:ascii="Arial" w:cs="Arial" w:eastAsia="Arial" w:hAnsi="Arial"/>
            <w:sz w:val="22"/>
            <w:szCs w:val="22"/>
            <w:u w:val="single" w:color="auto"/>
            <w:color w:val="0000EE"/>
          </w:rPr>
          <w:t>Ponoi II Management,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8">
              <w:r>
                <w:rPr>
                  <w:rFonts w:ascii="Arial" w:cs="Arial" w:eastAsia="Arial" w:hAnsi="Arial"/>
                  <w:sz w:val="22"/>
                  <w:szCs w:val="22"/>
                  <w:color w:val="0000EE"/>
                </w:rPr>
                <w:t>Kutzkey Tim</w:t>
              </w:r>
            </w:hyperlink>
          </w:p>
        </w:tc>
        <w:tc>
          <w:tcPr>
            <w:tcW w:w="1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6,300 shares of Common Stock held directly by Ponoi Capital, LP ("Ponoi LP") and 6,300 shares of Common Stock held directly by Ponoi Capital II, LP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6,300 shares of Common Stock held directly by Ponoi LP and 6,300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1,012,561 shares of Common Stock held directly by Ponoi LP and 1,012,562 shares of Common Stock held directly by Ponoi II LP.</w:t>
      </w:r>
    </w:p>
    <w:p>
      <w:pPr>
        <w:spacing w:after="0" w:line="41"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71"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06/06/2019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645333" TargetMode="External"/><Relationship Id="rId22" Type="http://schemas.openxmlformats.org/officeDocument/2006/relationships/hyperlink" Target="http://www.sec.gov/cgi-bin/browse-edgar?action=getcompany&amp;CIK=0001707230" TargetMode="External"/><Relationship Id="rId23" Type="http://schemas.openxmlformats.org/officeDocument/2006/relationships/hyperlink" Target="http://www.sec.gov/cgi-bin/browse-edgar?action=getcompany&amp;CIK=0001720702" TargetMode="External"/><Relationship Id="rId24" Type="http://schemas.openxmlformats.org/officeDocument/2006/relationships/hyperlink" Target="http://www.sec.gov/cgi-bin/browse-edgar?action=getcompany&amp;CIK=0001732601" TargetMode="External"/><Relationship Id="rId57" Type="http://schemas.openxmlformats.org/officeDocument/2006/relationships/hyperlink" Target="http://www.sec.gov/cgi-bin/browse-edgar?action=getcompany&amp;CIK=0001746488" TargetMode="External"/><Relationship Id="rId58"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2019-12-24T06:42:22Z</dcterms:created>
  <dcterms:modified xsi:type="dcterms:W3CDTF">2019-12-24T06:42:22Z</dcterms:modified>
</cp:coreProperties>
</file>