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11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11/11/2019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414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tcPr>
          <w:p>
            <w:pPr>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3360" w:type="dxa"/>
            <w:vAlign w:val="bottom"/>
            <w:tcBorders>
              <w:bottom w:val="single" w:sz="8" w:color="2C2C2C"/>
            </w:tcBorders>
            <w:gridSpan w:val="7"/>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6"/>
          </w:tcPr>
          <w:p>
            <w:pPr>
              <w:jc w:val="center"/>
              <w:ind w:left="1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   Indirect (I)</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2"/>
            <w:vMerge w:val="restart"/>
          </w:tcPr>
          <w:p>
            <w:pPr>
              <w:ind w:left="40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Price</w:t>
            </w:r>
          </w:p>
        </w:tc>
        <w:tc>
          <w:tcPr>
            <w:tcW w:w="15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0000FF"/>
              </w:rPr>
              <w:t>11/11/2019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ind w:left="280"/>
              <w:spacing w:after="0" w:line="283" w:lineRule="exact"/>
              <w:rPr>
                <w:sz w:val="20"/>
                <w:szCs w:val="20"/>
                <w:color w:val="auto"/>
              </w:rPr>
            </w:pPr>
            <w:r>
              <w:rPr>
                <w:rFonts w:ascii="Arial" w:cs="Arial" w:eastAsia="Arial" w:hAnsi="Arial"/>
                <w:sz w:val="32"/>
                <w:szCs w:val="32"/>
                <w:color w:val="0000FF"/>
                <w:vertAlign w:val="subscript"/>
              </w:rPr>
              <w:t>15</w:t>
            </w:r>
            <w:r>
              <w:rPr>
                <w:rFonts w:ascii="Arial" w:cs="Arial" w:eastAsia="Arial" w:hAnsi="Arial"/>
                <w:sz w:val="11"/>
                <w:szCs w:val="11"/>
                <w:color w:val="008000"/>
              </w:rPr>
              <w:t>(1)</w:t>
            </w:r>
          </w:p>
        </w:tc>
        <w:tc>
          <w:tcPr>
            <w:tcW w:w="480" w:type="dxa"/>
            <w:vAlign w:val="bottom"/>
          </w:tcPr>
          <w:p>
            <w:pPr>
              <w:ind w:left="24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w:t>
            </w:r>
          </w:p>
        </w:tc>
        <w:tc>
          <w:tcPr>
            <w:tcW w:w="1500" w:type="dxa"/>
            <w:vAlign w:val="bottom"/>
            <w:gridSpan w:val="4"/>
          </w:tcPr>
          <w:p>
            <w:pPr>
              <w:jc w:val="center"/>
              <w:ind w:right="376"/>
              <w:spacing w:after="0"/>
              <w:rPr>
                <w:sz w:val="20"/>
                <w:szCs w:val="20"/>
                <w:color w:val="auto"/>
              </w:rPr>
            </w:pPr>
            <w:r>
              <w:rPr>
                <w:rFonts w:ascii="Arial" w:cs="Arial" w:eastAsia="Arial" w:hAnsi="Arial"/>
                <w:sz w:val="18"/>
                <w:szCs w:val="18"/>
                <w:color w:val="0000FF"/>
                <w:w w:val="94"/>
              </w:rPr>
              <w:t>16,420,829</w:t>
            </w:r>
            <w:r>
              <w:rPr>
                <w:rFonts w:ascii="Arial" w:cs="Arial" w:eastAsia="Arial" w:hAnsi="Arial"/>
                <w:sz w:val="22"/>
                <w:szCs w:val="22"/>
                <w:color w:val="008000"/>
                <w:w w:val="94"/>
                <w:vertAlign w:val="superscript"/>
              </w:rPr>
              <w:t>(2)</w:t>
            </w: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1900" w:type="dxa"/>
            <w:vAlign w:val="bottom"/>
            <w:gridSpan w:val="4"/>
          </w:tcPr>
          <w:p>
            <w:pPr>
              <w:spacing w:after="0" w:line="283" w:lineRule="exact"/>
              <w:rPr>
                <w:sz w:val="20"/>
                <w:szCs w:val="20"/>
                <w:color w:val="auto"/>
              </w:rPr>
            </w:pPr>
            <w:r>
              <w:rPr>
                <w:rFonts w:ascii="Arial" w:cs="Arial" w:eastAsia="Arial" w:hAnsi="Arial"/>
                <w:sz w:val="32"/>
                <w:szCs w:val="32"/>
                <w:color w:val="0000FF"/>
                <w:w w:val="85"/>
                <w:vertAlign w:val="subscript"/>
              </w:rPr>
              <w:t>See Footnotes</w:t>
            </w:r>
            <w:r>
              <w:rPr>
                <w:rFonts w:ascii="Arial" w:cs="Arial" w:eastAsia="Arial" w:hAnsi="Arial"/>
                <w:sz w:val="11"/>
                <w:szCs w:val="11"/>
                <w:color w:val="008000"/>
                <w:w w:val="85"/>
              </w:rPr>
              <w:t>(3)(4)(5)(6)(7)(8)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color w:val="008000"/>
              </w:rPr>
              <w:t>(9)(10)</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0000FF"/>
              </w:rPr>
              <w:t>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gridSpan w:val="3"/>
          </w:tcPr>
          <w:p>
            <w:pPr>
              <w:spacing w:after="0"/>
              <w:rPr>
                <w:sz w:val="8"/>
                <w:szCs w:val="8"/>
                <w:color w:val="auto"/>
              </w:rPr>
            </w:pPr>
          </w:p>
        </w:tc>
        <w:tc>
          <w:tcPr>
            <w:tcW w:w="33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3"/>
          </w:tcPr>
          <w:p>
            <w:pPr>
              <w:jc w:val="center"/>
              <w:ind w:left="6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3"/>
                <w:szCs w:val="13"/>
                <w:color w:val="auto"/>
              </w:rPr>
            </w:pP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 shares held directly by The Column Group III, LP ("TCG III LP") and 8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119,250 shares of Common Stock held directly by TCG III LP and 134,672 shares of Common Stock held directly by TCG III-A LP. The Reporting Person disclaims beneficial ownership of the securities except to the extent of his pecuniary interest therein.</w:t>
      </w:r>
    </w:p>
    <w:p>
      <w:pPr>
        <w:spacing w:after="0" w:line="8" w:lineRule="exact"/>
        <w:rPr>
          <w:rFonts w:ascii="Arial" w:cs="Arial" w:eastAsia="Arial" w:hAnsi="Arial"/>
          <w:sz w:val="12"/>
          <w:szCs w:val="12"/>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85"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2019-12-24T04:54:49Z</dcterms:created>
  <dcterms:modified xsi:type="dcterms:W3CDTF">2019-12-24T04:54:49Z</dcterms:modified>
</cp:coreProperties>
</file>