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626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gridSpan w:val="2"/>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GOEDDEL DAVID V</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6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240"/>
              <w:spacing w:after="0"/>
              <w:rPr>
                <w:sz w:val="20"/>
                <w:szCs w:val="20"/>
                <w:color w:val="auto"/>
              </w:rPr>
            </w:pPr>
            <w:r>
              <w:rPr>
                <w:rFonts w:ascii="Arial" w:cs="Arial" w:eastAsia="Arial" w:hAnsi="Arial"/>
                <w:sz w:val="14"/>
                <w:szCs w:val="14"/>
                <w:color w:val="auto"/>
              </w:rPr>
              <w:t>(First)</w:t>
            </w:r>
          </w:p>
        </w:tc>
        <w:tc>
          <w:tcPr>
            <w:tcW w:w="1840" w:type="dxa"/>
            <w:vAlign w:val="bottom"/>
          </w:tcPr>
          <w:p>
            <w:pPr>
              <w:ind w:left="5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03/02/2020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6"/>
          </w:tcPr>
          <w:p>
            <w:pPr>
              <w:jc w:val="center"/>
              <w:ind w:right="2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jc w:val="center"/>
              <w:ind w:left="14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03/02/2020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4"/>
              </w:rPr>
              <w:t>14,124</w:t>
            </w:r>
            <w:r>
              <w:rPr>
                <w:rFonts w:ascii="Arial" w:cs="Arial" w:eastAsia="Arial" w:hAnsi="Arial"/>
                <w:sz w:val="22"/>
                <w:szCs w:val="22"/>
                <w:color w:val="008000"/>
                <w:w w:val="84"/>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17.9</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16,745,300</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03/03/2020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3"/>
              </w:rPr>
              <w:t>38,758</w:t>
            </w:r>
            <w:r>
              <w:rPr>
                <w:rFonts w:ascii="Arial" w:cs="Arial" w:eastAsia="Arial" w:hAnsi="Arial"/>
                <w:sz w:val="22"/>
                <w:szCs w:val="22"/>
                <w:color w:val="008000"/>
                <w:w w:val="83"/>
                <w:vertAlign w:val="superscript"/>
              </w:rPr>
              <w:t>(10)</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17.99</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16,784,058</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03/04/2020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1"/>
              </w:rPr>
              <w:t>9,986</w:t>
            </w:r>
            <w:r>
              <w:rPr>
                <w:rFonts w:ascii="Arial" w:cs="Arial" w:eastAsia="Arial" w:hAnsi="Arial"/>
                <w:sz w:val="22"/>
                <w:szCs w:val="22"/>
                <w:color w:val="008000"/>
                <w:w w:val="81"/>
                <w:vertAlign w:val="superscript"/>
              </w:rPr>
              <w:t>(11)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17.96</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4"/>
              </w:rPr>
              <w:t>16,794,044</w:t>
            </w:r>
            <w:r>
              <w:rPr>
                <w:rFonts w:ascii="Arial" w:cs="Arial" w:eastAsia="Arial" w:hAnsi="Arial"/>
                <w:sz w:val="22"/>
                <w:szCs w:val="22"/>
                <w:color w:val="008000"/>
                <w:w w:val="84"/>
                <w:vertAlign w:val="superscript"/>
              </w:rPr>
              <w:t>(12)</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5"/>
          </w:tcPr>
          <w:p>
            <w:pPr>
              <w:jc w:val="center"/>
              <w:ind w:left="30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2740" w:type="dxa"/>
            <w:vAlign w:val="bottom"/>
            <w:gridSpan w:val="6"/>
          </w:tcPr>
          <w:p>
            <w:pPr>
              <w:ind w:left="10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tcPr>
          <w:p>
            <w:pPr>
              <w:jc w:val="center"/>
              <w:ind w:right="231"/>
              <w:spacing w:after="0" w:line="135" w:lineRule="exact"/>
              <w:rPr>
                <w:sz w:val="20"/>
                <w:szCs w:val="20"/>
                <w:color w:val="auto"/>
              </w:rPr>
            </w:pPr>
            <w:r>
              <w:rPr>
                <w:rFonts w:ascii="Arial" w:cs="Arial" w:eastAsia="Arial" w:hAnsi="Arial"/>
                <w:sz w:val="12"/>
                <w:szCs w:val="12"/>
                <w:b w:val="1"/>
                <w:bCs w:val="1"/>
                <w:color w:val="auto"/>
                <w:w w:val="95"/>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6,633 shares held directly by The Column Group III, LP ("TCG III LP") and 7,491 shares held directly by The Column Group III-A, LP ("TCG III-A LP").</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18,202 shares held directly by TCG III LP and 20,556 shares held directly by TCG III-A LP.</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4,690 shares held directly by TCG III LP and 5,296 shares held directly by TCG III-A LP.</w:t>
      </w:r>
    </w:p>
    <w:p>
      <w:pPr>
        <w:spacing w:after="0" w:line="64" w:lineRule="exact"/>
        <w:rPr>
          <w:rFonts w:ascii="Arial" w:cs="Arial" w:eastAsia="Arial" w:hAnsi="Arial"/>
          <w:sz w:val="12"/>
          <w:szCs w:val="12"/>
          <w:color w:val="008000"/>
        </w:rPr>
      </w:pPr>
    </w:p>
    <w:p>
      <w:pPr>
        <w:ind w:left="40" w:right="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205,295 shares of Common Stock held directly by TCG III LP, 231,842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ectPr>
          <w:pgSz w:w="11900" w:h="16838" w:orient="portrait"/>
          <w:cols w:equalWidth="0" w:num="1">
            <w:col w:w="11420"/>
          </w:cols>
          <w:pgMar w:left="240" w:top="226" w:right="239" w:bottom="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2020-03-04T18:25:48Z</dcterms:created>
  <dcterms:modified xsi:type="dcterms:W3CDTF">2020-03-04T18:25:48Z</dcterms:modified>
</cp:coreProperties>
</file>