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w:t>
      </w: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April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640" w:type="dxa"/>
        <w:tblCellMar>
          <w:top w:w="0" w:type="dxa"/>
          <w:left w:w="0" w:type="dxa"/>
          <w:bottom w:w="0" w:type="dxa"/>
          <w:right w:w="0" w:type="dxa"/>
        </w:tblCellMar>
      </w:tblPr>
      <w:tr>
        <w:trPr>
          <w:trHeight w:val="212"/>
        </w:trPr>
        <w:tc>
          <w:tcPr>
            <w:tcW w:w="2660" w:type="dxa"/>
            <w:vAlign w:val="bottom"/>
          </w:tcPr>
          <w:p>
            <w:pPr>
              <w:jc w:val="center"/>
              <w:ind w:right="99"/>
              <w:spacing w:after="0"/>
              <w:rPr>
                <w:sz w:val="20"/>
                <w:szCs w:val="20"/>
                <w:color w:val="auto"/>
              </w:rPr>
            </w:pPr>
            <w:r>
              <w:rPr>
                <w:rFonts w:ascii="Arial" w:cs="Arial" w:eastAsia="Arial" w:hAnsi="Arial"/>
                <w:sz w:val="18"/>
                <w:szCs w:val="18"/>
                <w:b w:val="1"/>
                <w:bCs w:val="1"/>
                <w:color w:val="auto"/>
                <w:w w:val="91"/>
              </w:rPr>
              <w:t>Delaware</w:t>
            </w:r>
          </w:p>
        </w:tc>
        <w:tc>
          <w:tcPr>
            <w:tcW w:w="4820" w:type="dxa"/>
            <w:vAlign w:val="bottom"/>
          </w:tcPr>
          <w:p>
            <w:pPr>
              <w:ind w:left="1940"/>
              <w:spacing w:after="0"/>
              <w:rPr>
                <w:sz w:val="20"/>
                <w:szCs w:val="20"/>
                <w:color w:val="auto"/>
              </w:rPr>
            </w:pPr>
            <w:r>
              <w:rPr>
                <w:rFonts w:ascii="Arial" w:cs="Arial" w:eastAsia="Arial" w:hAnsi="Arial"/>
                <w:sz w:val="18"/>
                <w:szCs w:val="18"/>
                <w:b w:val="1"/>
                <w:bCs w:val="1"/>
                <w:color w:val="auto"/>
              </w:rPr>
              <w:t>001-38853</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26-1679911</w:t>
            </w:r>
          </w:p>
        </w:tc>
      </w:tr>
      <w:tr>
        <w:trPr>
          <w:trHeight w:val="149"/>
        </w:trPr>
        <w:tc>
          <w:tcPr>
            <w:tcW w:w="26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20" w:type="dxa"/>
            <w:vAlign w:val="bottom"/>
          </w:tcPr>
          <w:p>
            <w:pPr>
              <w:ind w:left="192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5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6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of Incorporation)</w:t>
            </w:r>
          </w:p>
        </w:tc>
        <w:tc>
          <w:tcPr>
            <w:tcW w:w="482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660" w:type="dxa"/>
            <w:vAlign w:val="bottom"/>
          </w:tcPr>
          <w:p>
            <w:pPr>
              <w:jc w:val="center"/>
              <w:ind w:right="119"/>
              <w:spacing w:after="0"/>
              <w:rPr>
                <w:sz w:val="20"/>
                <w:szCs w:val="20"/>
                <w:color w:val="auto"/>
              </w:rPr>
            </w:pPr>
            <w:r>
              <w:rPr>
                <w:rFonts w:ascii="Arial" w:cs="Arial" w:eastAsia="Arial" w:hAnsi="Arial"/>
                <w:sz w:val="18"/>
                <w:szCs w:val="18"/>
                <w:b w:val="1"/>
                <w:bCs w:val="1"/>
                <w:color w:val="auto"/>
                <w:w w:val="91"/>
              </w:rPr>
              <w:t>333 Oyster Point Boulevard</w:t>
            </w:r>
          </w:p>
        </w:tc>
        <w:tc>
          <w:tcPr>
            <w:tcW w:w="4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5"/>
        </w:trPr>
        <w:tc>
          <w:tcPr>
            <w:tcW w:w="2660" w:type="dxa"/>
            <w:vAlign w:val="bottom"/>
          </w:tcPr>
          <w:p>
            <w:pPr>
              <w:jc w:val="center"/>
              <w:ind w:right="119"/>
              <w:spacing w:after="0"/>
              <w:rPr>
                <w:sz w:val="20"/>
                <w:szCs w:val="20"/>
                <w:color w:val="auto"/>
              </w:rPr>
            </w:pPr>
            <w:r>
              <w:rPr>
                <w:rFonts w:ascii="Arial" w:cs="Arial" w:eastAsia="Arial" w:hAnsi="Arial"/>
                <w:sz w:val="18"/>
                <w:szCs w:val="18"/>
                <w:b w:val="1"/>
                <w:bCs w:val="1"/>
                <w:color w:val="auto"/>
                <w:w w:val="90"/>
              </w:rPr>
              <w:t>South San Francisco, California</w:t>
            </w:r>
          </w:p>
        </w:tc>
        <w:tc>
          <w:tcPr>
            <w:tcW w:w="4820" w:type="dxa"/>
            <w:vAlign w:val="bottom"/>
          </w:tcPr>
          <w:p>
            <w:pPr>
              <w:spacing w:after="0"/>
              <w:rPr>
                <w:sz w:val="19"/>
                <w:szCs w:val="19"/>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266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20" w:type="dxa"/>
            <w:vAlign w:val="bottom"/>
          </w:tcPr>
          <w:p>
            <w:pPr>
              <w:spacing w:after="0"/>
              <w:rPr>
                <w:sz w:val="16"/>
                <w:szCs w:val="16"/>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2660" w:type="dxa"/>
            <w:vAlign w:val="bottom"/>
          </w:tcPr>
          <w:p>
            <w:pPr>
              <w:spacing w:after="0"/>
              <w:rPr>
                <w:sz w:val="24"/>
                <w:szCs w:val="24"/>
                <w:color w:val="auto"/>
              </w:rPr>
            </w:pPr>
          </w:p>
        </w:tc>
        <w:tc>
          <w:tcPr>
            <w:tcW w:w="482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86"/>
        </w:trPr>
        <w:tc>
          <w:tcPr>
            <w:tcW w:w="2660" w:type="dxa"/>
            <w:vAlign w:val="bottom"/>
          </w:tcPr>
          <w:p>
            <w:pPr>
              <w:spacing w:after="0"/>
              <w:rPr>
                <w:sz w:val="16"/>
                <w:szCs w:val="16"/>
                <w:color w:val="auto"/>
              </w:rPr>
            </w:pPr>
          </w:p>
        </w:tc>
        <w:tc>
          <w:tcPr>
            <w:tcW w:w="4820" w:type="dxa"/>
            <w:vAlign w:val="bottom"/>
          </w:tcPr>
          <w:p>
            <w:pPr>
              <w:jc w:val="center"/>
              <w:ind w:right="3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94"/>
        </w:trPr>
        <w:tc>
          <w:tcPr>
            <w:tcW w:w="2660" w:type="dxa"/>
            <w:vAlign w:val="bottom"/>
          </w:tcPr>
          <w:p>
            <w:pPr>
              <w:spacing w:after="0"/>
              <w:rPr>
                <w:sz w:val="24"/>
                <w:szCs w:val="24"/>
                <w:color w:val="auto"/>
              </w:rPr>
            </w:pPr>
          </w:p>
        </w:tc>
        <w:tc>
          <w:tcPr>
            <w:tcW w:w="482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660" w:type="dxa"/>
            <w:vAlign w:val="bottom"/>
          </w:tcPr>
          <w:p>
            <w:pPr>
              <w:spacing w:after="0"/>
              <w:rPr>
                <w:sz w:val="16"/>
                <w:szCs w:val="16"/>
                <w:color w:val="auto"/>
              </w:rPr>
            </w:pPr>
          </w:p>
        </w:tc>
        <w:tc>
          <w:tcPr>
            <w:tcW w:w="4820" w:type="dxa"/>
            <w:vAlign w:val="bottom"/>
          </w:tcPr>
          <w:p>
            <w:pPr>
              <w:jc w:val="center"/>
              <w:ind w:right="32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205105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121" w:lineRule="exact"/>
        <w:rPr>
          <w:sz w:val="20"/>
          <w:szCs w:val="20"/>
          <w:color w:val="auto"/>
        </w:rPr>
      </w:pPr>
    </w:p>
    <w:p>
      <w:pPr>
        <w:ind w:right="240" w:firstLine="441"/>
        <w:spacing w:after="0" w:line="286" w:lineRule="auto"/>
        <w:rPr>
          <w:sz w:val="20"/>
          <w:szCs w:val="20"/>
          <w:color w:val="auto"/>
        </w:rPr>
      </w:pPr>
      <w:r>
        <w:rPr>
          <w:rFonts w:ascii="Arial" w:cs="Arial" w:eastAsia="Arial" w:hAnsi="Arial"/>
          <w:sz w:val="17"/>
          <w:szCs w:val="17"/>
          <w:color w:val="auto"/>
        </w:rPr>
        <w:t>On April 8, 2019, NGM Biopharmaceuticals, Inc. (the “Company”) issued and sold 4,121,683 shares (the “Private Placement Shares”) of the Company’s common stock, par value $0.001 per share (the “Common Stock”), to Merck Sharp &amp; Dohme Corp. (“Merck”) in a private placement that occurred concurrently with the closing of the Company’s initial public offering (the “IPO”) of its Common Stock.</w:t>
      </w:r>
    </w:p>
    <w:p>
      <w:pPr>
        <w:spacing w:after="0" w:line="166"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aggregate cash purchase price of the Private Placement Shares was $65.9 million, representing a per share price of $16.00, the same price at which shares of Common Stock were sold to the public in the IPO.</w:t>
      </w:r>
    </w:p>
    <w:p>
      <w:pPr>
        <w:spacing w:after="0" w:line="170"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The sale and issuance by the Company of the Private Placement Shares to Merck were not registered under the Securities Act of 1933, as amended (the “Securities Act”) or any state securities laws. The Company has relied on the exemption from the registration requirements of the Securities Act by virtue of Section 4(a)(2) thereof and the rules and regulations promulgated thereunder relating to transactions not involving any public offering.</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Certificate of Incorporation</w:t>
      </w:r>
    </w:p>
    <w:p>
      <w:pPr>
        <w:spacing w:after="0" w:line="11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On April 8, 2019, the Company filed an Amended and Restated Certificate of Incorporation (the “Restated Certificate”) with the Secretary of State of the State of Delaware in connection with the closing of the IPO. The Company’s board of directors and stockholders previously approved the Restated Certificate to be effective upon the closing of the IPO. The Restated Certificate is attached hereto as Exhibit 3.1 and is incorporated herein by reference.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Bylaws</w:t>
      </w:r>
    </w:p>
    <w:p>
      <w:pPr>
        <w:spacing w:after="0" w:line="11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Effective as of April 8, 2019, the Company adopted Amended and Restated Bylaws (the “Restated Bylaws”) in connection with the closing of the IPO. The Company’s board of directors and stockholders previously approved the Restated Bylaws to be effective upon the closing of the IPO. The Restated Bylaws are attached hereto as Exhibit 3.2 and are incorporated herein by reference.</w:t>
      </w:r>
    </w:p>
    <w:p>
      <w:pPr>
        <w:spacing w:after="0" w:line="18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Please see the description of the Restated Certificate and the Restated Bylaws in the section titled “Description of Capital Stock” in the final prospectus the Company filed with the U.S. Securities and Exchange Commission on April 4, 2019 pursuant to Rule 424(b) under the Securities Act of 1933, as amended, relating to the Registration Statement on Form S-1, as amended (File No. 333-227608).</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940" w:type="dxa"/>
            <w:vAlign w:val="bottom"/>
          </w:tcPr>
          <w:p>
            <w:pPr>
              <w:spacing w:after="0"/>
              <w:rPr>
                <w:sz w:val="15"/>
                <w:szCs w:val="15"/>
                <w:color w:val="auto"/>
              </w:rPr>
            </w:pPr>
          </w:p>
        </w:tc>
        <w:tc>
          <w:tcPr>
            <w:tcW w:w="9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Description</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940" w:type="dxa"/>
            <w:vAlign w:val="bottom"/>
          </w:tcPr>
          <w:p>
            <w:pPr>
              <w:spacing w:after="0"/>
              <w:rPr>
                <w:sz w:val="23"/>
                <w:szCs w:val="23"/>
                <w:color w:val="auto"/>
              </w:rPr>
            </w:pPr>
          </w:p>
        </w:tc>
        <w:tc>
          <w:tcPr>
            <w:tcW w:w="94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Amended and Restated Certificate of Incorporation of NGM Biopharmaceuticals, Inc.</w:t>
              </w:r>
            </w:hyperlink>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(1)</w:t>
            </w:r>
          </w:p>
        </w:tc>
        <w:tc>
          <w:tcPr>
            <w:tcW w:w="940" w:type="dxa"/>
            <w:vAlign w:val="bottom"/>
          </w:tcPr>
          <w:p>
            <w:pPr>
              <w:spacing w:after="0"/>
              <w:rPr>
                <w:sz w:val="24"/>
                <w:szCs w:val="24"/>
                <w:color w:val="auto"/>
              </w:rPr>
            </w:pPr>
          </w:p>
        </w:tc>
        <w:tc>
          <w:tcPr>
            <w:tcW w:w="6180" w:type="dxa"/>
            <w:vAlign w:val="bottom"/>
            <w:tcBorders>
              <w:top w:val="single" w:sz="8" w:color="0000EE"/>
            </w:tcBorders>
            <w:gridSpan w:val="2"/>
          </w:tcPr>
          <w:p>
            <w:pPr>
              <w:spacing w:after="0"/>
              <w:rPr>
                <w:rFonts w:ascii="Arial" w:cs="Arial" w:eastAsia="Arial" w:hAnsi="Arial"/>
                <w:sz w:val="18"/>
                <w:szCs w:val="18"/>
                <w:color w:val="0000EE"/>
              </w:rPr>
            </w:pPr>
            <w:hyperlink r:id="rId18">
              <w:r>
                <w:rPr>
                  <w:rFonts w:ascii="Arial" w:cs="Arial" w:eastAsia="Arial" w:hAnsi="Arial"/>
                  <w:sz w:val="18"/>
                  <w:szCs w:val="18"/>
                  <w:color w:val="0000EE"/>
                </w:rPr>
                <w:t>Amended and Restated Bylaws of NGM Biopharmaceuticals, Inc.</w:t>
              </w:r>
            </w:hyperlink>
          </w:p>
        </w:tc>
        <w:tc>
          <w:tcPr>
            <w:tcW w:w="324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440" w:right="280" w:hanging="436"/>
        <w:spacing w:after="0" w:line="277" w:lineRule="auto"/>
        <w:tabs>
          <w:tab w:leader="none" w:pos="440" w:val="left"/>
        </w:tabs>
        <w:numPr>
          <w:ilvl w:val="0"/>
          <w:numId w:val="3"/>
        </w:numPr>
        <w:rPr>
          <w:rFonts w:ascii="Arial" w:cs="Arial" w:eastAsia="Arial" w:hAnsi="Arial"/>
          <w:sz w:val="15"/>
          <w:szCs w:val="15"/>
          <w:color w:val="auto"/>
        </w:rPr>
      </w:pPr>
      <w:r>
        <w:rPr>
          <w:rFonts w:ascii="Arial" w:cs="Arial" w:eastAsia="Arial" w:hAnsi="Arial"/>
          <w:sz w:val="18"/>
          <w:szCs w:val="18"/>
          <w:color w:val="auto"/>
        </w:rPr>
        <w:t>Previously filed as Exhibit 3.4 to the Registrant’s Registration Statement on Form S-1 (File No. 333-227608), filed with the U.S. Securities and Exchange Commission on September 28, 2018, and incorporated herein by reference.</w:t>
      </w:r>
    </w:p>
    <w:p>
      <w:pPr>
        <w:sectPr>
          <w:pgSz w:w="11900" w:h="16838" w:orient="portrait"/>
          <w:cols w:equalWidth="0" w:num="1">
            <w:col w:w="11040"/>
          </w:cols>
          <w:pgMar w:left="440" w:top="270"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Arial" w:cs="Arial" w:eastAsia="Arial" w:hAnsi="Arial"/>
                <w:sz w:val="18"/>
                <w:szCs w:val="18"/>
                <w:b w:val="1"/>
                <w:bCs w:val="1"/>
                <w:color w:val="auto"/>
              </w:rPr>
              <w:t>NGM Biopharmaceuticals,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April 8, 2019</w:t>
            </w:r>
          </w:p>
        </w:tc>
        <w:tc>
          <w:tcPr>
            <w:tcW w:w="7480" w:type="dxa"/>
            <w:vAlign w:val="bottom"/>
            <w:gridSpan w:val="2"/>
          </w:tcPr>
          <w:p>
            <w:pPr>
              <w:ind w:left="2080"/>
              <w:spacing w:after="0"/>
              <w:rPr>
                <w:sz w:val="20"/>
                <w:szCs w:val="20"/>
                <w:color w:val="auto"/>
              </w:rPr>
            </w:pPr>
            <w:r>
              <w:rPr>
                <w:rFonts w:ascii="Arial" w:cs="Arial" w:eastAsia="Arial" w:hAnsi="Arial"/>
                <w:sz w:val="18"/>
                <w:szCs w:val="18"/>
                <w:color w:val="auto"/>
              </w:rPr>
              <w:t>By:  /s/ Aetna Wun Trombley</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Aetna Wun Trombley</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i w:val="1"/>
                <w:iCs w:val="1"/>
                <w:color w:val="auto"/>
              </w:rPr>
              <w:t>President and Chief Operating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David J. Woodhouse hereby certifies that:</w:t>
      </w:r>
    </w:p>
    <w:p>
      <w:pPr>
        <w:spacing w:after="0" w:line="113"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b w:val="1"/>
          <w:bCs w:val="1"/>
          <w:color w:val="auto"/>
        </w:rPr>
        <w:t>ONE</w:t>
      </w:r>
      <w:r>
        <w:rPr>
          <w:rFonts w:ascii="Arial" w:cs="Arial" w:eastAsia="Arial" w:hAnsi="Arial"/>
          <w:sz w:val="18"/>
          <w:szCs w:val="18"/>
          <w:color w:val="auto"/>
        </w:rPr>
        <w:t>: The original name of this corporation is NGM Biopharmaceuticals, Inc. and the date of filing the original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corporation with the Secretary of State of the State of Delaware was December 20, 2007.</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TWO</w:t>
      </w:r>
      <w:r>
        <w:rPr>
          <w:rFonts w:ascii="Arial" w:cs="Arial" w:eastAsia="Arial" w:hAnsi="Arial"/>
          <w:sz w:val="18"/>
          <w:szCs w:val="18"/>
          <w:color w:val="auto"/>
        </w:rPr>
        <w:t>: He is the duly elected and acting Chief Executive Officer of NGM Biopharmaceuticals,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THREE</w:t>
      </w:r>
      <w:r>
        <w:rPr>
          <w:rFonts w:ascii="Arial" w:cs="Arial" w:eastAsia="Arial" w:hAnsi="Arial"/>
          <w:sz w:val="18"/>
          <w:szCs w:val="18"/>
          <w:color w:val="auto"/>
        </w:rPr>
        <w:t>: The Certificate of Incorporation of this corporation is hereby amended and restated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registered office of the corporation in the State of Delaware shall be 850 New Burton Road, Suite 201, City of Dover, County of Kent, 19904 and the name of the registered agent of the corporation in the State of Delaware at such address is Cogency Global Inc.</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This Company is authorized to issue two classes of stock to be designated, respectively,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which the Company is authorized to issue is four hundred ten million (410,000,000) shares. Four hundred million (400,000,000) shares shall be Common Stock, having a par value per share of $0.001. Ten million (10,000,000) shares shall be Preferred Stock, having a par value per share of $0.001.</w:t>
      </w:r>
    </w:p>
    <w:p>
      <w:pPr>
        <w:spacing w:after="0" w:line="180"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Preferred Stock may be issued from time to time in one or more series. The Board of Directors of the Company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 stock of the Company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right="80" w:firstLine="441"/>
        <w:spacing w:after="0" w:line="29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w:t>
      </w:r>
      <w:r>
        <w:rPr>
          <w:rFonts w:ascii="Arial" w:cs="Arial" w:eastAsia="Arial" w:hAnsi="Arial"/>
          <w:sz w:val="16"/>
          <w:szCs w:val="16"/>
          <w:color w:val="auto"/>
        </w:rPr>
        <w:t>Each outstanding share of Common Stock shall entitle the holder thereof to one vote on each matter properly submitted to the stockholders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for their vote; provided, however, that,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right="220" w:firstLine="441"/>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34" w:lineRule="exact"/>
        <w:rPr>
          <w:sz w:val="20"/>
          <w:szCs w:val="20"/>
          <w:color w:val="auto"/>
        </w:rPr>
      </w:pPr>
    </w:p>
    <w:p>
      <w:pPr>
        <w:jc w:val="both"/>
        <w:ind w:right="140" w:firstLine="441"/>
        <w:spacing w:after="0" w:line="266" w:lineRule="auto"/>
        <w:rPr>
          <w:sz w:val="20"/>
          <w:szCs w:val="20"/>
          <w:color w:val="auto"/>
        </w:rPr>
      </w:pPr>
      <w:r>
        <w:rPr>
          <w:rFonts w:ascii="Arial" w:cs="Arial" w:eastAsia="Arial" w:hAnsi="Arial"/>
          <w:sz w:val="18"/>
          <w:szCs w:val="18"/>
          <w:b w:val="1"/>
          <w:bCs w:val="1"/>
          <w:color w:val="auto"/>
        </w:rPr>
        <w:t>A. M</w:t>
      </w:r>
      <w:r>
        <w:rPr>
          <w:rFonts w:ascii="Arial" w:cs="Arial" w:eastAsia="Arial" w:hAnsi="Arial"/>
          <w:sz w:val="15"/>
          <w:szCs w:val="15"/>
          <w:b w:val="1"/>
          <w:bCs w:val="1"/>
          <w:color w:val="auto"/>
        </w:rPr>
        <w:t>ANAGEMENT OF</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USINESS</w:t>
      </w:r>
      <w:r>
        <w:rPr>
          <w:rFonts w:ascii="Arial" w:cs="Arial" w:eastAsia="Arial" w:hAnsi="Arial"/>
          <w:sz w:val="18"/>
          <w:szCs w:val="18"/>
          <w:color w:val="auto"/>
        </w:rPr>
        <w:t>. The management of the business and the conduct of the affairs of the Company shall be vested in its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number of directors which shall constitute the Board of Directors shall be fixed exclusively by resolutions adopted by a majority of the authorized number of directors constituting the Board of Directors.</w:t>
      </w:r>
    </w:p>
    <w:p>
      <w:pPr>
        <w:spacing w:after="0" w:line="176"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b w:val="1"/>
          <w:bCs w:val="1"/>
          <w:color w:val="auto"/>
        </w:rPr>
        <w:t>B. B</w:t>
      </w:r>
      <w:r>
        <w:rPr>
          <w:rFonts w:ascii="Arial" w:cs="Arial" w:eastAsia="Arial" w:hAnsi="Arial"/>
          <w:sz w:val="13"/>
          <w:szCs w:val="13"/>
          <w:b w:val="1"/>
          <w:bCs w:val="1"/>
          <w:color w:val="auto"/>
        </w:rPr>
        <w:t>OARD OF</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IRECTORS</w:t>
      </w:r>
      <w:r>
        <w:rPr>
          <w:rFonts w:ascii="Arial" w:cs="Arial" w:eastAsia="Arial" w:hAnsi="Arial"/>
          <w:sz w:val="16"/>
          <w:szCs w:val="16"/>
          <w:color w:val="auto"/>
        </w:rPr>
        <w:t>. Subject to the rights of the holders of any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upon the filing of this Amended and Restated Certificate of Incorporation,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initial classification of the Board of Directors, the term of office of the Class I directors shall expire and Class I directors shall be elected for a full term of three years. At the second annual meeting of stockholders following such initial classification, the term of office of the Class II directors shall expire and Class II directors shall be elected for a full term of three years. At the third annual meeting of stockholders following such initial classification,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64"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Notwithstanding the foregoing provisions of this section,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 R</w:t>
      </w:r>
      <w:r>
        <w:rPr>
          <w:rFonts w:ascii="Arial" w:cs="Arial" w:eastAsia="Arial" w:hAnsi="Arial"/>
          <w:sz w:val="15"/>
          <w:szCs w:val="15"/>
          <w:b w:val="1"/>
          <w:bCs w:val="1"/>
          <w:color w:val="auto"/>
        </w:rPr>
        <w:t>EMOVAL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IRECTORS</w:t>
      </w:r>
      <w:r>
        <w:rPr>
          <w:rFonts w:ascii="Arial" w:cs="Arial" w:eastAsia="Arial" w:hAnsi="Arial"/>
          <w:sz w:val="18"/>
          <w:szCs w:val="18"/>
          <w:color w:val="auto"/>
        </w:rPr>
        <w:t>.</w:t>
      </w:r>
    </w:p>
    <w:p>
      <w:pPr>
        <w:spacing w:after="0" w:line="229" w:lineRule="exact"/>
        <w:rPr>
          <w:sz w:val="20"/>
          <w:szCs w:val="20"/>
          <w:color w:val="auto"/>
        </w:rPr>
      </w:pPr>
    </w:p>
    <w:p>
      <w:pPr>
        <w:ind w:right="420" w:firstLine="885"/>
        <w:spacing w:after="0" w:line="277" w:lineRule="auto"/>
        <w:tabs>
          <w:tab w:leader="none" w:pos="1061"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Subject to the rights of any series of Preferred Stock to elect additional directors under specified circumstances, neither the Board of Directors nor any individual director may be removed without cause.</w:t>
      </w:r>
    </w:p>
    <w:p>
      <w:pPr>
        <w:spacing w:after="0" w:line="170" w:lineRule="exact"/>
        <w:rPr>
          <w:rFonts w:ascii="Arial" w:cs="Arial" w:eastAsia="Arial" w:hAnsi="Arial"/>
          <w:sz w:val="18"/>
          <w:szCs w:val="18"/>
          <w:b w:val="1"/>
          <w:bCs w:val="1"/>
          <w:color w:val="auto"/>
        </w:rPr>
      </w:pPr>
    </w:p>
    <w:p>
      <w:pPr>
        <w:ind w:right="220" w:firstLine="885"/>
        <w:spacing w:after="0" w:line="264" w:lineRule="auto"/>
        <w:tabs>
          <w:tab w:leader="none" w:pos="1061"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Subject to any limitation imposed by applicable law, any individual director or directors may be removed with cause by the affirmative vote of the holders of at least sixty-six and two-thirds percent (66 2/3%) of the voting power of all then-outstanding shares of capital stock of the Company entitled to vote generally at an election of directors.</w:t>
      </w:r>
    </w:p>
    <w:p>
      <w:pPr>
        <w:spacing w:after="0" w:line="177" w:lineRule="exact"/>
        <w:rPr>
          <w:rFonts w:ascii="Arial" w:cs="Arial" w:eastAsia="Arial" w:hAnsi="Arial"/>
          <w:sz w:val="18"/>
          <w:szCs w:val="18"/>
          <w:b w:val="1"/>
          <w:bCs w:val="1"/>
          <w:color w:val="auto"/>
        </w:rPr>
      </w:pPr>
    </w:p>
    <w:p>
      <w:pPr>
        <w:ind w:right="40" w:firstLine="444"/>
        <w:spacing w:after="0" w:line="281" w:lineRule="auto"/>
        <w:tabs>
          <w:tab w:leader="none" w:pos="661"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V</w:t>
      </w:r>
      <w:r>
        <w:rPr>
          <w:rFonts w:ascii="Arial" w:cs="Arial" w:eastAsia="Arial" w:hAnsi="Arial"/>
          <w:sz w:val="14"/>
          <w:szCs w:val="14"/>
          <w:b w:val="1"/>
          <w:bCs w:val="1"/>
          <w:color w:val="auto"/>
        </w:rPr>
        <w:t>ACANCIES</w:t>
      </w:r>
      <w:r>
        <w:rPr>
          <w:rFonts w:ascii="Arial" w:cs="Arial" w:eastAsia="Arial" w:hAnsi="Arial"/>
          <w:sz w:val="17"/>
          <w:szCs w:val="17"/>
          <w:color w:val="auto"/>
        </w:rPr>
        <w:t>. Subject to any limitations imposed by applicable law and subject to the rights of the holders of any series of Preferred Stock, any</w:t>
      </w:r>
      <w:r>
        <w:rPr>
          <w:rFonts w:ascii="Arial" w:cs="Arial" w:eastAsia="Arial" w:hAnsi="Arial"/>
          <w:sz w:val="17"/>
          <w:szCs w:val="17"/>
          <w:b w:val="1"/>
          <w:bCs w:val="1"/>
          <w:color w:val="auto"/>
        </w:rPr>
        <w:t xml:space="preserve"> </w:t>
      </w:r>
      <w:r>
        <w:rPr>
          <w:rFonts w:ascii="Arial" w:cs="Arial" w:eastAsia="Arial" w:hAnsi="Arial"/>
          <w:sz w:val="17"/>
          <w:szCs w:val="17"/>
          <w:color w:val="auto"/>
        </w:rPr>
        <w:t>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 B</w:t>
      </w:r>
      <w:r>
        <w:rPr>
          <w:rFonts w:ascii="Arial" w:cs="Arial" w:eastAsia="Arial" w:hAnsi="Arial"/>
          <w:sz w:val="15"/>
          <w:szCs w:val="15"/>
          <w:b w:val="1"/>
          <w:bCs w:val="1"/>
          <w:color w:val="auto"/>
        </w:rPr>
        <w:t>YLAW</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MENDMENTS</w:t>
      </w:r>
      <w:r>
        <w:rPr>
          <w:rFonts w:ascii="Arial" w:cs="Arial" w:eastAsia="Arial" w:hAnsi="Arial"/>
          <w:sz w:val="18"/>
          <w:szCs w:val="18"/>
          <w:color w:val="auto"/>
        </w:rPr>
        <w:t>.</w:t>
      </w:r>
    </w:p>
    <w:p>
      <w:pPr>
        <w:spacing w:after="0" w:line="229" w:lineRule="exact"/>
        <w:rPr>
          <w:sz w:val="20"/>
          <w:szCs w:val="20"/>
          <w:color w:val="auto"/>
        </w:rPr>
      </w:pPr>
    </w:p>
    <w:p>
      <w:pPr>
        <w:ind w:right="40" w:firstLine="885"/>
        <w:spacing w:after="0" w:line="293" w:lineRule="auto"/>
        <w:tabs>
          <w:tab w:leader="none" w:pos="1061"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The Board of Directors is expressly empowered to adopt, amend or repeal the Bylaws of the Company. Any adoption, amendment or repeal of the Bylaws of the Company by the Board of Directors shall require the approval of a majority of the authorized number of directors. The stockholders shall also have power to adopt, amend or repeal the Bylaws of the Company; provided, however, that, in addition to any vote of the holders of any class or series of stock of the Company required by law or by this Amended and Restated Certificate of Incorporation, such action by stockholders shall require the affirmative vote of the holders of at least sixty-six and two-thirds percent (66 2/3%) of the voting power of all of the then-outstanding shares of the capital stock of the Company entitled to vote generally in the election of directors, voting together as a single class.</w:t>
      </w:r>
    </w:p>
    <w:p>
      <w:pPr>
        <w:spacing w:after="0" w:line="164" w:lineRule="exact"/>
        <w:rPr>
          <w:rFonts w:ascii="Arial" w:cs="Arial" w:eastAsia="Arial" w:hAnsi="Arial"/>
          <w:sz w:val="16"/>
          <w:szCs w:val="16"/>
          <w:b w:val="1"/>
          <w:bCs w:val="1"/>
          <w:color w:val="auto"/>
        </w:rPr>
      </w:pPr>
    </w:p>
    <w:p>
      <w:pPr>
        <w:ind w:left="1060" w:hanging="175"/>
        <w:spacing w:after="0"/>
        <w:tabs>
          <w:tab w:leader="none" w:pos="10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directors of the Company need not be elected by written ballot unless the Bylaws so provide.</w:t>
      </w:r>
    </w:p>
    <w:p>
      <w:pPr>
        <w:spacing w:after="0" w:line="225" w:lineRule="exact"/>
        <w:rPr>
          <w:rFonts w:ascii="Arial" w:cs="Arial" w:eastAsia="Arial" w:hAnsi="Arial"/>
          <w:sz w:val="18"/>
          <w:szCs w:val="18"/>
          <w:b w:val="1"/>
          <w:bCs w:val="1"/>
          <w:color w:val="auto"/>
        </w:rPr>
      </w:pPr>
    </w:p>
    <w:p>
      <w:pPr>
        <w:ind w:right="100" w:firstLine="885"/>
        <w:spacing w:after="0" w:line="277" w:lineRule="auto"/>
        <w:tabs>
          <w:tab w:leader="none" w:pos="1061"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No action shall be taken by the stockholders of the Company except at an annual or special meeting of stockholders called in accordance with the Bylaws, and no action shall be taken by the stockholders by written consent or electronic transmission.</w:t>
      </w:r>
    </w:p>
    <w:p>
      <w:pPr>
        <w:spacing w:after="0" w:line="170" w:lineRule="exact"/>
        <w:rPr>
          <w:rFonts w:ascii="Arial" w:cs="Arial" w:eastAsia="Arial" w:hAnsi="Arial"/>
          <w:sz w:val="18"/>
          <w:szCs w:val="18"/>
          <w:b w:val="1"/>
          <w:bCs w:val="1"/>
          <w:color w:val="auto"/>
        </w:rPr>
      </w:pPr>
    </w:p>
    <w:p>
      <w:pPr>
        <w:ind w:right="40" w:firstLine="885"/>
        <w:spacing w:after="0" w:line="277" w:lineRule="auto"/>
        <w:tabs>
          <w:tab w:leader="none" w:pos="1061"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Advance notice of stockholder nominations for the election of directors and of business to be brought by stockholders before any meeting of the stockholders of the Company shall be given in the manner provided in the Bylaws of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liability of the directors for monetary damages shall be eliminated to the fullest extent under applicable law.</w:t>
      </w:r>
    </w:p>
    <w:p>
      <w:pPr>
        <w:spacing w:after="0" w:line="225" w:lineRule="exact"/>
        <w:rPr>
          <w:sz w:val="20"/>
          <w:szCs w:val="20"/>
          <w:color w:val="auto"/>
        </w:rPr>
      </w:pPr>
    </w:p>
    <w:p>
      <w:pPr>
        <w:ind w:right="80" w:firstLine="441"/>
        <w:spacing w:after="0" w:line="274"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To the fullest extent permitted by applicable law, the Company is authorized to provide indemnification of (and advancement of expenses to)</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74" w:lineRule="exact"/>
        <w:rPr>
          <w:sz w:val="20"/>
          <w:szCs w:val="20"/>
          <w:color w:val="auto"/>
        </w:rPr>
      </w:pPr>
    </w:p>
    <w:p>
      <w:pPr>
        <w:jc w:val="both"/>
        <w:ind w:right="200" w:firstLine="441"/>
        <w:spacing w:after="0" w:line="347"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Any repeal or modification of this Article VI shall only be prospective and shall not affect the rights or protections or increase the liability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any director under this Article VI in effect at the time of the alleged occurrence of any act or omission to act giving rise to liability or indemnification.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w:t>
      </w:r>
    </w:p>
    <w:p>
      <w:pPr>
        <w:spacing w:after="0" w:line="22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Unless the Company consents in writing to the selection of an alternative forum, the Court of Chancery of the State of Delaware (or, if and only</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under Delaware statutory or common law: (A) any derivative action or proceeding brought on behalf of the Company;</w:t>
      </w:r>
    </w:p>
    <w:p>
      <w:pPr>
        <w:spacing w:after="0" w:line="3" w:lineRule="exact"/>
        <w:rPr>
          <w:sz w:val="20"/>
          <w:szCs w:val="20"/>
          <w:color w:val="auto"/>
        </w:rPr>
      </w:pPr>
    </w:p>
    <w:p>
      <w:pPr>
        <w:ind w:left="280" w:hanging="276"/>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action or proceeding asserting a claim of breach of a fiduciary duty owed by any current or former director, officer or other employee of the</w:t>
      </w:r>
    </w:p>
    <w:p>
      <w:pPr>
        <w:spacing w:after="0" w:line="20" w:lineRule="exact"/>
        <w:rPr>
          <w:rFonts w:ascii="Arial" w:cs="Arial" w:eastAsia="Arial" w:hAnsi="Arial"/>
          <w:sz w:val="17"/>
          <w:szCs w:val="17"/>
          <w:color w:val="auto"/>
        </w:rPr>
      </w:pPr>
    </w:p>
    <w:p>
      <w:pPr>
        <w:ind w:right="80"/>
        <w:spacing w:after="0" w:line="261" w:lineRule="auto"/>
        <w:rPr>
          <w:rFonts w:ascii="Arial" w:cs="Arial" w:eastAsia="Arial" w:hAnsi="Arial"/>
          <w:sz w:val="17"/>
          <w:szCs w:val="17"/>
          <w:color w:val="auto"/>
        </w:rPr>
      </w:pPr>
      <w:r>
        <w:rPr>
          <w:rFonts w:ascii="Arial" w:cs="Arial" w:eastAsia="Arial" w:hAnsi="Arial"/>
          <w:sz w:val="18"/>
          <w:szCs w:val="18"/>
          <w:color w:val="auto"/>
        </w:rPr>
        <w:t>Company to the Company or the Company’s stockholders; (C) any action or proceeding asserting a claim against the Company or any current or former director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 w:name="page7"/>
    <w:bookmarkEnd w:id="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 or other employee of the Company arising out of or pursuant to any provision of the DGCL, this Amended and Restated Certificate of Incorporation or the Bylaws of the Company (as each may be amended from time to time); or (D) any action or proceeding to interpret, apply, enforce or determine the validity of this Amended and Restated Certificate of Incorporation or the Bylaws of the Company (including any right, obligation, or remedy thereunder); (E) any action or proceeding as to which the DGCL confers jurisdiction to the Court of Chancery of the State of Delaware; (F) any action asserting a claim against the Company or any director or officer or other employee of the Company governed by the internal affairs doctrine, in all cases to the fullest extent permitted by law and subject to the courts having personal jurisdiction over the indispensable parties named as defendants. This paragraph A of Article VII shall not apply to suits brought to enforce a duty or liability created by the Securities Exchange Act of 1934, as amended, or any other claim for which the federal courts have exclusive jurisdiction.</w:t>
      </w:r>
    </w:p>
    <w:p>
      <w:pPr>
        <w:spacing w:after="0" w:line="175" w:lineRule="exact"/>
        <w:rPr>
          <w:sz w:val="20"/>
          <w:szCs w:val="20"/>
          <w:color w:val="auto"/>
        </w:rPr>
      </w:pPr>
    </w:p>
    <w:p>
      <w:pPr>
        <w:ind w:firstLine="441"/>
        <w:spacing w:after="0" w:line="289"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Unless the Company consents in writing to the selection of an alternative forum, the federal district courts of the United States of America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the exclusive forum for the resolution of any complaint asserting a cause of action arising under the Securities Act of 1933, as amended, subject to and contingent upon a final adjudication in the State of Delaware of the enforceability of such exclusive forum provision.</w:t>
      </w:r>
    </w:p>
    <w:p>
      <w:pPr>
        <w:spacing w:after="0" w:line="158"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Any person or entity holding, owning or otherwise acquiring any interest in shares of capital stock of the Company shall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and to have consented to the provisions of this Amended and Restated Certificate of Incorporation.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VIII.</w:t>
      </w:r>
    </w:p>
    <w:p>
      <w:pPr>
        <w:spacing w:after="0" w:line="225"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Company reserves the right to amend, alter, change or repeal any provision contained in this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in the manner now or hereafter prescribed by statute, except as provided in paragraph B of this Article VIII, and all rights conferred upon the stockholders herein are granted subject to this reservation.</w:t>
      </w:r>
    </w:p>
    <w:p>
      <w:pPr>
        <w:spacing w:after="0" w:line="176" w:lineRule="exact"/>
        <w:rPr>
          <w:sz w:val="20"/>
          <w:szCs w:val="20"/>
          <w:color w:val="auto"/>
        </w:rPr>
      </w:pPr>
    </w:p>
    <w:p>
      <w:pPr>
        <w:ind w:right="60" w:firstLine="441"/>
        <w:spacing w:after="0" w:line="25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Notwithstanding any other provisions of this Amended and Restated Certificate of Incorporation or any provision of applicable law which</w:t>
      </w:r>
      <w:r>
        <w:rPr>
          <w:rFonts w:ascii="Arial" w:cs="Arial" w:eastAsia="Arial" w:hAnsi="Arial"/>
          <w:sz w:val="18"/>
          <w:szCs w:val="18"/>
          <w:b w:val="1"/>
          <w:bCs w:val="1"/>
          <w:color w:val="auto"/>
        </w:rPr>
        <w:t xml:space="preserve"> </w:t>
      </w:r>
      <w:r>
        <w:rPr>
          <w:rFonts w:ascii="Arial" w:cs="Arial" w:eastAsia="Arial" w:hAnsi="Arial"/>
          <w:sz w:val="18"/>
          <w:szCs w:val="18"/>
          <w:color w:val="auto"/>
        </w:rPr>
        <w:t>might otherwise permit a lesser vote or no vote, but in addition to any affirmative vote of the holders of any particular class or series of the capital stock of the Company required by law or by this Amended and Restated Certificate of Incorporation or any certificate of designation filed with respect to a series of Preferred Stock, the affirmative vote of the holders of at least sixty-six and two-thirds percent (66 2/3%) of the voting power of all of the then outstanding shares of capital stock of the Company entitled to vote generally in the election of directors, voting together as a single class, shall be required to alter, amend or repeal Articles V, VI, VII and VIII.</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FOUR</w:t>
      </w:r>
      <w:r>
        <w:rPr>
          <w:rFonts w:ascii="Arial" w:cs="Arial" w:eastAsia="Arial" w:hAnsi="Arial"/>
          <w:sz w:val="18"/>
          <w:szCs w:val="18"/>
          <w:color w:val="auto"/>
        </w:rPr>
        <w:t>: This Amended and Restated Certificate of Incorporation has been duly approved by the Board of Directors of the Company.</w:t>
      </w:r>
    </w:p>
    <w:p>
      <w:pPr>
        <w:spacing w:after="0" w:line="225"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b w:val="1"/>
          <w:bCs w:val="1"/>
          <w:color w:val="auto"/>
        </w:rPr>
        <w:t>FIVE</w:t>
      </w:r>
      <w:r>
        <w:rPr>
          <w:rFonts w:ascii="Arial" w:cs="Arial" w:eastAsia="Arial" w:hAnsi="Arial"/>
          <w:sz w:val="18"/>
          <w:szCs w:val="18"/>
          <w:color w:val="auto"/>
        </w:rPr>
        <w:t>: This Amended and Restated Certificate of Incorporation was approved by the holders of the requisite number of shares of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228 of the DGCL. This Amended and Restated Certificate of Incorporation has been duly adopted in accordance with the provisions of Sections 242 and 245 of the DGCL by the stockholders of the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right="160"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NGM Biopharmaceuticals, Inc. has caused this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ERTIFICATE OF</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be</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its Chief Executive Officer this 8</w:t>
      </w:r>
      <w:r>
        <w:rPr>
          <w:rFonts w:ascii="Arial" w:cs="Arial" w:eastAsia="Arial" w:hAnsi="Arial"/>
          <w:sz w:val="15"/>
          <w:szCs w:val="15"/>
          <w:color w:val="auto"/>
        </w:rPr>
        <w:t>th</w:t>
      </w:r>
      <w:r>
        <w:rPr>
          <w:rFonts w:ascii="Arial" w:cs="Arial" w:eastAsia="Arial" w:hAnsi="Arial"/>
          <w:sz w:val="18"/>
          <w:szCs w:val="18"/>
          <w:color w:val="auto"/>
        </w:rPr>
        <w:t xml:space="preserve"> day of April, 2019.</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5"/>
          <w:szCs w:val="15"/>
          <w:b w:val="1"/>
          <w:bCs w:val="1"/>
          <w:color w:val="auto"/>
        </w:rPr>
        <w:t>IOPHARMACEUTICALS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J. Woodhouse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David J. Woodhouse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ERTIFICATE OF</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NCORPORATION</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upperLetter"/>
      <w:start w:val="1"/>
    </w:lvl>
    <w:lvl w:ilvl="1">
      <w:lvlJc w:val="left"/>
      <w:lvlText w:val="%2."/>
      <w:numFmt w:val="decimal"/>
      <w:start w:val="1"/>
    </w:lvl>
  </w:abstractNum>
  <w:abstractNum w:abstractNumId="4">
    <w:nsid w:val="507ED7AB"/>
    <w:multiLevelType w:val="hybridMultilevel"/>
    <w:lvl w:ilvl="0">
      <w:lvlJc w:val="left"/>
      <w:lvlText w:val="%1."/>
      <w:numFmt w:val="upperLetter"/>
      <w:start w:val="4"/>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8" Type="http://schemas.openxmlformats.org/officeDocument/2006/relationships/hyperlink" Target="http://www.sec.gov/Archives/edgar/data/1426332/000119312518287727/d69317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2019-12-28T13:55:36Z</dcterms:created>
  <dcterms:modified xsi:type="dcterms:W3CDTF">2019-12-28T13:55:36Z</dcterms:modified>
</cp:coreProperties>
</file>