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3440" w:right="1480" w:hanging="3432"/>
        <w:spacing w:after="0" w:line="344" w:lineRule="auto"/>
        <w:tabs>
          <w:tab w:leader="none" w:pos="5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0" w:lineRule="exact"/>
        <w:rPr>
          <w:sz w:val="24"/>
          <w:szCs w:val="24"/>
          <w:color w:val="auto"/>
        </w:rPr>
      </w:pPr>
    </w:p>
    <w:p>
      <w:pPr>
        <w:ind w:left="3500" w:right="1480" w:hanging="3492"/>
        <w:spacing w:after="0" w:line="320" w:lineRule="auto"/>
        <w:tabs>
          <w:tab w:leader="none" w:pos="54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0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-452755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7" w:lineRule="exact"/>
        <w:rPr>
          <w:sz w:val="24"/>
          <w:szCs w:val="24"/>
          <w:color w:val="auto"/>
        </w:rPr>
      </w:pPr>
    </w:p>
    <w:tbl>
      <w:tblPr>
        <w:tblLayout w:type="fixed"/>
        <w:tblInd w:w="1640" w:type="dxa"/>
        <w:tblCellMar>
          <w:top w:w="0" w:type="dxa"/>
          <w:left w:w="0" w:type="dxa"/>
          <w:bottom w:w="0" w:type="dxa"/>
          <w:right w:w="0" w:type="dxa"/>
        </w:tblCellMar>
      </w:tblPr>
      <w:tr>
        <w:trPr>
          <w:trHeight w:val="185"/>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26-1679911</w:t>
            </w:r>
          </w:p>
        </w:tc>
      </w:tr>
      <w:tr>
        <w:trPr>
          <w:trHeight w:val="135"/>
        </w:trPr>
        <w:tc>
          <w:tcPr>
            <w:tcW w:w="4300" w:type="dxa"/>
            <w:vAlign w:val="bottom"/>
          </w:tcPr>
          <w:p>
            <w:pPr>
              <w:jc w:val="center"/>
              <w:ind w:right="18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0"/>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39"/>
        </w:trPr>
        <w:tc>
          <w:tcPr>
            <w:tcW w:w="4300" w:type="dxa"/>
            <w:vAlign w:val="bottom"/>
          </w:tcPr>
          <w:p>
            <w:pPr>
              <w:jc w:val="center"/>
              <w:ind w:right="1868"/>
              <w:spacing w:after="0" w:line="139" w:lineRule="exact"/>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0"/>
              <w:spacing w:after="0" w:line="139" w:lineRule="exact"/>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4300" w:type="dxa"/>
            <w:vAlign w:val="bottom"/>
          </w:tcPr>
          <w:p>
            <w:pPr>
              <w:jc w:val="center"/>
              <w:ind w:right="1868"/>
              <w:spacing w:after="0"/>
              <w:rPr>
                <w:sz w:val="20"/>
                <w:szCs w:val="20"/>
                <w:color w:val="auto"/>
              </w:rPr>
            </w:pPr>
            <w:r>
              <w:rPr>
                <w:rFonts w:ascii="Arial" w:cs="Arial" w:eastAsia="Arial" w:hAnsi="Arial"/>
                <w:sz w:val="16"/>
                <w:szCs w:val="16"/>
                <w:b w:val="1"/>
                <w:bCs w:val="1"/>
                <w:color w:val="auto"/>
              </w:rPr>
              <w:t>333 Oyster Point Boulevard</w:t>
            </w:r>
          </w:p>
        </w:tc>
        <w:tc>
          <w:tcPr>
            <w:tcW w:w="3020" w:type="dxa"/>
            <w:vAlign w:val="bottom"/>
          </w:tcPr>
          <w:p>
            <w:pPr>
              <w:spacing w:after="0"/>
              <w:rPr>
                <w:sz w:val="16"/>
                <w:szCs w:val="16"/>
                <w:color w:val="auto"/>
              </w:rPr>
            </w:pPr>
          </w:p>
        </w:tc>
      </w:tr>
      <w:tr>
        <w:trPr>
          <w:trHeight w:val="185"/>
        </w:trPr>
        <w:tc>
          <w:tcPr>
            <w:tcW w:w="4300" w:type="dxa"/>
            <w:vAlign w:val="bottom"/>
          </w:tcPr>
          <w:p>
            <w:pPr>
              <w:jc w:val="center"/>
              <w:ind w:right="1888"/>
              <w:spacing w:after="0"/>
              <w:rPr>
                <w:sz w:val="20"/>
                <w:szCs w:val="20"/>
                <w:color w:val="auto"/>
              </w:rPr>
            </w:pPr>
            <w:r>
              <w:rPr>
                <w:rFonts w:ascii="Arial" w:cs="Arial" w:eastAsia="Arial" w:hAnsi="Arial"/>
                <w:sz w:val="16"/>
                <w:szCs w:val="16"/>
                <w:b w:val="1"/>
                <w:bCs w:val="1"/>
                <w:color w:val="auto"/>
              </w:rPr>
              <w:t>South San Francisco, CA</w:t>
            </w:r>
          </w:p>
        </w:tc>
        <w:tc>
          <w:tcPr>
            <w:tcW w:w="3020" w:type="dxa"/>
            <w:vAlign w:val="bottom"/>
          </w:tcPr>
          <w:p>
            <w:pPr>
              <w:jc w:val="right"/>
              <w:ind w:right="230"/>
              <w:spacing w:after="0"/>
              <w:rPr>
                <w:sz w:val="20"/>
                <w:szCs w:val="20"/>
                <w:color w:val="auto"/>
              </w:rPr>
            </w:pPr>
            <w:r>
              <w:rPr>
                <w:rFonts w:ascii="Arial" w:cs="Arial" w:eastAsia="Arial" w:hAnsi="Arial"/>
                <w:sz w:val="16"/>
                <w:szCs w:val="16"/>
                <w:b w:val="1"/>
                <w:bCs w:val="1"/>
                <w:color w:val="auto"/>
              </w:rPr>
              <w:t>94080</w:t>
            </w:r>
          </w:p>
        </w:tc>
      </w:tr>
      <w:tr>
        <w:trPr>
          <w:trHeight w:val="168"/>
        </w:trPr>
        <w:tc>
          <w:tcPr>
            <w:tcW w:w="4300" w:type="dxa"/>
            <w:vAlign w:val="bottom"/>
          </w:tcPr>
          <w:p>
            <w:pPr>
              <w:jc w:val="center"/>
              <w:ind w:right="18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0"/>
              <w:spacing w:after="0"/>
              <w:rPr>
                <w:sz w:val="20"/>
                <w:szCs w:val="20"/>
                <w:color w:val="auto"/>
              </w:rPr>
            </w:pPr>
            <w:r>
              <w:rPr>
                <w:rFonts w:ascii="Arial" w:cs="Arial" w:eastAsia="Arial" w:hAnsi="Arial"/>
                <w:sz w:val="13"/>
                <w:szCs w:val="13"/>
                <w:b w:val="1"/>
                <w:bCs w:val="1"/>
                <w:color w:val="auto"/>
                <w:w w:val="96"/>
              </w:rPr>
              <w:t>(Zip Code)</w:t>
            </w:r>
          </w:p>
        </w:tc>
      </w:tr>
    </w:tbl>
    <w:p>
      <w:pPr>
        <w:spacing w:after="0" w:line="79"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(650) 243-5555</w:t>
      </w:r>
    </w:p>
    <w:p>
      <w:pPr>
        <w:spacing w:after="0" w:line="13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6" w:lineRule="exact"/>
        <w:rPr>
          <w:sz w:val="24"/>
          <w:szCs w:val="24"/>
          <w:color w:val="auto"/>
        </w:rPr>
      </w:pPr>
    </w:p>
    <w:tbl>
      <w:tblPr>
        <w:tblLayout w:type="fixed"/>
        <w:tblInd w:w="130" w:type="dxa"/>
        <w:tblCellMar>
          <w:top w:w="0" w:type="dxa"/>
          <w:left w:w="0" w:type="dxa"/>
          <w:bottom w:w="0" w:type="dxa"/>
          <w:right w:w="0" w:type="dxa"/>
        </w:tblCellMar>
      </w:tblPr>
      <w:tr>
        <w:trPr>
          <w:trHeight w:val="265"/>
        </w:trPr>
        <w:tc>
          <w:tcPr>
            <w:tcW w:w="4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Trading</w:t>
            </w:r>
          </w:p>
        </w:tc>
        <w:tc>
          <w:tcPr>
            <w:tcW w:w="5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94"/>
        </w:trPr>
        <w:tc>
          <w:tcPr>
            <w:tcW w:w="466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5340" w:type="dxa"/>
            <w:vAlign w:val="bottom"/>
            <w:tcBorders>
              <w:bottom w:val="single" w:sz="8" w:color="auto"/>
              <w:right w:val="single" w:sz="8" w:color="auto"/>
            </w:tcBorders>
          </w:tcPr>
          <w:p>
            <w:pPr>
              <w:spacing w:after="0"/>
              <w:rPr>
                <w:sz w:val="16"/>
                <w:szCs w:val="16"/>
                <w:color w:val="auto"/>
              </w:rPr>
            </w:pPr>
          </w:p>
        </w:tc>
      </w:tr>
      <w:tr>
        <w:trPr>
          <w:trHeight w:val="250"/>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5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91"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7"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82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ind w:left="182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3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1140"/>
              <w:spacing w:after="0" w:line="161" w:lineRule="exact"/>
              <w:rPr>
                <w:sz w:val="20"/>
                <w:szCs w:val="20"/>
                <w:color w:val="auto"/>
              </w:rPr>
            </w:pPr>
            <w:r>
              <w:rPr>
                <w:rFonts w:ascii="MS PGothic" w:cs="MS PGothic" w:eastAsia="MS PGothic" w:hAnsi="MS PGothic"/>
                <w:sz w:val="16"/>
                <w:szCs w:val="16"/>
                <w:color w:val="auto"/>
              </w:rPr>
              <w:t>☒</w:t>
            </w:r>
          </w:p>
        </w:tc>
        <w:tc>
          <w:tcPr>
            <w:tcW w:w="4200" w:type="dxa"/>
            <w:vAlign w:val="bottom"/>
          </w:tcPr>
          <w:p>
            <w:pPr>
              <w:spacing w:after="0"/>
              <w:rPr>
                <w:sz w:val="22"/>
                <w:szCs w:val="22"/>
                <w:color w:val="auto"/>
              </w:rPr>
            </w:pPr>
          </w:p>
        </w:tc>
        <w:tc>
          <w:tcPr>
            <w:tcW w:w="580" w:type="dxa"/>
            <w:vAlign w:val="bottom"/>
          </w:tcPr>
          <w:p>
            <w:pPr>
              <w:spacing w:after="0"/>
              <w:rPr>
                <w:sz w:val="22"/>
                <w:szCs w:val="22"/>
                <w:color w:val="auto"/>
              </w:rPr>
            </w:pPr>
          </w:p>
        </w:tc>
      </w:tr>
    </w:tbl>
    <w:p>
      <w:pPr>
        <w:spacing w:after="0" w:line="233"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9, 2020, the registrant had 69,019,269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0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300" w:type="dxa"/>
            <w:vAlign w:val="bottom"/>
            <w:gridSpan w:val="6"/>
          </w:tcPr>
          <w:p>
            <w:pPr>
              <w:ind w:left="1160"/>
              <w:spacing w:after="0"/>
              <w:rPr>
                <w:sz w:val="20"/>
                <w:szCs w:val="20"/>
                <w:color w:val="auto"/>
              </w:rPr>
            </w:pPr>
            <w:r>
              <w:rPr>
                <w:rFonts w:ascii="Arial" w:cs="Arial" w:eastAsia="Arial" w:hAnsi="Arial"/>
                <w:sz w:val="18"/>
                <w:szCs w:val="18"/>
                <w:b w:val="1"/>
                <w:bCs w:val="1"/>
                <w:color w:val="auto"/>
              </w:rPr>
              <w:t>Table of Contents</w:t>
            </w:r>
          </w:p>
        </w:tc>
      </w:tr>
      <w:tr>
        <w:trPr>
          <w:trHeight w:val="662"/>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80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r>
      <w:tr>
        <w:trPr>
          <w:trHeight w:val="189"/>
        </w:trPr>
        <w:tc>
          <w:tcPr>
            <w:tcW w:w="1220" w:type="dxa"/>
            <w:vAlign w:val="bottom"/>
          </w:tcPr>
          <w:p>
            <w:pPr>
              <w:spacing w:after="0"/>
              <w:rPr>
                <w:sz w:val="16"/>
                <w:szCs w:val="16"/>
                <w:color w:val="auto"/>
              </w:rPr>
            </w:pPr>
          </w:p>
        </w:tc>
        <w:tc>
          <w:tcPr>
            <w:tcW w:w="8800" w:type="dxa"/>
            <w:vAlign w:val="bottom"/>
            <w:gridSpan w:val="10"/>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2020 (Unaudited) and December 31, 2019</w:t>
              </w:r>
            </w:hyperlink>
          </w:p>
        </w:tc>
      </w:tr>
      <w:tr>
        <w:trPr>
          <w:trHeight w:val="183"/>
        </w:trPr>
        <w:tc>
          <w:tcPr>
            <w:tcW w:w="1220" w:type="dxa"/>
            <w:vAlign w:val="bottom"/>
          </w:tcPr>
          <w:p>
            <w:pPr>
              <w:spacing w:after="0"/>
              <w:rPr>
                <w:sz w:val="15"/>
                <w:szCs w:val="15"/>
                <w:color w:val="auto"/>
              </w:rPr>
            </w:pPr>
          </w:p>
        </w:tc>
        <w:tc>
          <w:tcPr>
            <w:tcW w:w="7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(Audited)</w:t>
              </w:r>
            </w:hyperlink>
          </w:p>
        </w:tc>
        <w:tc>
          <w:tcPr>
            <w:tcW w:w="7680" w:type="dxa"/>
            <w:vAlign w:val="bottom"/>
            <w:tcBorders>
              <w:top w:val="single" w:sz="8" w:color="0000EE"/>
            </w:tcBorders>
            <w:gridSpan w:val="5"/>
          </w:tcPr>
          <w:p>
            <w:pPr>
              <w:spacing w:after="0"/>
              <w:rPr>
                <w:sz w:val="15"/>
                <w:szCs w:val="15"/>
                <w:color w:val="auto"/>
              </w:rPr>
            </w:pPr>
          </w:p>
        </w:tc>
        <w:tc>
          <w:tcPr>
            <w:tcW w:w="380" w:type="dxa"/>
            <w:vAlign w:val="bottom"/>
            <w:gridSpan w:val="4"/>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76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and nine months ended September 30, 2020</w:t>
              </w:r>
            </w:hyperlink>
          </w:p>
        </w:tc>
        <w:tc>
          <w:tcPr>
            <w:tcW w:w="40" w:type="dxa"/>
            <w:vAlign w:val="bottom"/>
          </w:tcPr>
          <w:p>
            <w:pPr>
              <w:spacing w:after="0"/>
              <w:rPr>
                <w:sz w:val="17"/>
                <w:szCs w:val="17"/>
                <w:color w:val="auto"/>
              </w:rPr>
            </w:pPr>
          </w:p>
        </w:tc>
      </w:tr>
      <w:tr>
        <w:trPr>
          <w:trHeight w:val="183"/>
        </w:trPr>
        <w:tc>
          <w:tcPr>
            <w:tcW w:w="1220" w:type="dxa"/>
            <w:vAlign w:val="bottom"/>
          </w:tcPr>
          <w:p>
            <w:pPr>
              <w:spacing w:after="0"/>
              <w:rPr>
                <w:sz w:val="15"/>
                <w:szCs w:val="15"/>
                <w:color w:val="auto"/>
              </w:rPr>
            </w:pPr>
          </w:p>
        </w:tc>
        <w:tc>
          <w:tcPr>
            <w:tcW w:w="8800" w:type="dxa"/>
            <w:vAlign w:val="bottom"/>
            <w:gridSpan w:val="1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and 2019 (Unaudited)</w:t>
              </w:r>
            </w:hyperlink>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880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 for the three and nine months ended September</w:t>
              </w:r>
            </w:hyperlink>
          </w:p>
        </w:tc>
      </w:tr>
      <w:tr>
        <w:trPr>
          <w:trHeight w:val="183"/>
        </w:trPr>
        <w:tc>
          <w:tcPr>
            <w:tcW w:w="1220" w:type="dxa"/>
            <w:vAlign w:val="bottom"/>
          </w:tcPr>
          <w:p>
            <w:pPr>
              <w:spacing w:after="0"/>
              <w:rPr>
                <w:sz w:val="15"/>
                <w:szCs w:val="15"/>
                <w:color w:val="auto"/>
              </w:rPr>
            </w:pPr>
          </w:p>
        </w:tc>
        <w:tc>
          <w:tcPr>
            <w:tcW w:w="25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2020 and 2019 (Unaudited)</w:t>
              </w:r>
            </w:hyperlink>
          </w:p>
        </w:tc>
        <w:tc>
          <w:tcPr>
            <w:tcW w:w="6300" w:type="dxa"/>
            <w:vAlign w:val="bottom"/>
            <w:gridSpan w:val="6"/>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800" w:type="dxa"/>
            <w:vAlign w:val="bottom"/>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for the three and nine months ended September</w:t>
              </w:r>
            </w:hyperlink>
          </w:p>
        </w:tc>
      </w:tr>
      <w:tr>
        <w:trPr>
          <w:trHeight w:val="183"/>
        </w:trPr>
        <w:tc>
          <w:tcPr>
            <w:tcW w:w="122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30, 2020 (Unaudited)</w:t>
              </w:r>
            </w:hyperlink>
          </w:p>
        </w:tc>
        <w:tc>
          <w:tcPr>
            <w:tcW w:w="7000" w:type="dxa"/>
            <w:vAlign w:val="bottom"/>
            <w:tcBorders>
              <w:top w:val="single" w:sz="8" w:color="0000EE"/>
            </w:tcBorders>
            <w:gridSpan w:val="5"/>
          </w:tcPr>
          <w:p>
            <w:pPr>
              <w:spacing w:after="0"/>
              <w:rPr>
                <w:sz w:val="15"/>
                <w:szCs w:val="15"/>
                <w:color w:val="auto"/>
              </w:rPr>
            </w:pPr>
          </w:p>
        </w:tc>
        <w:tc>
          <w:tcPr>
            <w:tcW w:w="60" w:type="dxa"/>
            <w:vAlign w:val="bottom"/>
            <w:gridSpan w:val="2"/>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80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Convertible Preferred Stock and Stockholders’ Equity (Deficit) for the</w:t>
              </w:r>
            </w:hyperlink>
          </w:p>
        </w:tc>
      </w:tr>
      <w:tr>
        <w:trPr>
          <w:trHeight w:val="183"/>
        </w:trPr>
        <w:tc>
          <w:tcPr>
            <w:tcW w:w="1220" w:type="dxa"/>
            <w:vAlign w:val="bottom"/>
          </w:tcPr>
          <w:p>
            <w:pPr>
              <w:spacing w:after="0"/>
              <w:rPr>
                <w:sz w:val="15"/>
                <w:szCs w:val="15"/>
                <w:color w:val="auto"/>
              </w:rPr>
            </w:pPr>
          </w:p>
        </w:tc>
        <w:tc>
          <w:tcPr>
            <w:tcW w:w="5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three and nine months ended September 30, 2019 (Unaudited)</w:t>
              </w:r>
            </w:hyperlink>
          </w:p>
        </w:tc>
        <w:tc>
          <w:tcPr>
            <w:tcW w:w="3680" w:type="dxa"/>
            <w:vAlign w:val="bottom"/>
            <w:tcBorders>
              <w:top w:val="single" w:sz="8" w:color="0000EE"/>
            </w:tcBorders>
            <w:gridSpan w:val="2"/>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196"/>
        </w:trPr>
        <w:tc>
          <w:tcPr>
            <w:tcW w:w="1220" w:type="dxa"/>
            <w:vAlign w:val="bottom"/>
          </w:tcPr>
          <w:p>
            <w:pPr>
              <w:spacing w:after="0"/>
              <w:rPr>
                <w:sz w:val="17"/>
                <w:szCs w:val="17"/>
                <w:color w:val="auto"/>
              </w:rPr>
            </w:pPr>
          </w:p>
        </w:tc>
        <w:tc>
          <w:tcPr>
            <w:tcW w:w="880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Condensed Consolidated Statements of Cash Flows for the nine months ended September 30, 2020 and 2019</w:t>
              </w:r>
            </w:hyperlink>
          </w:p>
        </w:tc>
      </w:tr>
      <w:tr>
        <w:trPr>
          <w:trHeight w:val="183"/>
        </w:trPr>
        <w:tc>
          <w:tcPr>
            <w:tcW w:w="1220" w:type="dxa"/>
            <w:vAlign w:val="bottom"/>
          </w:tcPr>
          <w:p>
            <w:pPr>
              <w:spacing w:after="0"/>
              <w:rPr>
                <w:sz w:val="15"/>
                <w:szCs w:val="15"/>
                <w:color w:val="auto"/>
              </w:rPr>
            </w:pPr>
          </w:p>
        </w:tc>
        <w:tc>
          <w:tcPr>
            <w:tcW w:w="8800" w:type="dxa"/>
            <w:vAlign w:val="bottom"/>
            <w:gridSpan w:val="10"/>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8800" w:type="dxa"/>
            <w:vAlign w:val="bottom"/>
            <w:gridSpan w:val="10"/>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800" w:type="dxa"/>
            <w:vAlign w:val="bottom"/>
            <w:gridSpan w:val="10"/>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800" w:type="dxa"/>
            <w:vAlign w:val="bottom"/>
            <w:gridSpan w:val="10"/>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Quantitative and Qualitative Disclosures About Market Risk</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800" w:type="dxa"/>
            <w:vAlign w:val="bottom"/>
            <w:gridSpan w:val="10"/>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00" w:type="dxa"/>
            <w:vAlign w:val="bottom"/>
            <w:gridSpan w:val="10"/>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0"/>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1A.</w:t>
            </w:r>
          </w:p>
        </w:tc>
        <w:tc>
          <w:tcPr>
            <w:tcW w:w="8800" w:type="dxa"/>
            <w:vAlign w:val="bottom"/>
            <w:gridSpan w:val="10"/>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2.</w:t>
            </w:r>
          </w:p>
        </w:tc>
        <w:tc>
          <w:tcPr>
            <w:tcW w:w="8800" w:type="dxa"/>
            <w:vAlign w:val="bottom"/>
            <w:gridSpan w:val="10"/>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Unregistered Sales of Equity Securities and Use of Proceeds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3.</w:t>
            </w:r>
          </w:p>
        </w:tc>
        <w:tc>
          <w:tcPr>
            <w:tcW w:w="8800" w:type="dxa"/>
            <w:vAlign w:val="bottom"/>
            <w:gridSpan w:val="10"/>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Defaults Upon Senior Securities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4.</w:t>
            </w:r>
          </w:p>
        </w:tc>
        <w:tc>
          <w:tcPr>
            <w:tcW w:w="8800" w:type="dxa"/>
            <w:vAlign w:val="bottom"/>
            <w:gridSpan w:val="10"/>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Mine Safety Disclosures</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5.</w:t>
            </w:r>
          </w:p>
        </w:tc>
        <w:tc>
          <w:tcPr>
            <w:tcW w:w="8800" w:type="dxa"/>
            <w:vAlign w:val="bottom"/>
            <w:gridSpan w:val="10"/>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Other Information</w:t>
              </w:r>
            </w:hyperlink>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rPr>
              <w:t>Item 6.</w:t>
            </w:r>
          </w:p>
        </w:tc>
        <w:tc>
          <w:tcPr>
            <w:tcW w:w="8800" w:type="dxa"/>
            <w:vAlign w:val="bottom"/>
            <w:gridSpan w:val="10"/>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Exhibits</w:t>
              </w:r>
            </w:hyperlink>
          </w:p>
        </w:tc>
      </w:tr>
      <w:tr>
        <w:trPr>
          <w:trHeight w:val="243"/>
        </w:trPr>
        <w:tc>
          <w:tcPr>
            <w:tcW w:w="1220" w:type="dxa"/>
            <w:vAlign w:val="bottom"/>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Signatures</w:t>
              </w:r>
            </w:hyperlink>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8890</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ectPr>
          <w:pgSz w:w="11900" w:h="16838" w:orient="portrait"/>
          <w:cols w:equalWidth="0" w:num="2">
            <w:col w:w="10020" w:space="600"/>
            <w:col w:w="600"/>
          </w:cols>
          <w:pgMar w:left="320" w:top="11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253,976</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6)</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no shares issued or outstanding as of September 30, 2020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December 31, 2019, respectively</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$0.001 par value; 400,000,000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60"/>
              <w:spacing w:after="0" w:line="202" w:lineRule="exact"/>
              <w:rPr>
                <w:sz w:val="20"/>
                <w:szCs w:val="20"/>
                <w:color w:val="auto"/>
              </w:rPr>
            </w:pPr>
            <w:r>
              <w:rPr>
                <w:rFonts w:ascii="Arial" w:cs="Arial" w:eastAsia="Arial" w:hAnsi="Arial"/>
                <w:sz w:val="18"/>
                <w:szCs w:val="18"/>
                <w:color w:val="auto"/>
              </w:rPr>
              <w:t>68,934,767 and 66,960,279 shares issued and outstanding as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60"/>
              <w:spacing w:after="0" w:line="203" w:lineRule="exact"/>
              <w:rPr>
                <w:sz w:val="20"/>
                <w:szCs w:val="20"/>
                <w:color w:val="auto"/>
              </w:rPr>
            </w:pPr>
            <w:r>
              <w:rPr>
                <w:rFonts w:ascii="Arial" w:cs="Arial" w:eastAsia="Arial" w:hAnsi="Arial"/>
                <w:sz w:val="18"/>
                <w:szCs w:val="18"/>
                <w:color w:val="auto"/>
              </w:rPr>
              <w:t>September 30, 2020 and December 31, 2019, respectively</w:t>
            </w: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547,259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(270,640)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(196,144)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276,703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326,082</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57"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condensed consolidated balance sheet as of December 31, 2019 has been derived from the audited financial statements as of that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8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9"/>
                <w:szCs w:val="19"/>
                <w:color w:val="auto"/>
              </w:rPr>
            </w:pPr>
          </w:p>
        </w:tc>
        <w:tc>
          <w:tcPr>
            <w:tcW w:w="284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9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20" w:type="dxa"/>
            <w:vAlign w:val="bottom"/>
            <w:shd w:val="clear" w:color="auto" w:fill="CFF0FC"/>
          </w:tcPr>
          <w:p>
            <w:pPr>
              <w:spacing w:after="0"/>
              <w:rPr>
                <w:sz w:val="18"/>
                <w:szCs w:val="18"/>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143,761</w:t>
            </w:r>
          </w:p>
        </w:tc>
        <w:tc>
          <w:tcPr>
            <w:tcW w:w="2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104,507</w:t>
            </w:r>
          </w:p>
        </w:tc>
        <w:tc>
          <w:tcPr>
            <w:tcW w:w="120" w:type="dxa"/>
            <w:vAlign w:val="bottom"/>
            <w:shd w:val="clear" w:color="auto" w:fill="CFF0FC"/>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(12,997)</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(76,160)</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(32,046)</w:t>
            </w: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12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(29,765)</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(10,917)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(74,496)</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(26,854)</w:t>
            </w: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37"/>
        </w:trPr>
        <w:tc>
          <w:tcPr>
            <w:tcW w:w="49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(0.43)</w:t>
            </w:r>
          </w:p>
        </w:tc>
        <w:tc>
          <w:tcPr>
            <w:tcW w:w="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(0.17)</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(1.09)</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(0.60)</w:t>
            </w:r>
          </w:p>
        </w:tc>
      </w:tr>
      <w:tr>
        <w:trPr>
          <w:trHeight w:val="196"/>
        </w:trPr>
        <w:tc>
          <w:tcPr>
            <w:tcW w:w="49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w:t>
            </w: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49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68,815,696</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65,948,207</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68,174,654</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44,828,596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8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9"/>
                <w:szCs w:val="19"/>
                <w:color w:val="auto"/>
              </w:rPr>
            </w:pPr>
          </w:p>
        </w:tc>
        <w:tc>
          <w:tcPr>
            <w:tcW w:w="282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92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(29,765)</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(10,917)</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(74,496)</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(26,854)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9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(29,887)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(10,920)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(74,506)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(26,488)</w:t>
            </w:r>
          </w:p>
        </w:tc>
      </w:tr>
      <w:tr>
        <w:trPr>
          <w:trHeight w:val="20"/>
        </w:trPr>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Paid-In</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8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Gain (Loss)</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8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66,886</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526,771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(196,144)</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330,719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98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984</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3,590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3,591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from</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early exercises</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3,695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unrealized loss on</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available-for-sale securities</w:t>
            </w:r>
          </w:p>
        </w:tc>
        <w:tc>
          <w:tcPr>
            <w:tcW w:w="122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(80)</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line="157"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6"/>
        </w:trPr>
        <w:tc>
          <w:tcPr>
            <w:tcW w:w="39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(19,115)</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(19,115)</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67,891</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534,218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(215,259)</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318,972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exercise of stock options</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680</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2,365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2,366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in</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connection with employee</w:t>
            </w: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stock purchase plan</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109</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under 401(k) Plan</w:t>
            </w:r>
          </w:p>
        </w:tc>
        <w:tc>
          <w:tcPr>
            <w:tcW w:w="96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common stock from</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early exercises</w:t>
            </w: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16</w:t>
            </w:r>
          </w:p>
        </w:tc>
        <w:tc>
          <w:tcPr>
            <w:tcW w:w="2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tcPr>
          <w:p>
            <w:pPr>
              <w:ind w:left="380"/>
              <w:spacing w:after="0" w:line="157" w:lineRule="exact"/>
              <w:rPr>
                <w:sz w:val="20"/>
                <w:szCs w:val="20"/>
                <w:color w:val="auto"/>
              </w:rPr>
            </w:pPr>
            <w:r>
              <w:rPr>
                <w:rFonts w:ascii="Arial" w:cs="Arial" w:eastAsia="Arial" w:hAnsi="Arial"/>
                <w:sz w:val="14"/>
                <w:szCs w:val="14"/>
                <w:color w:val="auto"/>
              </w:rPr>
              <w:t>expense</w:t>
            </w:r>
          </w:p>
        </w:tc>
        <w:tc>
          <w:tcPr>
            <w:tcW w:w="122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3,723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3,723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unrealized gain on</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980" w:type="dxa"/>
            <w:vAlign w:val="bottom"/>
            <w:shd w:val="clear" w:color="auto" w:fill="CFF0FC"/>
          </w:tcPr>
          <w:p>
            <w:pPr>
              <w:ind w:left="380"/>
              <w:spacing w:after="0" w:line="157" w:lineRule="exact"/>
              <w:rPr>
                <w:sz w:val="20"/>
                <w:szCs w:val="20"/>
                <w:color w:val="auto"/>
              </w:rPr>
            </w:pPr>
            <w:r>
              <w:rPr>
                <w:rFonts w:ascii="Arial" w:cs="Arial" w:eastAsia="Arial" w:hAnsi="Arial"/>
                <w:sz w:val="14"/>
                <w:szCs w:val="14"/>
                <w:color w:val="auto"/>
              </w:rPr>
              <w:t>available-for-sale securities</w:t>
            </w:r>
          </w:p>
        </w:tc>
        <w:tc>
          <w:tcPr>
            <w:tcW w:w="122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192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(25,616)</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(25,616)</w:t>
            </w:r>
          </w:p>
        </w:tc>
        <w:tc>
          <w:tcPr>
            <w:tcW w:w="0" w:type="dxa"/>
            <w:vAlign w:val="bottom"/>
          </w:tcPr>
          <w:p>
            <w:pPr>
              <w:spacing w:after="0"/>
              <w:rPr>
                <w:sz w:val="1"/>
                <w:szCs w:val="1"/>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68,702</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541,833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(240,875)</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301,164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common stock from</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early exercises</w:t>
            </w:r>
          </w:p>
        </w:tc>
        <w:tc>
          <w:tcPr>
            <w:tcW w:w="96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8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4,049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ind w:left="360"/>
              <w:spacing w:after="0"/>
              <w:rPr>
                <w:sz w:val="20"/>
                <w:szCs w:val="20"/>
                <w:color w:val="auto"/>
              </w:rPr>
            </w:pPr>
            <w:r>
              <w:rPr>
                <w:rFonts w:ascii="Arial" w:cs="Arial" w:eastAsia="Arial" w:hAnsi="Arial"/>
                <w:sz w:val="13"/>
                <w:szCs w:val="13"/>
                <w:color w:val="auto"/>
              </w:rPr>
              <w:t>expense</w:t>
            </w:r>
          </w:p>
        </w:tc>
        <w:tc>
          <w:tcPr>
            <w:tcW w:w="12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unrealized loss on</w:t>
            </w:r>
          </w:p>
        </w:tc>
        <w:tc>
          <w:tcPr>
            <w:tcW w:w="9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(122)</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39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available-for-sale securities</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(29,765)</w:t>
            </w:r>
          </w:p>
        </w:tc>
        <w:tc>
          <w:tcPr>
            <w:tcW w:w="16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(29,765)</w:t>
            </w:r>
          </w:p>
        </w:tc>
        <w:tc>
          <w:tcPr>
            <w:tcW w:w="0" w:type="dxa"/>
            <w:vAlign w:val="bottom"/>
          </w:tcPr>
          <w:p>
            <w:pPr>
              <w:spacing w:after="0"/>
              <w:rPr>
                <w:sz w:val="1"/>
                <w:szCs w:val="1"/>
                <w:color w:val="auto"/>
              </w:rPr>
            </w:pPr>
          </w:p>
        </w:tc>
      </w:tr>
      <w:tr>
        <w:trPr>
          <w:trHeight w:val="20"/>
        </w:trPr>
        <w:tc>
          <w:tcPr>
            <w:tcW w:w="39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September 30, 2020</w:t>
            </w: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80" w:type="dxa"/>
            <w:vAlign w:val="bottom"/>
            <w:vMerge w:val="continue"/>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68,914</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547,259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(270,640)</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276,703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NGM BIOPHARMACEUTICALS,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CONVERTIBLE PREFERRED STOCK</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STOCKHOLDERS’ EQUITY (DEFICIT)</w:t>
      </w:r>
    </w:p>
    <w:p>
      <w:pPr>
        <w:jc w:val="center"/>
        <w:ind w:right="-79"/>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240"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Convertible</w:t>
      </w:r>
    </w:p>
    <w:p>
      <w:pPr>
        <w:spacing w:after="0" w:line="15"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Preferred Stock</w:t>
      </w:r>
    </w:p>
    <w:tbl>
      <w:tblPr>
        <w:tblLayout w:type="fixed"/>
        <w:tblInd w:w="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47,267</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294,874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under 401(k) Plan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Vesting of common stock from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early exercises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Changes in unrealized gain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available-for-sale securities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Net exercise of preferred stock</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warrant to Series A preferred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stock</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Cumulative effect adjustment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upon adoption of ASU 2014-09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47,283</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295,072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Conversion of Series A, B, C, D, 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convertible preferred stock to</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common stock concurrent with</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initial public offering</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(47,283)</w:t>
            </w:r>
          </w:p>
        </w:tc>
        <w:tc>
          <w:tcPr>
            <w:tcW w:w="1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(295,072)</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80"/>
              <w:spacing w:after="0"/>
              <w:rPr>
                <w:sz w:val="20"/>
                <w:szCs w:val="20"/>
                <w:color w:val="auto"/>
              </w:rPr>
            </w:pPr>
            <w:r>
              <w:rPr>
                <w:rFonts w:ascii="Arial" w:cs="Arial" w:eastAsia="Arial" w:hAnsi="Arial"/>
                <w:sz w:val="14"/>
                <w:szCs w:val="14"/>
                <w:color w:val="auto"/>
              </w:rPr>
              <w:t>initial public offering, net of</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issuance cost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private placement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common stock upon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Vesting of common stock from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early exercises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240" w:type="dxa"/>
            <w:vAlign w:val="bottom"/>
          </w:tcPr>
          <w:p>
            <w:pPr>
              <w:ind w:left="260"/>
              <w:spacing w:after="0"/>
              <w:rPr>
                <w:sz w:val="20"/>
                <w:szCs w:val="20"/>
                <w:color w:val="auto"/>
              </w:rPr>
            </w:pPr>
            <w:r>
              <w:rPr>
                <w:rFonts w:ascii="Arial" w:cs="Arial" w:eastAsia="Arial" w:hAnsi="Arial"/>
                <w:sz w:val="14"/>
                <w:szCs w:val="14"/>
                <w:color w:val="auto"/>
              </w:rPr>
              <w:t>Changes in unrealized gain on</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380"/>
              <w:spacing w:after="0"/>
              <w:rPr>
                <w:sz w:val="20"/>
                <w:szCs w:val="20"/>
                <w:color w:val="auto"/>
              </w:rPr>
            </w:pPr>
            <w:r>
              <w:rPr>
                <w:rFonts w:ascii="Arial" w:cs="Arial" w:eastAsia="Arial" w:hAnsi="Arial"/>
                <w:sz w:val="14"/>
                <w:szCs w:val="14"/>
                <w:color w:val="auto"/>
              </w:rPr>
              <w:t>available-for-sale securities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4"/>
                <w:szCs w:val="14"/>
                <w:color w:val="auto"/>
              </w:rPr>
              <w:t>Balance at June 30, 2019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60"/>
              <w:spacing w:after="0"/>
              <w:rPr>
                <w:sz w:val="20"/>
                <w:szCs w:val="20"/>
                <w:color w:val="auto"/>
              </w:rPr>
            </w:pPr>
            <w:r>
              <w:rPr>
                <w:rFonts w:ascii="Arial" w:cs="Arial" w:eastAsia="Arial" w:hAnsi="Arial"/>
                <w:sz w:val="13"/>
                <w:szCs w:val="13"/>
                <w:color w:val="auto"/>
              </w:rPr>
              <w:t>Issuance of common stock upon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rPr>
                <w:sz w:val="20"/>
                <w:szCs w:val="20"/>
                <w:color w:val="auto"/>
              </w:rPr>
            </w:pPr>
            <w:r>
              <w:rPr>
                <w:rFonts w:ascii="Arial" w:cs="Arial" w:eastAsia="Arial" w:hAnsi="Arial"/>
                <w:sz w:val="13"/>
                <w:szCs w:val="13"/>
                <w:color w:val="auto"/>
              </w:rPr>
              <w:t>Vesting of common stock from</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3"/>
                <w:szCs w:val="13"/>
                <w:color w:val="auto"/>
              </w:rPr>
              <w:t>early exercises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240" w:type="dxa"/>
            <w:vAlign w:val="bottom"/>
          </w:tcPr>
          <w:p>
            <w:pPr>
              <w:ind w:left="260"/>
              <w:spacing w:after="0"/>
              <w:rPr>
                <w:sz w:val="20"/>
                <w:szCs w:val="20"/>
                <w:color w:val="auto"/>
              </w:rPr>
            </w:pPr>
            <w:r>
              <w:rPr>
                <w:rFonts w:ascii="Arial" w:cs="Arial" w:eastAsia="Arial" w:hAnsi="Arial"/>
                <w:sz w:val="13"/>
                <w:szCs w:val="13"/>
                <w:color w:val="auto"/>
              </w:rPr>
              <w:t>Changes in unrealized loss on</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3"/>
                <w:szCs w:val="13"/>
                <w:color w:val="auto"/>
              </w:rPr>
              <w:t>available-for-sale securities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24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20"/>
                <w:szCs w:val="20"/>
                <w:color w:val="auto"/>
              </w:rPr>
            </w:pPr>
            <w:r>
              <w:rPr>
                <w:rFonts w:ascii="Arial" w:cs="Arial" w:eastAsia="Arial" w:hAnsi="Arial"/>
                <w:sz w:val="13"/>
                <w:szCs w:val="13"/>
                <w:color w:val="auto"/>
              </w:rPr>
              <w:t>Balance at September 30, 2019</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4"/>
            <w:vMerge w:val="restart"/>
          </w:tcPr>
          <w:p>
            <w:pPr>
              <w:jc w:val="right"/>
              <w:ind w:right="109"/>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24"/>
                <w:szCs w:val="24"/>
                <w:b w:val="1"/>
                <w:bCs w:val="1"/>
                <w:color w:val="auto"/>
                <w:vertAlign w:val="superscript"/>
              </w:rPr>
              <w:t>(1)</w:t>
            </w:r>
          </w:p>
        </w:tc>
        <w:tc>
          <w:tcPr>
            <w:tcW w:w="200" w:type="dxa"/>
            <w:vAlign w:val="bottom"/>
            <w:vMerge w:val="restart"/>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20" w:type="dxa"/>
            <w:vAlign w:val="bottom"/>
            <w:tcBorders>
              <w:bottom w:val="single" w:sz="8" w:color="auto"/>
            </w:tcBorders>
            <w:gridSpan w:val="4"/>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Gain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Equity(Deficit)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4"/>
                <w:szCs w:val="14"/>
                <w:color w:val="auto"/>
              </w:rPr>
              <w:t>6,733</w:t>
            </w:r>
          </w:p>
        </w:tc>
        <w:tc>
          <w:tcPr>
            <w:tcW w:w="2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39,258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(267)</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(147,193)</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(108,195)</w:t>
            </w:r>
          </w:p>
        </w:tc>
        <w:tc>
          <w:tcPr>
            <w:tcW w:w="0" w:type="dxa"/>
            <w:vAlign w:val="bottom"/>
          </w:tcPr>
          <w:p>
            <w:pPr>
              <w:spacing w:after="0"/>
              <w:rPr>
                <w:sz w:val="1"/>
                <w:szCs w:val="1"/>
                <w:color w:val="auto"/>
              </w:rPr>
            </w:pPr>
          </w:p>
        </w:tc>
      </w:tr>
      <w:tr>
        <w:trPr>
          <w:trHeight w:val="346"/>
        </w:trPr>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(6,156)</w:t>
            </w: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61"/>
        </w:trPr>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(8,268)</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(8,268)</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60" w:type="dxa"/>
            <w:vAlign w:val="bottom"/>
          </w:tcPr>
          <w:p>
            <w:pPr>
              <w:jc w:val="right"/>
              <w:spacing w:after="0"/>
              <w:rPr>
                <w:sz w:val="20"/>
                <w:szCs w:val="20"/>
                <w:color w:val="auto"/>
              </w:rPr>
            </w:pPr>
            <w:r>
              <w:rPr>
                <w:rFonts w:ascii="Arial" w:cs="Arial" w:eastAsia="Arial" w:hAnsi="Arial"/>
                <w:sz w:val="14"/>
                <w:szCs w:val="14"/>
                <w:color w:val="auto"/>
              </w:rPr>
              <w:t>6,855</w:t>
            </w:r>
          </w:p>
        </w:tc>
        <w:tc>
          <w:tcPr>
            <w:tcW w:w="2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42,477</w:t>
            </w:r>
          </w:p>
        </w:tc>
        <w:tc>
          <w:tcPr>
            <w:tcW w:w="2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(161,617)</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(119,178)</w:t>
            </w:r>
          </w:p>
        </w:tc>
        <w:tc>
          <w:tcPr>
            <w:tcW w:w="0" w:type="dxa"/>
            <w:vAlign w:val="bottom"/>
          </w:tcPr>
          <w:p>
            <w:pPr>
              <w:spacing w:after="0"/>
              <w:rPr>
                <w:sz w:val="1"/>
                <w:szCs w:val="1"/>
                <w:color w:val="auto"/>
              </w:rPr>
            </w:pPr>
          </w:p>
        </w:tc>
      </w:tr>
      <w:tr>
        <w:trPr>
          <w:trHeight w:val="662"/>
        </w:trPr>
        <w:tc>
          <w:tcPr>
            <w:tcW w:w="660" w:type="dxa"/>
            <w:vAlign w:val="bottom"/>
          </w:tcPr>
          <w:p>
            <w:pPr>
              <w:jc w:val="right"/>
              <w:spacing w:after="0"/>
              <w:rPr>
                <w:sz w:val="20"/>
                <w:szCs w:val="20"/>
                <w:color w:val="auto"/>
              </w:rPr>
            </w:pPr>
            <w:r>
              <w:rPr>
                <w:rFonts w:ascii="Arial" w:cs="Arial" w:eastAsia="Arial" w:hAnsi="Arial"/>
                <w:sz w:val="14"/>
                <w:szCs w:val="14"/>
                <w:color w:val="auto"/>
              </w:rPr>
              <w:t>47,283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295,025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295,072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60" w:type="dxa"/>
            <w:vAlign w:val="bottom"/>
          </w:tcPr>
          <w:p>
            <w:pPr>
              <w:jc w:val="right"/>
              <w:spacing w:after="0"/>
              <w:rPr>
                <w:sz w:val="20"/>
                <w:szCs w:val="20"/>
                <w:color w:val="auto"/>
              </w:rPr>
            </w:pPr>
            <w:r>
              <w:rPr>
                <w:rFonts w:ascii="Arial" w:cs="Arial" w:eastAsia="Arial" w:hAnsi="Arial"/>
                <w:sz w:val="14"/>
                <w:szCs w:val="14"/>
                <w:color w:val="auto"/>
              </w:rPr>
              <w:t>7,521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107,748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107,756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4,122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65,943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(7,669)</w:t>
            </w:r>
          </w:p>
        </w:tc>
        <w:tc>
          <w:tcPr>
            <w:tcW w:w="2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(7,669)</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4"/>
                <w:szCs w:val="14"/>
                <w:color w:val="auto"/>
              </w:rPr>
              <w:t>65,899</w:t>
            </w:r>
          </w:p>
        </w:tc>
        <w:tc>
          <w:tcPr>
            <w:tcW w:w="2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515,248</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(169,286)</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346,130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jc w:val="right"/>
              <w:spacing w:after="0"/>
              <w:rPr>
                <w:sz w:val="20"/>
                <w:szCs w:val="20"/>
                <w:color w:val="auto"/>
              </w:rPr>
            </w:pPr>
            <w:r>
              <w:rPr>
                <w:rFonts w:ascii="Arial" w:cs="Arial" w:eastAsia="Arial" w:hAnsi="Arial"/>
                <w:sz w:val="13"/>
                <w:szCs w:val="13"/>
                <w:color w:val="auto"/>
              </w:rPr>
              <w:t>116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3,089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9"/>
        </w:trPr>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(10,917)</w:t>
            </w:r>
          </w:p>
        </w:tc>
        <w:tc>
          <w:tcPr>
            <w:tcW w:w="2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(10,917)</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jc w:val="right"/>
              <w:spacing w:after="0"/>
              <w:rPr>
                <w:sz w:val="20"/>
                <w:szCs w:val="20"/>
                <w:color w:val="auto"/>
              </w:rPr>
            </w:pPr>
            <w:r>
              <w:rPr>
                <w:rFonts w:ascii="Arial" w:cs="Arial" w:eastAsia="Arial" w:hAnsi="Arial"/>
                <w:sz w:val="14"/>
                <w:szCs w:val="14"/>
                <w:color w:val="auto"/>
              </w:rPr>
              <w:t>66,047</w:t>
            </w:r>
          </w:p>
        </w:tc>
        <w:tc>
          <w:tcPr>
            <w:tcW w:w="2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519,224</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(180,203)</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339,186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60" w:space="260"/>
            <w:col w:w="6060"/>
          </w:cols>
          <w:pgMar w:left="320" w:top="118" w:right="399" w:bottom="1440" w:gutter="0" w:footer="0" w:header="0"/>
          <w:type w:val="continuous"/>
        </w:sectPr>
      </w:pPr>
    </w:p>
    <w:p>
      <w:pPr>
        <w:spacing w:after="0" w:line="115" w:lineRule="exact"/>
        <w:rPr>
          <w:sz w:val="20"/>
          <w:szCs w:val="20"/>
          <w:color w:val="auto"/>
        </w:rPr>
      </w:pPr>
    </w:p>
    <w:p>
      <w:pPr>
        <w:ind w:left="400" w:hanging="392"/>
        <w:spacing w:after="0" w:line="247"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April 2019, the Company completed its initial public offering (“IPO”) and concurrent private placement with Merck Sharp &amp; Dohme Corp. (“Merck”), in which the Company issued an aggregate of 7,521,394 and 4,121,683 shares of common stock, respectively, for net proceeds of $107.8 million and $65.9 million, respectively. Upon the closing of the IPO, all of the then outstanding shares of convertible preferred stock were automatically converted into shares of common stock and its related carrying amount of $295.1 million was reclassified to common stock and additional paid-in-capital.</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Nine Months Ended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7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1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(74,496)</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(26,854)</w:t>
            </w: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marketable securities</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(1,024)</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9,246</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expenses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Related party receivable from collaboration</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(4,334)</w:t>
            </w: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(7,108)</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(1,318)</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(2,104)</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(1,994)</w:t>
            </w:r>
          </w:p>
        </w:tc>
      </w:tr>
      <w:tr>
        <w:trPr>
          <w:trHeight w:val="216"/>
        </w:trPr>
        <w:tc>
          <w:tcPr>
            <w:tcW w:w="7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(14,499)</w:t>
            </w:r>
          </w:p>
        </w:tc>
      </w:tr>
      <w:tr>
        <w:trPr>
          <w:trHeight w:val="20"/>
        </w:trPr>
        <w:tc>
          <w:tcPr>
            <w:tcW w:w="7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1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(63,456)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(26,573)</w:t>
            </w:r>
          </w:p>
        </w:tc>
      </w:tr>
      <w:tr>
        <w:trPr>
          <w:trHeight w:val="209"/>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(29,399)</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(75,224)</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sales and maturities of marketable securities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172,767</w:t>
            </w:r>
          </w:p>
        </w:tc>
        <w:tc>
          <w:tcPr>
            <w:tcW w:w="12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(2,430)</w:t>
            </w:r>
          </w:p>
        </w:tc>
      </w:tr>
      <w:tr>
        <w:trPr>
          <w:trHeight w:val="209"/>
        </w:trPr>
        <w:tc>
          <w:tcPr>
            <w:tcW w:w="71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1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63,533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95,113</w:t>
            </w:r>
          </w:p>
        </w:tc>
        <w:tc>
          <w:tcPr>
            <w:tcW w:w="120" w:type="dxa"/>
            <w:vAlign w:val="bottom"/>
            <w:tcBorders>
              <w:bottom w:val="single" w:sz="8" w:color="CFF0FC"/>
            </w:tcBorders>
          </w:tcPr>
          <w:p>
            <w:pPr>
              <w:spacing w:after="0"/>
              <w:rPr>
                <w:sz w:val="18"/>
                <w:szCs w:val="18"/>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initial</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public offering, net of issuance costs</w:t>
            </w:r>
          </w:p>
        </w:tc>
        <w:tc>
          <w:tcPr>
            <w:tcW w:w="1160" w:type="dxa"/>
            <w:vAlign w:val="bottom"/>
          </w:tcPr>
          <w:p>
            <w:pPr>
              <w:spacing w:after="0"/>
              <w:rPr>
                <w:sz w:val="17"/>
                <w:szCs w:val="17"/>
                <w:color w:val="auto"/>
              </w:rPr>
            </w:pP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110,078</w:t>
            </w:r>
          </w:p>
        </w:tc>
        <w:tc>
          <w:tcPr>
            <w:tcW w:w="120" w:type="dxa"/>
            <w:vAlign w:val="bottom"/>
          </w:tcPr>
          <w:p>
            <w:pPr>
              <w:spacing w:after="0"/>
              <w:rPr>
                <w:sz w:val="17"/>
                <w:szCs w:val="17"/>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completion</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private placement</w:t>
            </w:r>
          </w:p>
        </w:tc>
        <w:tc>
          <w:tcPr>
            <w:tcW w:w="1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65,947</w:t>
            </w:r>
          </w:p>
        </w:tc>
        <w:tc>
          <w:tcPr>
            <w:tcW w:w="120" w:type="dxa"/>
            <w:vAlign w:val="bottom"/>
            <w:shd w:val="clear" w:color="auto" w:fill="CFF0FC"/>
          </w:tcPr>
          <w:p>
            <w:pPr>
              <w:spacing w:after="0"/>
              <w:rPr>
                <w:sz w:val="17"/>
                <w:szCs w:val="17"/>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upon exercise</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of stock options</w:t>
            </w:r>
          </w:p>
        </w:tc>
        <w:tc>
          <w:tcPr>
            <w:tcW w:w="1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1,153</w:t>
            </w:r>
          </w:p>
        </w:tc>
        <w:tc>
          <w:tcPr>
            <w:tcW w:w="120" w:type="dxa"/>
            <w:vAlign w:val="bottom"/>
          </w:tcPr>
          <w:p>
            <w:pPr>
              <w:spacing w:after="0"/>
              <w:rPr>
                <w:sz w:val="17"/>
                <w:szCs w:val="17"/>
                <w:color w:val="auto"/>
              </w:rPr>
            </w:pPr>
          </w:p>
        </w:tc>
      </w:tr>
      <w:tr>
        <w:trPr>
          <w:trHeight w:val="215"/>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in connection</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with employee stock purchase plan</w:t>
            </w: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1,285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60"/>
              <w:spacing w:after="0"/>
              <w:rPr>
                <w:sz w:val="20"/>
                <w:szCs w:val="20"/>
                <w:color w:val="auto"/>
              </w:rPr>
            </w:pPr>
            <w:r>
              <w:rPr>
                <w:rFonts w:ascii="Arial" w:cs="Arial" w:eastAsia="Arial" w:hAnsi="Arial"/>
                <w:sz w:val="18"/>
                <w:szCs w:val="18"/>
                <w:color w:val="auto"/>
              </w:rPr>
              <w:t>Payments of deferred financing costs</w:t>
            </w:r>
          </w:p>
        </w:tc>
        <w:tc>
          <w:tcPr>
            <w:tcW w:w="1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1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177,178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245,718</w:t>
            </w:r>
          </w:p>
        </w:tc>
        <w:tc>
          <w:tcPr>
            <w:tcW w:w="120" w:type="dxa"/>
            <w:vAlign w:val="bottom"/>
          </w:tcPr>
          <w:p>
            <w:pPr>
              <w:spacing w:after="0"/>
              <w:rPr>
                <w:sz w:val="18"/>
                <w:szCs w:val="18"/>
                <w:color w:val="auto"/>
              </w:rPr>
            </w:pPr>
          </w:p>
        </w:tc>
      </w:tr>
      <w:tr>
        <w:trPr>
          <w:trHeight w:val="215"/>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71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period</w:t>
            </w:r>
          </w:p>
        </w:tc>
        <w:tc>
          <w:tcPr>
            <w:tcW w:w="1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247,472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59,172</w:t>
            </w:r>
          </w:p>
        </w:tc>
        <w:tc>
          <w:tcPr>
            <w:tcW w:w="120" w:type="dxa"/>
            <w:vAlign w:val="bottom"/>
            <w:shd w:val="clear" w:color="auto" w:fill="CFF0FC"/>
          </w:tcPr>
          <w:p>
            <w:pPr>
              <w:spacing w:after="0"/>
              <w:rPr>
                <w:sz w:val="17"/>
                <w:szCs w:val="17"/>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255,475</w:t>
            </w:r>
          </w:p>
        </w:tc>
        <w:tc>
          <w:tcPr>
            <w:tcW w:w="160" w:type="dxa"/>
            <w:vAlign w:val="bottom"/>
          </w:tcPr>
          <w:p>
            <w:pPr>
              <w:spacing w:after="0"/>
              <w:rPr>
                <w:sz w:val="18"/>
                <w:szCs w:val="18"/>
                <w:color w:val="auto"/>
              </w:rPr>
            </w:pP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304,890</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ind w:left="260"/>
              <w:spacing w:after="0"/>
              <w:rPr>
                <w:sz w:val="20"/>
                <w:szCs w:val="20"/>
                <w:color w:val="auto"/>
              </w:rPr>
            </w:pPr>
            <w:r>
              <w:rPr>
                <w:rFonts w:ascii="Arial" w:cs="Arial" w:eastAsia="Arial" w:hAnsi="Arial"/>
                <w:sz w:val="18"/>
                <w:szCs w:val="18"/>
                <w:color w:val="auto"/>
              </w:rPr>
              <w:t>Net exercise of convertible preferred stock warrant to Series</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100" w:type="dxa"/>
            <w:vAlign w:val="bottom"/>
          </w:tcPr>
          <w:p>
            <w:pPr>
              <w:ind w:left="400"/>
              <w:spacing w:after="0" w:line="203" w:lineRule="exact"/>
              <w:rPr>
                <w:sz w:val="20"/>
                <w:szCs w:val="20"/>
                <w:color w:val="auto"/>
              </w:rPr>
            </w:pPr>
            <w:r>
              <w:rPr>
                <w:rFonts w:ascii="Arial" w:cs="Arial" w:eastAsia="Arial" w:hAnsi="Arial"/>
                <w:sz w:val="18"/>
                <w:szCs w:val="18"/>
                <w:color w:val="auto"/>
              </w:rPr>
              <w:t>A preferred stock</w:t>
            </w:r>
          </w:p>
        </w:tc>
        <w:tc>
          <w:tcPr>
            <w:tcW w:w="1160" w:type="dxa"/>
            <w:vAlign w:val="bottom"/>
          </w:tcPr>
          <w:p>
            <w:pPr>
              <w:jc w:val="right"/>
              <w:ind w:right="97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r>
      <w:tr>
        <w:trPr>
          <w:trHeight w:val="216"/>
        </w:trPr>
        <w:tc>
          <w:tcPr>
            <w:tcW w:w="7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common stock from early exercises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8"/>
                <w:szCs w:val="18"/>
                <w:color w:val="auto"/>
              </w:rPr>
            </w:pPr>
          </w:p>
        </w:tc>
      </w:tr>
      <w:tr>
        <w:trPr>
          <w:trHeight w:val="230"/>
        </w:trPr>
        <w:tc>
          <w:tcPr>
            <w:tcW w:w="7100" w:type="dxa"/>
            <w:vAlign w:val="bottom"/>
          </w:tcPr>
          <w:p>
            <w:pPr>
              <w:ind w:left="260"/>
              <w:spacing w:after="0"/>
              <w:rPr>
                <w:sz w:val="20"/>
                <w:szCs w:val="20"/>
                <w:color w:val="auto"/>
              </w:rPr>
            </w:pPr>
            <w:r>
              <w:rPr>
                <w:rFonts w:ascii="Arial" w:cs="Arial" w:eastAsia="Arial" w:hAnsi="Arial"/>
                <w:sz w:val="18"/>
                <w:szCs w:val="18"/>
                <w:color w:val="auto"/>
              </w:rPr>
              <w:t>Deferred offering costs accrued but not yet paid</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CONDSENSED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biopharmaceutical company focused on discovering and developing novel therapeutics based on scientific understanding of key biological pathways underlying liver and metabolic diseases, retinal diseases and cancer. The six most advanced proprietary product candidates in the Company’s portfolio are aldafermin (NGM282), NGM313, NGM621, NGM120, NGM395 and NGM707.</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(“U.S. GAAP”) and Regulation S-X for interim consolidated financial information. These unaudited condensed consolidated financial statements should be read in conjunction with the audited consolidated financial statements and notes for the year ended December 31, 2019 included in the Company’s Annual Report on Form 10-K for the year ended December 31, 2019 filed with the United States Securities and Exchange Commission (“SEC”) on March 17, 2020 (the “Annual Report”).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 and its wholly-owned foreign subsidiary in Australia. All intercompany balances and transactions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and nine months ended September 30, 2020, the Company incurred net losses of $29.8 million and $74.5 million, respectively, compared to $10.9 million and $26.9 million, respectively, for the three and nine months ended September 30, 2019. As of September 30, 2020, the Company had an accumulated deficit of $270.6 million and does not expect to experience positive cash flows from operations in the near future. The Company had $287.9 million of cash, cash equivalents and marketable securities as of September 30, 2020, which it considers sufficient to fund its operations for a period of at least one year from the date these unaudited condensed consolidated financial statements are available for issuance. The Company plans to continue to fund its operations and pursue its strategy through public or private equity or debt financings, government or other third-party funding, collaborations, strategic alliances, licensing arrangements or a combination of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carrying amounts of cash and cash equivalents, receivables from collaborations, the related party receivables from collaboration and other current assets and liabilities approximate their respective fair values because of the short-term nature of those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September 30, 2020 and December 31, 2019,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available-for-sale,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fair value of an investment is below its carrying value and this decline is other-than-temporary, the Company reduces the carrying value of the security it holds and records a loss for the amount of such decline. As of September 30, 2020, the Company did not record any impairment related to other-than-temporary declines in the fair value of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restricted cash represents collateral in connection with the lease on the Company’s headquarters entered into in 2015 and is classified as a non-current asset on the condensed consolidated balance sheets as the collateral will not be returned to the Company in less than 12 months </w:t>
      </w:r>
      <w:r>
        <w:rPr>
          <w:rFonts w:ascii="Arial" w:cs="Arial" w:eastAsia="Arial" w:hAnsi="Arial"/>
          <w:sz w:val="18"/>
          <w:szCs w:val="18"/>
          <w:i w:val="1"/>
          <w:iCs w:val="1"/>
          <w:color w:val="auto"/>
        </w:rPr>
        <w:t>(Note 6)</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both"/>
        <w:ind w:right="20"/>
        <w:spacing w:after="0" w:line="250" w:lineRule="auto"/>
        <w:rPr>
          <w:sz w:val="20"/>
          <w:szCs w:val="20"/>
          <w:color w:val="auto"/>
        </w:rPr>
      </w:pPr>
      <w:r>
        <w:rPr>
          <w:rFonts w:ascii="Arial" w:cs="Arial" w:eastAsia="Arial" w:hAnsi="Arial"/>
          <w:sz w:val="18"/>
          <w:szCs w:val="18"/>
          <w:color w:val="auto"/>
        </w:rPr>
        <w:t xml:space="preserve">Related party receivables from collaboration agreements </w:t>
      </w:r>
      <w:r>
        <w:rPr>
          <w:rFonts w:ascii="Arial" w:cs="Arial" w:eastAsia="Arial" w:hAnsi="Arial"/>
          <w:sz w:val="18"/>
          <w:szCs w:val="18"/>
          <w:i w:val="1"/>
          <w:iCs w:val="1"/>
          <w:color w:val="auto"/>
        </w:rPr>
        <w:t>(Note 5)</w:t>
      </w:r>
      <w:r>
        <w:rPr>
          <w:rFonts w:ascii="Arial" w:cs="Arial" w:eastAsia="Arial" w:hAnsi="Arial"/>
          <w:sz w:val="18"/>
          <w:szCs w:val="18"/>
          <w:color w:val="auto"/>
        </w:rPr>
        <w:t xml:space="preserve"> are typically unsecured. Accordingly, the Company may be exposed to credit risk generally associated with its Research Collaboration, Product Development and License Agreement with Merck (“Collaboration Agreement”). To date, the Company has not experienced any losses related to these 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Merck accounted for 100% of the Company’s revenue for the three and nine months ended September 30, 2020 and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780" w:type="dxa"/>
            <w:vAlign w:val="bottom"/>
            <w:shd w:val="clear" w:color="auto" w:fill="CFF0FC"/>
          </w:tcPr>
          <w:p>
            <w:pPr>
              <w:ind w:left="2180"/>
              <w:spacing w:after="0"/>
              <w:rPr>
                <w:sz w:val="20"/>
                <w:szCs w:val="20"/>
                <w:color w:val="auto"/>
              </w:rPr>
            </w:pPr>
            <w:r>
              <w:rPr>
                <w:rFonts w:ascii="Arial" w:cs="Arial" w:eastAsia="Arial" w:hAnsi="Arial"/>
                <w:sz w:val="18"/>
                <w:szCs w:val="18"/>
                <w:color w:val="auto"/>
              </w:rPr>
              <w:t>3 years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80" w:type="dxa"/>
            <w:vAlign w:val="bottom"/>
          </w:tcPr>
          <w:p>
            <w:pPr>
              <w:ind w:left="21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780" w:type="dxa"/>
            <w:vAlign w:val="bottom"/>
            <w:shd w:val="clear" w:color="auto" w:fill="CFF0FC"/>
          </w:tcPr>
          <w:p>
            <w:pPr>
              <w:ind w:left="21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applicable lease. Incentives granted under the Company’s facilities leases, including allowances to fund leasehold improvements and rent holidays, are capitalized and are recognized as reductions to rental expense on a straight-line basis over the term of the applicable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September 30, 2020 and December 31, 2019, no revision to the remaining useful lives or write-down of long-lived assets was required.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adopted Accounting Standards Update (“ASU”) 2014-09, Revenue from Contracts with Customers (Topic 606), and subsequent amendments, on January 1, 2019.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jc w:val="both"/>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(“CROs”) and other service providers, as they are incurred, based upon estimates of the work completed over the life of the individual study in accordance with associated agreements. The Company uses assessments by internal personnel and information it receives from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issued under the Company’s 2019 Employee Stock Purchase Plan (“ESPP”). Stock-based compensation to employees is valued on the grant date of each award using the Black-Scholes option-pricing model, and its estimated fair value is recognized over the period during which the employee is required to provide services in exchange for the award, which is generally the vesting period of each award. Stock-based compensation expense for non-employee stock-based awards is also measured based on the fair value on grant date with its estimated fair value recorded over the period for which the non-employee is required to provide services in exchange for the award. As non-cash stock-based compensation expense is based on awards ultimately expected to vest, it is reduced by an estimate for future forfeitures. Forfeitures are estimated at the time of grant and revised, if necessary, in subsequent periods if actual forfeitures materially differ from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functional currency of NGM Biopharmaceuticals Australia Pty Ltd., NGM Biopharmaceuticals, Inc’s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consolidated statements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3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three and nine months ended September 30, 2020, the difference between comprehensive loss and net loss consisted of changes in net unrealized gain on available-for-sale marketable securities of $0.1 million and zero , respectively, compared to zero and $0.4 million for the three and nine months ended September 30, 2019,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awards and warrants. Diluted net loss per share is computed giving effect to all potentially dilutive shares, including common stock issuable upon exercise of stock options, shares committed under the ESPP and unvested restricted common stock and stock units. As the Company incurred net losses for the three and nine months ended September 30, 2020 and 2019, all potential common shares were determined to be anti-dilutive and have been excluded in the diluted net loss per share calculations.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sets forth the computation of net loss per common share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4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9"/>
              </w:rPr>
              <w:t>September 30,</w:t>
            </w:r>
          </w:p>
        </w:tc>
      </w:tr>
      <w:tr>
        <w:trPr>
          <w:trHeight w:val="209"/>
        </w:trPr>
        <w:tc>
          <w:tcPr>
            <w:tcW w:w="48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CFF0FC"/>
            </w:tcBorders>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56"/>
        </w:trPr>
        <w:tc>
          <w:tcPr>
            <w:tcW w:w="48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(29,765)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(10,917)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(74,496)</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(26,854)</w:t>
            </w:r>
          </w:p>
        </w:tc>
      </w:tr>
      <w:tr>
        <w:trPr>
          <w:trHeight w:val="197"/>
        </w:trPr>
        <w:tc>
          <w:tcPr>
            <w:tcW w:w="48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7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r>
      <w:tr>
        <w:trPr>
          <w:trHeight w:val="215"/>
        </w:trPr>
        <w:tc>
          <w:tcPr>
            <w:tcW w:w="488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4880" w:type="dxa"/>
            <w:vAlign w:val="bottom"/>
          </w:tcPr>
          <w:p>
            <w:pPr>
              <w:ind w:left="260"/>
              <w:spacing w:after="0" w:line="203" w:lineRule="exact"/>
              <w:rPr>
                <w:sz w:val="20"/>
                <w:szCs w:val="20"/>
                <w:color w:val="auto"/>
              </w:rPr>
            </w:pPr>
            <w:r>
              <w:rPr>
                <w:rFonts w:ascii="Arial" w:cs="Arial" w:eastAsia="Arial" w:hAnsi="Arial"/>
                <w:sz w:val="18"/>
                <w:szCs w:val="18"/>
                <w:color w:val="auto"/>
              </w:rPr>
              <w:t>calculating net loss per share—basic and diluted</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68,815,696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65,948,207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68,174,654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44,828,596  (1)</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(0.43)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(0.60)</w:t>
            </w: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ind w:left="400" w:right="300" w:hanging="392"/>
        <w:spacing w:after="0" w:line="249"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April 2019, the Company completed its IPO and concurrent private placement with Merck, in which the Company issued an aggregate of 7,521,394 and 4,121,683 shares of common stock, respectively, and all of the then outstanding shares of convertible preferred stock were automatically converted into shares of common stock upon the closing of the IPO.</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Potentially dilutive securities that were not included in the diluted net loss per share calculations because they would be anti-dilutive were as follows:</w:t>
      </w: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640" w:type="dxa"/>
            <w:vAlign w:val="bottom"/>
            <w:gridSpan w:val="5"/>
          </w:tcPr>
          <w:p>
            <w:pPr>
              <w:ind w:left="180"/>
              <w:spacing w:after="0" w:line="195" w:lineRule="exact"/>
              <w:rPr>
                <w:sz w:val="20"/>
                <w:szCs w:val="20"/>
                <w:color w:val="auto"/>
              </w:rPr>
            </w:pPr>
            <w:r>
              <w:rPr>
                <w:rFonts w:ascii="Arial" w:cs="Arial" w:eastAsia="Arial" w:hAnsi="Arial"/>
                <w:sz w:val="18"/>
                <w:szCs w:val="18"/>
                <w:b w:val="1"/>
                <w:bCs w:val="1"/>
                <w:color w:val="auto"/>
              </w:rPr>
              <w:t>For the Three and Nine Months Ended</w:t>
            </w:r>
          </w:p>
        </w:tc>
      </w:tr>
      <w:tr>
        <w:trPr>
          <w:trHeight w:val="225"/>
        </w:trPr>
        <w:tc>
          <w:tcPr>
            <w:tcW w:w="7600" w:type="dxa"/>
            <w:vAlign w:val="bottom"/>
          </w:tcPr>
          <w:p>
            <w:pPr>
              <w:spacing w:after="0"/>
              <w:rPr>
                <w:sz w:val="19"/>
                <w:szCs w:val="19"/>
                <w:color w:val="auto"/>
              </w:rPr>
            </w:pPr>
          </w:p>
        </w:tc>
        <w:tc>
          <w:tcPr>
            <w:tcW w:w="232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10"/>
        </w:trPr>
        <w:tc>
          <w:tcPr>
            <w:tcW w:w="7600" w:type="dxa"/>
            <w:vAlign w:val="bottom"/>
            <w:tcBorders>
              <w:bottom w:val="single" w:sz="8" w:color="CFF0FC"/>
            </w:tcBorders>
          </w:tcPr>
          <w:p>
            <w:pPr>
              <w:spacing w:after="0"/>
              <w:rPr>
                <w:sz w:val="18"/>
                <w:szCs w:val="18"/>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8"/>
                <w:szCs w:val="18"/>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10,651,475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11,328,508</w:t>
            </w:r>
          </w:p>
        </w:tc>
        <w:tc>
          <w:tcPr>
            <w:tcW w:w="300" w:type="dxa"/>
            <w:vAlign w:val="bottom"/>
            <w:shd w:val="clear" w:color="auto" w:fill="CFF0FC"/>
          </w:tcPr>
          <w:p>
            <w:pPr>
              <w:spacing w:after="0"/>
              <w:rPr>
                <w:sz w:val="18"/>
                <w:szCs w:val="18"/>
                <w:color w:val="auto"/>
              </w:rPr>
            </w:pPr>
          </w:p>
        </w:tc>
      </w:tr>
      <w:tr>
        <w:trPr>
          <w:trHeight w:val="216"/>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committed under ESPP</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353,754</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429,369</w:t>
            </w:r>
          </w:p>
        </w:tc>
        <w:tc>
          <w:tcPr>
            <w:tcW w:w="300" w:type="dxa"/>
            <w:vAlign w:val="bottom"/>
            <w:tcBorders>
              <w:bottom w:val="single" w:sz="8" w:color="CFF0FC"/>
            </w:tcBorders>
          </w:tcPr>
          <w:p>
            <w:pPr>
              <w:spacing w:after="0"/>
              <w:rPr>
                <w:sz w:val="18"/>
                <w:szCs w:val="18"/>
                <w:color w:val="auto"/>
              </w:rPr>
            </w:pPr>
          </w:p>
        </w:tc>
      </w:tr>
      <w:tr>
        <w:trPr>
          <w:trHeight w:val="210"/>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11,005,229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11,757,877</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and nine months ended September 30, 2020 and 2019, the Company’s revenues were entirely within the United States based upon the location of its partner.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our condensed consolidated financial statements upon adoption. Under the Jumpstart Our Business Startups Act of 2012, as amended (the “JOBS Act”), the Company meets the definition of an emerging growth company, and has elected the extended transition period for complying with new or revised accounting standards pursuant to Section 107(b) of the JOBS 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ASU 2018-13 modifies the disclosure requirements on fair value measurements in Topic 820, Fair Value Measurements by removing the requirement to disclose amounts of and reasons for transfers between Level 1 and Level 2 of the fair value hierarchy, the policy for timing of transfers between levels and the valuation process for Level 3 fair value measurements. ASU 2018-13 also modifies existing disclosure requirements by clarifying that the measurement uncertainty disclosure is to communicate information about the uncertainty in measurement as of the reporting date, and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ASU 2018-13 effective January 1, 2020, noting no material impact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2016, the FASB issued ASU 2016 -02, Leases (Topic 842), which increases lease transparency and comparability among organizations. Under the new standard, lessees will be required to recognize right-of-use (“ROU”) assets and lease liabilities arising from lease arrangements on the consolidated balance sheets, with the exception of leases with a term of 12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condensed consolidated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The new guidance is now effective for the Company’s fiscal year beginning after December 15, 2021, and interim periods within fiscal years beginning after December 15, 2022.</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plans to adopt the new lease standard in accordance with the new guidance in the fiscal year beginning after January 1, 2022,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The Company will continue to evaluate the effect that this guidance will have on our condensed consolidated financial statements.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ASU 2016 -13, Financial Instruments – Credit Losses (Topic 326): Measurement of Credit Losses on Financial Instruments. The new standard amends guidance on reporting credit losses for financial assets held at amortized cost basis, including accounts receivable, investments classified as available for sale, such as our debt securities, and unbilled related party revenue. Estimated credit losses will be recorded as an allowance rather than a write-down. In November 2019, the FASB issued ASU 2019-10, which deferred the effective date for certain ASUs including ASU 2016-13. This standard is now effective for the Company’s fiscal year beginning after December 15, 2022. Early adoption is permitted for all entities. The Company is currently assessing the timing of adoption and the impact that the adoption of ASU 2016-13 will have on its condensed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jc w:val="both"/>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and presentation and disclosure requirements. ASU 2018-18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ASU 2018-18 will be effective for the Company’s fiscal year beginning after December 15, 2020, and interim periods within fiscal years beginning after December 15, 2021. The Company is currently assessing the timing of adoption and the impact that the adoption of ASU 2018-18 will have on its condensed consolidated financial statements.</w:t>
      </w:r>
    </w:p>
    <w:p>
      <w:pPr>
        <w:spacing w:after="0" w:line="205"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ASU 2019-12 will be effective for the Company for its fiscal year beginning after December 15, 2021, and interim periods within fiscal years beginning after December 15, 2022, and is required to be adopted prospectively, with the exception of certain specific amendments. The Company is currently assessing the timing of adoption and the impact that the adoption of ASU 2019</w:t>
      </w:r>
      <w:r>
        <w:rPr>
          <w:rFonts w:ascii="MS PGothic" w:cs="MS PGothic" w:eastAsia="MS PGothic" w:hAnsi="MS PGothic"/>
          <w:sz w:val="18"/>
          <w:szCs w:val="18"/>
          <w:color w:val="auto"/>
        </w:rPr>
        <w:t>‑</w:t>
      </w:r>
      <w:r>
        <w:rPr>
          <w:rFonts w:ascii="Arial" w:cs="Arial" w:eastAsia="Arial" w:hAnsi="Arial"/>
          <w:sz w:val="18"/>
          <w:szCs w:val="18"/>
          <w:color w:val="auto"/>
        </w:rPr>
        <w:t>12 will have on its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condensed consolidated financial statements.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12" w:lineRule="exact"/>
        <w:rPr>
          <w:sz w:val="20"/>
          <w:szCs w:val="20"/>
          <w:color w:val="auto"/>
        </w:rPr>
      </w:pPr>
    </w:p>
    <w:p>
      <w:pPr>
        <w:jc w:val="both"/>
        <w:ind w:left="560"/>
        <w:spacing w:after="0"/>
        <w:rPr>
          <w:sz w:val="20"/>
          <w:szCs w:val="20"/>
          <w:color w:val="auto"/>
        </w:rPr>
      </w:pPr>
      <w:r>
        <w:rPr>
          <w:rFonts w:ascii="Arial" w:cs="Arial" w:eastAsia="Arial" w:hAnsi="Arial"/>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jc w:val="both"/>
        <w:ind w:left="560"/>
        <w:spacing w:after="0" w:line="246"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jc w:val="both"/>
        <w:spacing w:after="0" w:line="238"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tbl>
      <w:tblPr>
        <w:tblLayout w:type="fixed"/>
        <w:tblInd w:w="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2" w:lineRule="exact"/>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5"/>
                <w:szCs w:val="15"/>
                <w:color w:val="auto"/>
              </w:rPr>
            </w:pPr>
          </w:p>
        </w:tc>
        <w:tc>
          <w:tcPr>
            <w:tcW w:w="1040" w:type="dxa"/>
            <w:vAlign w:val="bottom"/>
          </w:tcPr>
          <w:p>
            <w:pPr>
              <w:jc w:val="center"/>
              <w:ind w:right="30"/>
              <w:spacing w:after="0" w:line="182" w:lineRule="exact"/>
              <w:rPr>
                <w:sz w:val="20"/>
                <w:szCs w:val="20"/>
                <w:color w:val="auto"/>
              </w:rPr>
            </w:pPr>
            <w:r>
              <w:rPr>
                <w:rFonts w:ascii="Arial" w:cs="Arial" w:eastAsia="Arial" w:hAnsi="Arial"/>
                <w:sz w:val="18"/>
                <w:szCs w:val="18"/>
                <w:b w:val="1"/>
                <w:bCs w:val="1"/>
                <w:color w:val="auto"/>
                <w:w w:val="99"/>
              </w:rPr>
              <w:t>Gross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0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Unrealized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September 30, 2020</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247,666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281,624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cost of $33,958)</w:t>
            </w: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33,973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2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281,639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244,973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r>
      <w:tr>
        <w:trPr>
          <w:trHeight w:val="249"/>
        </w:trPr>
        <w:tc>
          <w:tcPr>
            <w:tcW w:w="58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343,861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21"/>
                <w:szCs w:val="21"/>
                <w:color w:val="auto"/>
              </w:rPr>
            </w:pP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$98,888)</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98,913</w:t>
            </w:r>
          </w:p>
        </w:tc>
        <w:tc>
          <w:tcPr>
            <w:tcW w:w="100" w:type="dxa"/>
            <w:vAlign w:val="bottom"/>
            <w:shd w:val="clear" w:color="auto" w:fill="CFF0FC"/>
          </w:tcPr>
          <w:p>
            <w:pPr>
              <w:spacing w:after="0"/>
              <w:rPr>
                <w:sz w:val="17"/>
                <w:szCs w:val="17"/>
                <w:color w:val="auto"/>
              </w:rPr>
            </w:pPr>
          </w:p>
        </w:tc>
      </w:tr>
      <w:tr>
        <w:trPr>
          <w:trHeight w:val="195"/>
        </w:trPr>
        <w:tc>
          <w:tcPr>
            <w:tcW w:w="5820" w:type="dxa"/>
            <w:vAlign w:val="bottom"/>
          </w:tcPr>
          <w:p>
            <w:pPr>
              <w:ind w:left="740"/>
              <w:spacing w:after="0" w:line="195" w:lineRule="exact"/>
              <w:rPr>
                <w:sz w:val="20"/>
                <w:szCs w:val="20"/>
                <w:color w:val="auto"/>
              </w:rPr>
            </w:pPr>
            <w:r>
              <w:rPr>
                <w:rFonts w:ascii="Arial" w:cs="Arial" w:eastAsia="Arial" w:hAnsi="Arial"/>
                <w:sz w:val="18"/>
                <w:szCs w:val="18"/>
                <w:color w:val="auto"/>
              </w:rPr>
              <w:t>Total cash and cash equivalents and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ind w:left="900"/>
              <w:spacing w:after="0" w:line="203" w:lineRule="exact"/>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$6.3 million and $0.6 million as of September 30, 2020 and December 31, 2019,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jc w:val="both"/>
        <w:ind w:right="20"/>
        <w:spacing w:after="0" w:line="237" w:lineRule="auto"/>
        <w:rPr>
          <w:sz w:val="20"/>
          <w:szCs w:val="20"/>
          <w:color w:val="auto"/>
        </w:rPr>
      </w:pPr>
      <w:r>
        <w:rPr>
          <w:rFonts w:ascii="Arial" w:cs="Arial" w:eastAsia="Arial" w:hAnsi="Arial"/>
          <w:sz w:val="18"/>
          <w:szCs w:val="18"/>
          <w:color w:val="auto"/>
        </w:rPr>
        <w:t>As of September 30, 2020 and December 31, 2019, the Company’s marketable securities had remaining contractual maturities less than one year. As of September 30, 2020, there were no marketable securities in an unrealized loss position compared to four marketable securities in an unrealized loss position as of December 31, 2019. Marketable securities that had been in an unrealized loss position as of December 31, 2019 had been in an unrealized loss position for less than 12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September 30, 2020 and December 31, 2019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September 30, 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247,666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24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247,666</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33,973</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98,913</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nine months ended September 30, 2020 and year ended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 and Restricted Cash</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00" w:type="dxa"/>
            <w:vAlign w:val="bottom"/>
            <w:tcBorders>
              <w:bottom w:val="single" w:sz="8" w:color="CFF0FC"/>
            </w:tcBorders>
          </w:tcPr>
          <w:p>
            <w:pPr>
              <w:spacing w:after="0"/>
              <w:rPr>
                <w:sz w:val="19"/>
                <w:szCs w:val="19"/>
                <w:color w:val="auto"/>
              </w:rPr>
            </w:pPr>
          </w:p>
        </w:tc>
        <w:tc>
          <w:tcPr>
            <w:tcW w:w="29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253,976</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9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3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255,475</w:t>
            </w: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247,472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bottom w:val="single" w:sz="8" w:color="CFF0FC"/>
            </w:tcBorders>
            <w:vMerge w:val="restart"/>
          </w:tcPr>
          <w:p>
            <w:pPr>
              <w:jc w:val="right"/>
              <w:ind w:right="18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6"/>
        </w:trPr>
        <w:tc>
          <w:tcPr>
            <w:tcW w:w="7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23,389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(34,758)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(29,756)</w:t>
            </w:r>
          </w:p>
        </w:tc>
      </w:tr>
      <w:tr>
        <w:trPr>
          <w:trHeight w:val="20"/>
        </w:trPr>
        <w:tc>
          <w:tcPr>
            <w:tcW w:w="7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was approximately $1.6 million and $5.0 million for the three and nine months ended September 30, 2020, respectively, compared to $1.9 million and $5.8 million for the three and nine months ended September 30, 2019,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40" w:type="dxa"/>
            <w:vAlign w:val="bottom"/>
          </w:tcPr>
          <w:p>
            <w:pPr>
              <w:spacing w:after="0"/>
              <w:rPr>
                <w:sz w:val="24"/>
                <w:szCs w:val="24"/>
                <w:color w:val="auto"/>
              </w:rPr>
            </w:pP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3"/>
        </w:trPr>
        <w:tc>
          <w:tcPr>
            <w:tcW w:w="7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2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2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2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2FC"/>
          </w:tcPr>
          <w:p>
            <w:pPr>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4,674</w:t>
            </w:r>
          </w:p>
        </w:tc>
        <w:tc>
          <w:tcPr>
            <w:tcW w:w="44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2FC"/>
          </w:tcPr>
          <w:p>
            <w:pPr>
              <w:spacing w:after="0"/>
              <w:rPr>
                <w:sz w:val="20"/>
                <w:szCs w:val="20"/>
                <w:color w:val="auto"/>
              </w:rPr>
            </w:pPr>
            <w:r>
              <w:rPr>
                <w:rFonts w:ascii="Arial" w:cs="Arial" w:eastAsia="Arial" w:hAnsi="Arial"/>
                <w:sz w:val="18"/>
                <w:szCs w:val="18"/>
                <w:color w:val="auto"/>
              </w:rPr>
              <w:t>Personnel-related costs</w:t>
            </w:r>
          </w:p>
        </w:tc>
        <w:tc>
          <w:tcPr>
            <w:tcW w:w="140" w:type="dxa"/>
            <w:vAlign w:val="bottom"/>
            <w:shd w:val="clear" w:color="auto" w:fill="CFF2FC"/>
          </w:tcPr>
          <w:p>
            <w:pPr>
              <w:spacing w:after="0"/>
              <w:rPr>
                <w:sz w:val="18"/>
                <w:szCs w:val="18"/>
                <w:color w:val="auto"/>
              </w:rPr>
            </w:pP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7,244</w:t>
            </w:r>
          </w:p>
        </w:tc>
        <w:tc>
          <w:tcPr>
            <w:tcW w:w="300" w:type="dxa"/>
            <w:vAlign w:val="bottom"/>
            <w:shd w:val="clear" w:color="auto" w:fill="CFF2FC"/>
          </w:tcPr>
          <w:p>
            <w:pPr>
              <w:spacing w:after="0"/>
              <w:rPr>
                <w:sz w:val="18"/>
                <w:szCs w:val="18"/>
                <w:color w:val="auto"/>
              </w:rPr>
            </w:pPr>
          </w:p>
        </w:tc>
        <w:tc>
          <w:tcPr>
            <w:tcW w:w="140" w:type="dxa"/>
            <w:vAlign w:val="bottom"/>
            <w:shd w:val="clear" w:color="auto" w:fill="CFF2FC"/>
          </w:tcPr>
          <w:p>
            <w:pPr>
              <w:spacing w:after="0"/>
              <w:rPr>
                <w:sz w:val="18"/>
                <w:szCs w:val="18"/>
                <w:color w:val="auto"/>
              </w:rPr>
            </w:pP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6,446</w:t>
            </w:r>
          </w:p>
        </w:tc>
        <w:tc>
          <w:tcPr>
            <w:tcW w:w="12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2FC"/>
            </w:tcBorders>
          </w:tcPr>
          <w:p>
            <w:pPr>
              <w:spacing w:after="0"/>
              <w:rPr>
                <w:sz w:val="20"/>
                <w:szCs w:val="20"/>
                <w:color w:val="auto"/>
              </w:rPr>
            </w:pPr>
            <w:r>
              <w:rPr>
                <w:rFonts w:ascii="Arial" w:cs="Arial" w:eastAsia="Arial" w:hAnsi="Arial"/>
                <w:sz w:val="18"/>
                <w:szCs w:val="18"/>
                <w:color w:val="auto"/>
              </w:rPr>
              <w:t>Manufacturing costs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300" w:type="dxa"/>
            <w:vAlign w:val="bottom"/>
            <w:tcBorders>
              <w:bottom w:val="single" w:sz="8" w:color="CFF2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FF2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2FC"/>
          </w:tcPr>
          <w:p>
            <w:pPr>
              <w:ind w:left="260"/>
              <w:spacing w:after="0"/>
              <w:rPr>
                <w:sz w:val="20"/>
                <w:szCs w:val="20"/>
                <w:color w:val="auto"/>
              </w:rPr>
            </w:pPr>
            <w:r>
              <w:rPr>
                <w:rFonts w:ascii="Arial" w:cs="Arial" w:eastAsia="Arial" w:hAnsi="Arial"/>
                <w:sz w:val="18"/>
                <w:szCs w:val="18"/>
                <w:color w:val="auto"/>
              </w:rPr>
              <w:t>Total accrued liabilities</w:t>
            </w:r>
          </w:p>
        </w:tc>
        <w:tc>
          <w:tcPr>
            <w:tcW w:w="140" w:type="dxa"/>
            <w:vAlign w:val="bottom"/>
            <w:shd w:val="clear" w:color="auto" w:fill="CFF2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28,579</w:t>
            </w:r>
          </w:p>
        </w:tc>
        <w:tc>
          <w:tcPr>
            <w:tcW w:w="44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2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2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2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Collaboration Agreement became effective in March 2015 with an original non-cancellable five-year term that ran through March 16, 2020. The collaboration includes a broad, multiyear drug discovery and early development program financially supported by Merck. The Company determines the scientific direction and areas of therapeutic interest, with input from Merck through various governance committees, and the Company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funded both the internal and external costs of the Company’s research and early development activities up to $75.0 million each year of the initial five-year term.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ind w:right="20"/>
        <w:spacing w:after="0" w:line="236" w:lineRule="auto"/>
        <w:rPr>
          <w:sz w:val="20"/>
          <w:szCs w:val="20"/>
          <w:color w:val="auto"/>
        </w:rPr>
      </w:pPr>
      <w:r>
        <w:rPr>
          <w:rFonts w:ascii="Arial" w:cs="Arial" w:eastAsia="Arial" w:hAnsi="Arial"/>
          <w:sz w:val="18"/>
          <w:szCs w:val="18"/>
          <w:color w:val="auto"/>
        </w:rPr>
        <w:t>The Collaboration Agreement included an option to extend the research phase of the collaboration for two additional years through March 16, 2022 after the initial five-year term and a second option to further extend the research phase for two additional years through March 16, 2024. In March 2019, Merck exercised its option to extend the research phase of the collaboration for an additional two years through March 16, 2022. In connection with this extension, Merck agreed to continue to fund the Company’s research and development efforts during the extension at the same levels as existed during the five-year initial term and, in lieu of a $20.0 million extension fee that would have otherwise been payable to the Company, Merck agreed to make additional payments totaling up to $20.0 million in support of the Company’s research and development program activities under the collaboration across 2021 and the first quarter of 2022. Under the terms of the Collaboration Agreement, Merck is required to pay a $20.0 million extension fee if it elects to exercise its second option to extend the research phase of the collaboration through March 16, 2024. During any extension, including the current extension and, if exercised, the potential second extension, the Company will provide distinct research and development services. Each extension is considered to be and is accounted for as a separate arrangement, if and when the option is exercised by Merck. Merck funded both the internal and external costs of the Company’s research and early development activities up to $75.0 million each year of the initial five-year term and continues to do so during the current two-year extension.</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When signed, the Collaboration Agreement included an exclusive worldwide license to the Company’s growth differentiation factor 15 (“GDF15”) receptor agonist program. In May 2019, Merck terminated its license to the GDF15 receptor agonist program.</w:t>
      </w:r>
    </w:p>
    <w:p>
      <w:pPr>
        <w:spacing w:after="0" w:line="19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related compounds that are directed against the same target in the same manner. In 2018, Merck exercised its option on the NGM313 compound. If Merck exercises an option, Merck is responsible, at its own cost, for any further development and commercialization activities for compounds within that licensed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 and royalty payments from Merck based on Merck’s further development and commercialization of the compound. If the Company elects to participate in the cost and profit share, subject to certain limitations, Merck will provide the Company with financial assistance in the form of interest-bearing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 on an indication-by-indication basis for up to three indications in the United States, the European Union (“EU”) and Japan. The Company may also receive commercial milestone payments up to $125.0 million and royalty payments of varying percentages based on the achievement of certain levels of net sales.</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Second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20" w:type="dxa"/>
            <w:vAlign w:val="bottom"/>
          </w:tcPr>
          <w:p>
            <w:pPr>
              <w:spacing w:after="0"/>
              <w:rPr>
                <w:sz w:val="18"/>
                <w:szCs w:val="18"/>
                <w:color w:val="auto"/>
              </w:rPr>
            </w:pPr>
          </w:p>
        </w:tc>
      </w:tr>
      <w:tr>
        <w:trPr>
          <w:trHeight w:val="225"/>
        </w:trPr>
        <w:tc>
          <w:tcPr>
            <w:tcW w:w="5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Indication</w:t>
            </w:r>
          </w:p>
        </w:tc>
        <w:tc>
          <w:tcPr>
            <w:tcW w:w="16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Indication</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Indication</w:t>
            </w:r>
          </w:p>
        </w:tc>
        <w:tc>
          <w:tcPr>
            <w:tcW w:w="20" w:type="dxa"/>
            <w:vAlign w:val="bottom"/>
          </w:tcPr>
          <w:p>
            <w:pPr>
              <w:spacing w:after="0"/>
              <w:rPr>
                <w:sz w:val="19"/>
                <w:szCs w:val="19"/>
                <w:color w:val="auto"/>
              </w:rPr>
            </w:pPr>
          </w:p>
        </w:tc>
      </w:tr>
      <w:tr>
        <w:trPr>
          <w:trHeight w:val="209"/>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1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14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675"/>
        </w:trPr>
        <w:tc>
          <w:tcPr>
            <w:tcW w:w="5360" w:type="dxa"/>
            <w:vAlign w:val="bottom"/>
          </w:tcPr>
          <w:p>
            <w:pPr>
              <w:spacing w:after="0"/>
              <w:rPr>
                <w:sz w:val="24"/>
                <w:szCs w:val="24"/>
                <w:color w:val="auto"/>
              </w:rPr>
            </w:pPr>
          </w:p>
        </w:tc>
        <w:tc>
          <w:tcPr>
            <w:tcW w:w="1280" w:type="dxa"/>
            <w:vAlign w:val="bottom"/>
          </w:tcPr>
          <w:p>
            <w:pPr>
              <w:jc w:val="right"/>
              <w:ind w:right="8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during the research phase of the collaboration and about which the Company has generated unique biological insights.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such license from the Company,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such small molecule compounds.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a “tail period” of up to three years by agreeing to pay the Company’s internal and external costs for the related work subject to certain funding limitations that will decline over the course of the tail period, or to take over such selected programs and conduct such research and development activities itself, at its own cost.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Arrangement: (i) license to GDF15 receptor agonist program; (ii) license to pursue research and development and commercialization of certain small molecule compounds; (iii) performance of research and development services for five years; (iv) two options to extend performance of the research and development services, each for two additional years; and (v) options to obtain licenses to additional compounds after proof-of-concept trials. The Company determined the GDF15 receptor agonist program license and small molecule program license are not distinct from the research and development services, resulting in these items being combined into a single performance obligation.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fees attached to the exercise of such options approximated the SSP of the promised, distinct services included in the options. Therefore, the options do not give rise to material rights, are not performance obligations in the Collaboration Agreement and will be accounted for as separate arrangements under ASC 606, if and when exercised by Merck. This also includes license options, such as the $20.0 million license fee that was triggered by the exercise of Merck’s license option on NGM313 in November 2018. The Company recognized the license fee as revenue in the period of exercise (i.e., the fourth quarter of 2018) as the Company has no further obligations related to such license. A Phase 3 clinical study for NGM313 has not begun, and the Company has not made an election as to whether it will participate in the cost and profit share or receive milestone and royalty payments.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 price associated with the initial five-year term of the Collaboration Agreement consisted of the $94.0 million upfront fee and the funding amounts of up to $75.0 million per year for each of the first five years of the Collaboration Agreement. No milestones or other forms of consideration were included in the transaction price as those amounts are contingent upon Merck exercising an option for licenses on additional compounds and would, therefore, be pursuant to separate arrangements and were not part of the Collaboration Agreement estimated transaction price.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spacing w:after="0" w:line="238"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initial five-year term of the Collaboration Agreement is comprised of the upfront payment and the ongoing research and development reimbursements.</w:t>
      </w:r>
    </w:p>
    <w:p>
      <w:pPr>
        <w:spacing w:after="0" w:line="202"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hours plus allowable external (third-party) costs incurred. Revenue is recognized based on actual costs incurred as a percentage of total budgeted costs as the Company completes its performance obligation. The Company re-evaluates the estimate of expected costs to satisfy the performance obligation each reporting period and makes adjustments for any significant changes. For example, in May 2019, Merck terminated its license to the GDF15 receptor agonist program. The research and development services within the Collaboration Agreement are not affected by the GDF15 receptor agonist program license termination and are expected to continue through the remainder of the research program term. Therefore, there were no changes to the transaction price as a result of this license termination. At the end of the initial five-year term of the Collaboration Agreement, the remaining deferred revenue amount of $4.9 million related to the upfront license fee included within the transaction price as of December 31, 2019 was fully earned and recognized during the three months ended March 31, 2020. The Company has fully recognized revenue of approximately $388.1 million related to the single performance obligation associated with the initial five</w:t>
      </w:r>
      <w:r>
        <w:rPr>
          <w:rFonts w:ascii="MS PGothic" w:cs="MS PGothic" w:eastAsia="MS PGothic" w:hAnsi="MS PGothic"/>
          <w:sz w:val="18"/>
          <w:szCs w:val="18"/>
          <w:color w:val="auto"/>
        </w:rPr>
        <w:t>‑</w:t>
      </w:r>
      <w:r>
        <w:rPr>
          <w:rFonts w:ascii="Arial" w:cs="Arial" w:eastAsia="Arial" w:hAnsi="Arial"/>
          <w:sz w:val="18"/>
          <w:szCs w:val="18"/>
          <w:color w:val="auto"/>
        </w:rPr>
        <w:t>year term of the Collaboration Agreement.</w:t>
      </w:r>
    </w:p>
    <w:p>
      <w:pPr>
        <w:spacing w:after="0" w:line="21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distinct two-year performance obligation to provide distinct research and development services was created on March 17, 2020 in accordance with ASC 606. The transaction price of $170.0 million for this two-year performance obligation consists of the potential funding amounts of up to $75.0 million per year plus the additional funding amount of $ 20.0 million to be made across 2021 and the first quarter of 2022 if the Company exceeds the $ 75.0 million funding cap. The Company also uses a cost</w:t>
      </w:r>
      <w:r>
        <w:rPr>
          <w:rFonts w:ascii="MS PGothic" w:cs="MS PGothic" w:eastAsia="MS PGothic" w:hAnsi="MS PGothic"/>
          <w:sz w:val="18"/>
          <w:szCs w:val="18"/>
          <w:color w:val="auto"/>
        </w:rPr>
        <w:t>‑</w:t>
      </w:r>
      <w:r>
        <w:rPr>
          <w:rFonts w:ascii="Arial" w:cs="Arial" w:eastAsia="Arial" w:hAnsi="Arial"/>
          <w:sz w:val="18"/>
          <w:szCs w:val="18"/>
          <w:color w:val="auto"/>
        </w:rPr>
        <w:t>based input method to calculate the corresponding amount of revenue to recognize. In applying the cost-based input measure of revenue recognition, the Company measures actual costs incurred relative to budgeted costs to fulfill this distinct two-year performance obligation. These costs consist of full-time equivalent hours plus allowable external (third-party) costs incurred. Revenue is recognized based on actual costs incurred as a percentage of total budgeted costs as the Company completes its performance obligation applied to the transaction price. The Company re-evaluates the estimate of expected costs to satisfy the performance obligation each reporting period and makes adjustments for any significant changes. In addition, the Company also considers any necessary adjustments in an effort to ensure that the transaction price is within the range of potential funding amounts as described above. As such, management applies considerable judgment in estimating expected costs as such costs are key inputs when applying the cost-based input method. As the Company’s estimated measure of progress is updated at each reporting period and revenue is recognized on a cumulative catch-up basis, a significant change in the estimate of expected costs for the remainder of the contract term could have a material impact on revenue recognized (including the possible reversal of previously recognized revenue) at each reporting period, as well as the related impact on deferred revenue or contract assets. As of September 30, 2020, the Company has recognized revenue of approximately $42.4 million associated with the performance obligation for the two-year extension period.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9"/>
        </w:trPr>
        <w:tc>
          <w:tcPr>
            <w:tcW w:w="5760" w:type="dxa"/>
            <w:vAlign w:val="bottom"/>
          </w:tcPr>
          <w:p>
            <w:pPr>
              <w:spacing w:after="0"/>
              <w:rPr>
                <w:sz w:val="20"/>
                <w:szCs w:val="20"/>
                <w:color w:val="auto"/>
              </w:rPr>
            </w:pPr>
            <w:r>
              <w:rPr>
                <w:rFonts w:ascii="Arial" w:cs="Arial" w:eastAsia="Arial" w:hAnsi="Arial"/>
                <w:sz w:val="18"/>
                <w:szCs w:val="18"/>
                <w:b w:val="1"/>
                <w:bCs w:val="1"/>
                <w:i w:val="1"/>
                <w:iCs w:val="1"/>
                <w:color w:val="auto"/>
              </w:rPr>
              <w:t>Summary of Related Party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8540" w:type="dxa"/>
            <w:vAlign w:val="bottom"/>
            <w:gridSpan w:val="7"/>
          </w:tcPr>
          <w:p>
            <w:pPr>
              <w:spacing w:after="0"/>
              <w:rPr>
                <w:sz w:val="20"/>
                <w:szCs w:val="20"/>
                <w:color w:val="auto"/>
              </w:rPr>
            </w:pPr>
            <w:r>
              <w:rPr>
                <w:rFonts w:ascii="Arial" w:cs="Arial" w:eastAsia="Arial" w:hAnsi="Arial"/>
                <w:sz w:val="18"/>
                <w:szCs w:val="18"/>
                <w:color w:val="auto"/>
              </w:rPr>
              <w:t>The Company recognized revenue from the Collaboration Agreement as follows (in thousands):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3"/>
        </w:trPr>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4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7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2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three and nine months ended September 30, 2020, the Company recognized related party revenue under the Collaboration Agreement of $ 23.5 million and $67.6 million, respectively, of which zero and $4.9 million, respectively, were recognized from the upfront license fee that was previously included in the transaction price associated with the initial five-year term of the Collaboration Agreement that concluded in March 2020, with the remaining balances related to the reimbursable research and development activities, all of which were recognized using the cost-based input model.</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the three and nine months ended September 30, 2019, the Company recognized related party revenue under the Collaboration Agreement of $21.6 million and $72.5 million, respectively, of which $5.4 million and $ 16.8 million, respectively, were recognized from the upfront license fee that was previously included in the transaction price associated with the initial five-year term of the Collaboration Agreement that concluded in March 2020, with the remaining balances related to the reimbursable research and development activities, all of which were recognized using the cost-based input model.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60" w:type="dxa"/>
            <w:vAlign w:val="bottom"/>
          </w:tcPr>
          <w:p>
            <w:pPr>
              <w:spacing w:after="0"/>
              <w:rPr>
                <w:sz w:val="20"/>
                <w:szCs w:val="20"/>
                <w:color w:val="auto"/>
              </w:rPr>
            </w:pPr>
            <w:r>
              <w:rPr>
                <w:rFonts w:ascii="Arial" w:cs="Arial" w:eastAsia="Arial" w:hAnsi="Arial"/>
                <w:sz w:val="18"/>
                <w:szCs w:val="18"/>
                <w:color w:val="auto"/>
              </w:rPr>
              <w:t>Changes in related party contract liabilities were as follows (in thousands):</w:t>
            </w:r>
          </w:p>
        </w:tc>
        <w:tc>
          <w:tcPr>
            <w:tcW w:w="320" w:type="dxa"/>
            <w:vAlign w:val="bottom"/>
          </w:tcPr>
          <w:p>
            <w:pPr>
              <w:spacing w:after="0"/>
              <w:rPr>
                <w:sz w:val="24"/>
                <w:szCs w:val="24"/>
                <w:color w:val="auto"/>
              </w:rPr>
            </w:pPr>
          </w:p>
        </w:tc>
        <w:tc>
          <w:tcPr>
            <w:tcW w:w="166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Revenue recognized through March 16, 2020</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Increases as a result of research and development expenses to be earned under the</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Collaboration Agreement</w:t>
            </w:r>
          </w:p>
        </w:tc>
        <w:tc>
          <w:tcPr>
            <w:tcW w:w="3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4,586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6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2009, the Company entered into an operating lease (as amended in June 2014, the “2014 Lease Amendment”) for a corporate office space and laboratory facility at 630 Gateway Blvd, in South San Francisco, California (“630 Gateway”) for approximately 50,000 square feet,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2015, the Company entered into an operating lease for its current corporate office space and laboratory facility at 333 Oyster Point Blvd, South San Francisco, California (“333 Oyster Point”) for approximately 122,000 square feet, which expires in December 2023. The lease provided a tenant improvement allowance of $15.2 million that the Company used in 2016 towards $22.3 million in total leasehold improvements that are amortized over the lease term of seven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18"/>
          <w:szCs w:val="18"/>
          <w:color w:val="auto"/>
        </w:rPr>
        <w:t>The 333 Oyster Point lease agreement requires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3rd anniversary and 4th anniversary of the rent commencement date. In September 2020, the Company reduced its letter of credit by $0.4 million and reclassified that amount from restricted cash to cash and cash equivalents on the condensed consolidated balance sheets.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 related party, due to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September 30, 2020 because of the short duration of the remaining lease term through November 2020, and Merck’s credit rating of AA- and subsequent investment in tenant improvements to the facility. As of September 30, 2020 and 2019, the remaining lease payment obligations that are due for 630 Gateway were approximately $0.4 million and $2.4 million, respectively, which are to be paid directly from Merck to the lessor.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$ 0.5 million for each of the three months ended September 30, 2020 and 2019 and $1.6 million for each of the nine months ended September 30, 2020 and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September 30,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exposure under these agreements is unknown because it is subject to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7.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fix the number, rights, preferences, privileges and restrictions for such series. These rights, preferences and privileges could include dividend rights, conversion rights, voting rights, terms of redemption, liquidation preferences and sinking fund terms. As of September 30, 2020, the Company did not have any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September 30, 2020 and December 31, 2019, the Company had 68,934,767 and 66,960,279 shares of common stock outstanding, respectively, which includes shares subject to repurchase of 21,899 and 74,454, respectively, as a result of early exercise of stock options not yet vested. As of September 30, 2020 and December 31, 2019, the Company reserved shares of common stock for issuance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6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outstanding</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10,651,475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options available for grant</w:t>
            </w:r>
          </w:p>
        </w:tc>
        <w:tc>
          <w:tcPr>
            <w:tcW w:w="1540" w:type="dxa"/>
            <w:vAlign w:val="bottom"/>
          </w:tcPr>
          <w:p>
            <w:pPr>
              <w:jc w:val="right"/>
              <w:spacing w:after="0"/>
              <w:rPr>
                <w:sz w:val="20"/>
                <w:szCs w:val="20"/>
                <w:color w:val="auto"/>
              </w:rPr>
            </w:pPr>
            <w:r>
              <w:rPr>
                <w:rFonts w:ascii="Arial" w:cs="Arial" w:eastAsia="Arial" w:hAnsi="Arial"/>
                <w:sz w:val="18"/>
                <w:szCs w:val="18"/>
                <w:color w:val="auto"/>
              </w:rPr>
              <w:t>6,309,573</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21,930</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 shares available for purchase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788,120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897,255</w:t>
            </w:r>
          </w:p>
        </w:tc>
        <w:tc>
          <w:tcPr>
            <w:tcW w:w="100" w:type="dxa"/>
            <w:vAlign w:val="bottom"/>
            <w:tcBorders>
              <w:bottom w:val="single" w:sz="8" w:color="CFF0FC"/>
            </w:tcBorders>
          </w:tcPr>
          <w:p>
            <w:pPr>
              <w:spacing w:after="0"/>
              <w:rPr>
                <w:sz w:val="18"/>
                <w:szCs w:val="18"/>
                <w:color w:val="auto"/>
              </w:rPr>
            </w:pPr>
          </w:p>
        </w:tc>
      </w:tr>
      <w:tr>
        <w:trPr>
          <w:trHeight w:val="209"/>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17,771,098</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17,066,375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2018, the Company adopted the 2018 Equity Incentive Plan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over four years and are exercisable from the grant date until ten years after the date of grant. Vesting of certain employee options may be accelerated in the event of a change in control of the Company. The Company’s 2008 Equity Incentive Plan (the “2008 Plan”) expired at the beginning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ind w:left="300"/>
              <w:spacing w:after="0"/>
              <w:rPr>
                <w:sz w:val="20"/>
                <w:szCs w:val="20"/>
                <w:color w:val="auto"/>
              </w:rPr>
            </w:pPr>
            <w:r>
              <w:rPr>
                <w:rFonts w:ascii="Arial" w:cs="Arial" w:eastAsia="Arial" w:hAnsi="Arial"/>
                <w:sz w:val="15"/>
                <w:szCs w:val="15"/>
                <w:b w:val="1"/>
                <w:bCs w:val="1"/>
                <w:color w:val="auto"/>
              </w:rPr>
              <w:t>Outstanding Options</w:t>
            </w:r>
          </w:p>
        </w:tc>
        <w:tc>
          <w:tcPr>
            <w:tcW w:w="10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Weighted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Weighted</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Intrinsic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Options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Average</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Available</w:t>
            </w:r>
          </w:p>
        </w:tc>
        <w:tc>
          <w:tcPr>
            <w:tcW w:w="1180" w:type="dxa"/>
            <w:vAlign w:val="bottom"/>
            <w:gridSpan w:val="2"/>
          </w:tcPr>
          <w:p>
            <w:pPr>
              <w:jc w:val="right"/>
              <w:ind w:right="280"/>
              <w:spacing w:after="0" w:line="162"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Exercise</w:t>
            </w: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Life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rPr>
              <w:t>(In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 Grant</w:t>
            </w:r>
          </w:p>
        </w:tc>
        <w:tc>
          <w:tcPr>
            <w:tcW w:w="200" w:type="dxa"/>
            <w:vAlign w:val="bottom"/>
            <w:tcBorders>
              <w:bottom w:val="single" w:sz="8" w:color="CFF0FC"/>
            </w:tcBorders>
            <w:gridSpan w:val="2"/>
          </w:tcPr>
          <w:p>
            <w:pPr>
              <w:spacing w:after="0"/>
              <w:rPr>
                <w:sz w:val="15"/>
                <w:szCs w:val="15"/>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5"/>
                <w:szCs w:val="15"/>
                <w:b w:val="1"/>
                <w:bCs w:val="1"/>
                <w:color w:val="auto"/>
              </w:rPr>
              <w:t>Options</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97"/>
              </w:rPr>
              <w:t>Price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(In Years)</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Thousands)</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118,770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Additional shares reserved</w:t>
            </w:r>
          </w:p>
        </w:tc>
        <w:tc>
          <w:tcPr>
            <w:tcW w:w="1000" w:type="dxa"/>
            <w:vAlign w:val="bottom"/>
          </w:tcPr>
          <w:p>
            <w:pPr>
              <w:jc w:val="right"/>
              <w:spacing w:after="0"/>
              <w:rPr>
                <w:sz w:val="20"/>
                <w:szCs w:val="20"/>
                <w:color w:val="auto"/>
              </w:rPr>
            </w:pPr>
            <w:r>
              <w:rPr>
                <w:rFonts w:ascii="Arial" w:cs="Arial" w:eastAsia="Arial" w:hAnsi="Arial"/>
                <w:sz w:val="18"/>
                <w:szCs w:val="18"/>
                <w:color w:val="auto"/>
              </w:rPr>
              <w:t>2,678,411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(2,357,601)</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2,357,601</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(1,858,209)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672,697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(672,697)</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8"/>
                <w:szCs w:val="18"/>
                <w:color w:val="auto"/>
              </w:rPr>
              <w:t>Balances at September 30,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6,309,573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10,651,475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September 30, 2020</w:t>
            </w: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10,542,700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66,082</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Outstanding and exercisable at</w:t>
            </w: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60"/>
              <w:spacing w:after="0" w:line="203" w:lineRule="exact"/>
              <w:rPr>
                <w:sz w:val="20"/>
                <w:szCs w:val="20"/>
                <w:color w:val="auto"/>
              </w:rPr>
            </w:pPr>
            <w:r>
              <w:rPr>
                <w:rFonts w:ascii="Arial" w:cs="Arial" w:eastAsia="Arial" w:hAnsi="Arial"/>
                <w:sz w:val="18"/>
                <w:szCs w:val="18"/>
                <w:color w:val="auto"/>
              </w:rPr>
              <w:t>September 30, 2020</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10,651,475</w:t>
            </w:r>
          </w:p>
        </w:tc>
        <w:tc>
          <w:tcPr>
            <w:tcW w:w="140" w:type="dxa"/>
            <w:vAlign w:val="bottom"/>
          </w:tcPr>
          <w:p>
            <w:pPr>
              <w:spacing w:after="0"/>
              <w:rPr>
                <w:sz w:val="17"/>
                <w:szCs w:val="17"/>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10.03</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6.52</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66,241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25" w:name="page26"/>
    <w:bookmarkEnd w:id="25"/>
    <w:p>
      <w:pPr>
        <w:jc w:val="both"/>
        <w:spacing w:after="0" w:line="246"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weighted-average grant date fair value of stock options granted during the nine months ended September 30, 2020 and 2019 was $10.32 and $7.93 per share, respectively. The intrinsic value of stock options exercised was $27.0 million and $3.0 million for the nine months ended September 30, 2020 and 2019, respectively. Due to the Company’s net operating losses, the Company did not realize any tax benefits from stock-based payment arrangements for the three and nine months ended September 30, 2020 and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 and director stock-based compensation expense for the three and nine months ended September 30, 2020 and 2019 was calculated based on awards ultimately expected to vest and has been reduced for estimated forfeitures. The following table summarizes stock-based compensation expense related to stock-based payment awards previously granted to employees and directors and the Company’s ESPP for the three and nine months ended September 30, 2020 and 2019, which was allocated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4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60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Borders>
              <w:bottom w:val="single" w:sz="8" w:color="CFF0FC"/>
            </w:tcBorders>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11,339</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FF0FC"/>
          </w:tcPr>
          <w:p>
            <w:pPr>
              <w:spacing w:after="0"/>
              <w:rPr>
                <w:sz w:val="18"/>
                <w:szCs w:val="18"/>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 Expense and Grants</w:t>
      </w:r>
    </w:p>
    <w:p>
      <w:pPr>
        <w:spacing w:after="0" w:line="234"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The Company grants stock options to non-employees in exchange for services performed for the Company. The Company granted 67,500 stock options to non-employees during the nine months ended September 30, 2020 and granted 22,500 stock options to non-employees during the nine months ended September 30, 2019.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stock-based payment awards to non-employees for the three and nine months ended September 30, 2020 was $65,000 and $128,000, respectively, compared to $32,000 and $102,000 for the three and nine months ended September 30,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ESPP, eligible employees are granted the right to purchase shares of our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September 30, 2020, 211,880 shares of common stock had been purchased under the ESPP.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8. Income Taxes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2020. Additionally, the Company’s net deferred tax assets have been fully offset by a valuation allowance. Therefore, the Company has not recorded a tax provision for income taxes for the three and nine months ended September 30, 2020.</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27, 2020, the Coronavirus Aid, Relief and Economic Security Act (the “CARES Act”) was enacted. Under U.S. GAAP, the Company is required to recognize the tax effects of new legislation in the reporting period in which the legislation was enacted. The CARES Act included changes to current U.S. tax provisions that benefit business entities and modified certain tax provisions of the 2017 Tax Cuts and Jobs Act (the “2017 Tax Act”). The tax relief measures included a five-year net operating loss carryback, suspension of the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properties. The CARES Act also provided other non-tax benefits to assist business entities impacted by the ongoing COVID-19 pandemic. The Company has evaluated the CARES Act and concluded that it did not result in any material adjustments to the Company’s income tax provision or net deferred tax assets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notes to the condensed consolidated financial statements included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leading causes of morbidity and mortality and a significant burden for healthcare systems. Since the commencement of our operations in 2008, we have generated a robust portfolio of product candidates. Our most advanced product candidate, aldafermin, previously known as NGM282, is wholly</w:t>
      </w:r>
      <w:r>
        <w:rPr>
          <w:rFonts w:ascii="MS PGothic" w:cs="MS PGothic" w:eastAsia="MS PGothic" w:hAnsi="MS PGothic"/>
          <w:sz w:val="18"/>
          <w:szCs w:val="18"/>
          <w:color w:val="auto"/>
        </w:rPr>
        <w:t>‑</w:t>
      </w:r>
      <w:r>
        <w:rPr>
          <w:rFonts w:ascii="Arial" w:cs="Arial" w:eastAsia="Arial" w:hAnsi="Arial"/>
          <w:sz w:val="18"/>
          <w:szCs w:val="18"/>
          <w:color w:val="auto"/>
        </w:rPr>
        <w:t>owned and entered Phase 2b development for the treatment of non-alcoholic steatohepatitis (“NASH”) in 2019. Aldafermin is an engineered variant of the human hormone fibroblast growth factor 19 (“FGF19”). In July, our NGM621 product candidate entered Phase 2 development for the treatment of geographic atrophy (“GA”), an advanced form of age-related macular degeneration (“AMD”). Our partner Merck Sharp &amp; Dohme Corp.(“Merck”) plans to move MK-3655, previously referred to as NGM313, an FGFR1c/KLB agonistic antibody discovered at NGM and optioned by Merck in 2018 under our collaboration with Merck as described below, into a Phase 2b study for NASH in the fourth quarter of 2020. In addition to three product candidates in Phase 2 trials, a systemically administered version of NGM621 and two of our other product candidates are in Phase 1 clinical trials. Our NGM120 product candidate is being studied in an ongoing Phase 1a/1b study to assess the anti-cancer anorexia/cachexia syndrome (“CACS”) and anti</w:t>
      </w:r>
      <w:r>
        <w:rPr>
          <w:rFonts w:ascii="MS PGothic" w:cs="MS PGothic" w:eastAsia="MS PGothic" w:hAnsi="MS PGothic"/>
          <w:sz w:val="18"/>
          <w:szCs w:val="18"/>
          <w:color w:val="auto"/>
        </w:rPr>
        <w:t>‑</w:t>
      </w:r>
      <w:r>
        <w:rPr>
          <w:rFonts w:ascii="Arial" w:cs="Arial" w:eastAsia="Arial" w:hAnsi="Arial"/>
          <w:sz w:val="18"/>
          <w:szCs w:val="18"/>
          <w:color w:val="auto"/>
        </w:rPr>
        <w:t>cancer effect of NGM120 in patients with advanced solid tumors. NGM395 is being studied in a Phase 1 clinical trial evaluating the safety, tolerability and pharmacokinetics of NGM395 in obese but otherwise healthy adults. We are conducting investigational new drug (“IND”)-enabling activities on NGM707 with a goal of initiating a Phase 1 study in mid-2021. NGM707 is a novel dual antagonist antibody designed to inhibit ILT2 (Immunoglobulin-like transcript 2) and ILT4 (Immunoglobulin-like transcript 4) with the goal of improving patient immune responses to tumors through myeloid reprogramming. Certain other undisclosed programs are in preclinical studies. All of our product candidates other than aldafermin and NGM395 are subject to our Merck collaboration as described below.</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we entered into a research collaboration, product development and license agreement (the “Collaboration Agreement”) with Merck that allows us, through the current two-year extension of the research phase of the collaboration, to develop multiple product candidates in parallel without bearing substantially greater costs or incurring significantly greater risk compared to developing product candidates, such as aldafermin and NGM395, on our own. Since inception through September 30, 2020, Merck had paid us $479.8 million, of which $20.0 million was to license NGM313 and related compounds and $459.8 million was an upfront payment and reimbursement of research and development expenses. In March 2019, Merck exercised its option to extend the research phase of the collaboration through March 16, 2022 and has the right to extend it again through March 16, 2024. As part of the extension through March 16, 2022, Merck agreed to continue to fund our research and development efforts at the same levels as existed during the initial five-year term and, in lieu of a $20.0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jc w:val="both"/>
        <w:ind w:right="20"/>
        <w:spacing w:after="0" w:line="246" w:lineRule="auto"/>
        <w:rPr>
          <w:sz w:val="20"/>
          <w:szCs w:val="20"/>
          <w:color w:val="auto"/>
        </w:rPr>
      </w:pPr>
      <w:r>
        <w:rPr>
          <w:rFonts w:ascii="Arial" w:cs="Arial" w:eastAsia="Arial" w:hAnsi="Arial"/>
          <w:sz w:val="18"/>
          <w:szCs w:val="18"/>
          <w:color w:val="auto"/>
        </w:rPr>
        <w:t>million extension fee payable to us, Merck agreed to make additional payments totaling up to $20.0 million in support of our research and development activities across 2021 and the first quarter of 2022.</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2019, we completed the IPO of our common stock, in which we issued an aggregate of 7,521,394 shares of common stock, including 854,727 shares of common stock issued pursuant to the over-allotment option granted to the underwriters, at a price of $16.00 per share, before underwriting discounts and commissions. We received approximately $107.8 million in net proceeds, after deducting underwriting discounts, commissions and offering expenses of $4.1 million. The offering expenses were offset against the net proceeds received from the sale of common stock. At the closing of the IPO, all shares of outstanding convertible preferred stock were automatically converted to 47,283,839 shares of common stock. Concurrent with the completion of the IPO, we also issued 4,121,683 shares of common stock to Merck in a private placement at a price of $16.00 per share for proceeds of $65.9 million, which resulted in Merck owning approximately 19.9% of our outstanding shares of common stock immediately following the IPO.</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incurred net losses in each year since our inception. Our net losses were $29.8 million and $74.5 million for the three and nine months ended September 30, 2020, respectively, compared to net losses of $10.9 million and $26.9 million for the three and nine months ended September 30, 2019, respectively. As of September 30, 2020, we had an accumulated deficit of $ 270.6 million. Substantially all of our net losses have resulted from costs incurred in connection with our research and development programs and from general and administrative costs associated with our operations. Our net losses may fluctuate significantly from quarter to quarter and year to year, depending on the timing of our revenue recognition, our clinical trials and our expenses on other research and development and related activities.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$295.1 million, net proceeds from our IPO of $107.8 million, proceeds from a private placement of shares of common stock to Merck of $65.9 million, research and development service fees provided by collaboration partners, primarily Merck, of $382.3 million, upfront license fees paid by collaboration partners, primarily Merck, of $123.0 million and the license fee from Merck for NGM313 and related compounds of $20.0 million. We do not have any products approved for sale and do not anticipate generating revenue from product sales for the foreseeable future, if ever.</w:t>
      </w:r>
    </w:p>
    <w:p>
      <w:pPr>
        <w:spacing w:after="0" w:line="205"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We plan to continue to fund our operations and pursue our strategy through public or private equity or debt financings, government or other third-party funding, collaborations, strategic alliances, licensing arrangements or a combination of these. In June 2020, we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xml:space="preserve"> (the “Sales Agreement”) with Jefferies LLC (“Jefferies”) pursuant to which we may elect to issue and sell, from time to time, shares of our common stock having an aggregate offering price of up to $150.0 million through Jefferies acting as our sales agent and/or principal. We are not obligated to make any sales of common stock under the Sales Agreement, and we have not yet sold any common stock pursuant to the Sales Agreement. Refer to the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section of this MD&amp;A for more details. The sale of convertible debt or additional equity, including pursuant to the Sales Agreement,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If we are not able to secure adequate additional funding, we may be forced to make reductions in spending, extend payment terms with suppliers, liquidate assets where possible and/or delay, scale back or discontinue planned programs. Any of these actions could materially harm our business, financial condition, results of operations and future prospects. To the extent we obtain additional funding through collaborations, these arrangements would generally require us to relinquish rights to some of our technologies, product candidates or products, and we may not be able to enter into such agreements on acceptable terms, if at all.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8"/>
          <w:szCs w:val="18"/>
          <w:color w:val="auto"/>
        </w:rPr>
        <w:t>We have no manufacturing facilities and all of our manufacturing activities are contracted out to third parties who are generally single source suppliers. We also utilize third-party CROs to carry out certain clinical development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study investigators, clinical research staff and employees, and to maintain business continuity. We will continue to closely monitor conditions and guidance from governmental authorities and adjust our activities as appropriate.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Based on guidance issued by federal, state and local authorities, we transitioned to a remote work model for a majority of our employees in March 2020, while maintaining essential in-person laboratory functions in order to advance key research and development initiatives, supported by the implementation of updated onsite safety procedures. In June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205"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In the conduct of our business activities, we have taken and continue to take actions designed to protect the safety and well-being of patients, healthcare workers and employees. For patients enrolled in our clinical trials, we continue to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We have been evaluating and, when necessary, will continue to evaluate clinical trial site initiations and patient enrollment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 patient-by-patient basis in coordination with clinical trial investigators and site staff. Most clinical trial sites, both within and outside of the United States, continue to screen patients in our clinical trials, and new patients are being enrolled when appropriate. These internal and external efforts have allowed us to continue progress across our clinical development programs and, while we have experienced, from time to time, a slower pace of clinical trial site initiation and clinical trial enrollment than originally anticipated in certain of our clinical trials, including our Phase 2b clinical trial of aldafermin for the treatment of NASH patients with fibrosis stage F4 (the “ALPINE 4 trial”) and our Phase 2 clinical trial of NGM621 for the treatment of GA (the “CATALINA trial”), the impact of the COVID-19 pandemic to date has not resulted in a significant impact to our clinical development timelines and we currently remain on track with previously provided timelines.</w:t>
      </w:r>
    </w:p>
    <w:p>
      <w:pPr>
        <w:spacing w:after="0" w:line="203"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While the COVID-19 pandemic has not yet resulted in a significant impact to our clinical development timelines, 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many of whom are particularly vulnerable to COVID</w:t>
      </w:r>
      <w:r>
        <w:rPr>
          <w:rFonts w:ascii="MS PGothic" w:cs="MS PGothic" w:eastAsia="MS PGothic" w:hAnsi="MS PGothic"/>
          <w:sz w:val="18"/>
          <w:szCs w:val="18"/>
          <w:color w:val="auto"/>
        </w:rPr>
        <w:t>‑</w:t>
      </w:r>
      <w:r>
        <w:rPr>
          <w:rFonts w:ascii="Arial" w:cs="Arial" w:eastAsia="Arial" w:hAnsi="Arial"/>
          <w:sz w:val="18"/>
          <w:szCs w:val="18"/>
          <w:color w:val="auto"/>
        </w:rPr>
        <w:t>19, may be unwilling to enroll in, and enrolled patients may be unwilling to continue to participate in, our clinical trials due to an unwillingness to travel to sites for required screening and clinical trial visits and procedures. Enrolled patients may be unable to comply with clinical trial protocols if quarantines, shelter-in-place and similar restrictions continue to impede patient movement or interrupt healthcare services. As such, we have developed and implemented additional clinical study policies and procedures designed to help</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18"/>
          <w:szCs w:val="18"/>
          <w:color w:val="auto"/>
        </w:rPr>
        <w:t>protect patients from COVID-19 exposure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(“cGCPs”), with any material protocol deviation reviewed and approved by the clinical trial site Institutional Review Boards (“IRB”). If any of the foregoing efforts to mitigate the impact of the COVID-19 pandemic are not successful, or if the effects of the COVID-19 pandemic become more severe, it could materially and adversely affect our clinical development timelines and our ability to obtain regulatory approvals of our product candidates, and could significantly increase our costs.</w:t>
      </w:r>
    </w:p>
    <w:p>
      <w:pPr>
        <w:spacing w:after="0" w:line="203"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We could also see an impact on our ability to report clinical trial results, or interact with regulators, IRBs and ethics committees or other important agencies due to limitations in regulatory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In addition, while we have not experienced any disruption to drug supply for our ongoing clinical trials due to the effects of the COVID-19 pandemic, we could experience disruptions to our supply chain and operations resulting from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associated delays in the manufacturing and supply of drug product for our clinical trials, which could adversely affect our ability to conduct ongoing and future clinical trials of our product candidates. For example, although significant portions of our research and development resources are focused, and will continue to be focused, on activities required to prepare aldafermin for potential regulatory approval for the treatment of NASH, including manufacturing of clinical trial materials and preparation for potential Phase 3 testing, if Lonza Sales AG, our manufacturer of the aldafermin drug substance, and/or our aldafermin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In any event, if the evolving effects of the COVID-19 pandemic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the research phase of the collaboration beyond March 16, 2022.</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as the ultimate duration and severity of the pandemic, travel restrictions, quarantines, social distancing and business closure requirements in the United States and in other countries, and the effectiveness of actions taken globally to contain and treat COVID-19. For additional information about risks and uncertainties related to the COVID-19 pandemic that may impact our business, financial condition and results of operations,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under Part II, Item 1A in this Quarterly Report on Form 10-Q.</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our Collaboration Agreement with Merck. Merck is also a significant stockholder and, as a result, considered a related party. Collaboration revenue from Merck is therefore referred to as related party revenue. Under the Collaboration Agreement, we receive research and development funding and we may be entitled to receive additional milestone and other contingent payments in the future upon the occurrence of specific events.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use the cost-based input method in accordance with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for the remainder of the two-year extension period could have a material impact on revenue recognized (including the possible reversal of previously recognized revenue) at each reporting period. Due to the nature of the Collaboration Agreement and our revenue recognition policy, our revenue has fluctuated from period to period in the past and we expect that it will continue to fluctuate in future periods.</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summarizes our related party revenue for the three and nine months ended September 30, 2020 and 2019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2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Research and development efforts include drug discovery research activities and development activities relating to our product candidates, such as manufacturing drug substance, drug product and other clinical trial materials, conducting preclinical studies and clinical trials and providing support for these operations.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research and development expenses consist of both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third-party license fees and costs related to manufacturing drug substance, drug product and other clinical trial materials.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development efforts are spread across multiple programs, some of which are subject to the Merck collaboration and two of which, aldafermin and NGM395 (a product candidate within our GDF15 receptor agonist program), are wholly-owned and funded by us. Our lead product candidate, aldafermin, is being studied in two ongoing Phase 2b clinical trials for the treatment of NASH. For the foreseeable future, we anticipate the majority of our financial resources, other than those received from Merck and dedicated to Merck collaboration activities, will be dedicated to the development of aldafermin. We are also devoting financial resources to the development of NGM395, a long-acting GDF15 analog. In the future, we may devote financial resources to other programs in the event Merck does not elect to license these programs upon completion of a proof-of-concept study or in the event Merck elects to terminate its license to a program, or for any Merck-licensed programs that we opt to co-develop.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jc w:val="both"/>
        <w:spacing w:after="0" w:line="236" w:lineRule="auto"/>
        <w:rPr>
          <w:sz w:val="20"/>
          <w:szCs w:val="20"/>
          <w:color w:val="auto"/>
        </w:rPr>
      </w:pPr>
      <w:r>
        <w:rPr>
          <w:rFonts w:ascii="Arial" w:cs="Arial" w:eastAsia="Arial" w:hAnsi="Arial"/>
          <w:sz w:val="18"/>
          <w:szCs w:val="18"/>
          <w:color w:val="auto"/>
        </w:rPr>
        <w:t>In the first quarter of 2020, we completed the fourth and final 24-week expansion cohort of a Phase 2 trial of aldafermin, a double-blind, placebo-controlled study of once-daily 1 mg aldafermin for the treatment of patients with fibrosis stage F2 or F3 NASH. Our ongoing Phase 2b clinical trials include our ALPINE 2/3 clinical trial, a double-blind, placebo-controlled study testing 0.3 mg, 1 mg and 3 mg daily doses of aldafermin for 24 weeks for the treatment of NASH patients with fibrosis stage F2 or F3, which has completed enrollment, and our ALPINE 4 trial, a double-blind, placebo-controlled study testing 0.3 mg, 1 mg and 3 mg daily doses of aldafermin for 48 weeks for the treatment of fibrosis stage F4 NASH patients with compensated cirrhosis. The ALPINE 4 trial was initiated in the first quarter of 2020. Significant portions of our research and development resources are focused, and will continue to be focused, on these clinical trials and other activities required to prepare aldafermin for potential regulatory approval for the treatment of NASH, including manufacturing of clinical trial materials and preparation for potential Phase 3 testing.</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NGM395 and NGM386 comprise our GDF15 receptor agonist program and both were licensed to Merck at the inception of the Merck collaboration. Substantially all of the related research and development expenses for these product candidates were borne directly by Merck under our Collaboration Agreement until May 2019, when Merck terminated its license to the GDF15 receptor agonist program and we regained full rights to NGM395 and NGM386. Following our assessment of the NGM386 study results, we decided to suspend activities related to NGM386 and focus on advancing NGM395. In the first quarter of 2020, we initiated a Phase 1 clinical trial evaluating the safety, tolerability and pharmacokinetics of NGM395 in obese but otherwise healthy adults. As a result, we expect to continue to incur research and development expenses with respect to NGM395 in the future.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research and development efforts under the Merck collaboration are also extensive and costly and are subject to reimbursement under our Merck collaboration during the current two-year extension up to the funding caps provided in the Collaboration Agreement. If our research and development expenses related to the Merck collaboration, including the clinical development of product candidates subject to the Merck collaboration through completion of proof-of-concept studies, exceed the funding caps provided in our Collaboration Agreement, which we expect to happen in the fiscal year ending December 31, 2020 and potentially thereafter, we will be required to devote our own financial resources toward the development of programs and product candidates subject to the Merck collaboration or pause or suspend such development to remain within the funding caps.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NGM621 is a humanized IgG1 monoclonal antibody engineered to inhibit activity of complement C3 with the goal of reducing disease progression in patients with GA. We recently completed a Phase 1 study of NGM621 assessing the safety and tolerability of single- and multiple-dose intravitreal injections of NGM621 in patients with GA. This clinical trial demonstrated that NGM621 was well tolerated at all doses studied and supported the initiation of a Phase 2 clinical trial in July 2020. The CATALINA trial is a multicenter, randomized, double-masked, sham-controlled study designed to evaluate the safety and efficacy of NGM621 intravitreal injections compared to sham control and to serve as a proof-of-concept trial under the Collaboration Agreement. Merck has a one-time option to license NGM621 upon our completion of a proof-of-concept study in humans.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jc w:val="both"/>
        <w:spacing w:after="0" w:line="205" w:lineRule="exact"/>
        <w:rPr>
          <w:sz w:val="20"/>
          <w:szCs w:val="20"/>
          <w:color w:val="auto"/>
        </w:rPr>
      </w:pPr>
      <w:r>
        <w:rPr>
          <w:rFonts w:ascii="Arial" w:cs="Arial" w:eastAsia="Arial" w:hAnsi="Arial"/>
          <w:sz w:val="18"/>
          <w:szCs w:val="18"/>
          <w:color w:val="auto"/>
        </w:rPr>
        <w:t>Our NGM120 product candidate, an antagonistic antibody binding glial cell-derived neurotrophic factor receptor alpha-like (“GFRAL”), is designed to block the effects of elevated GDF15 levels to treat CACS, and, possibly, tumors. In our completed Phase 1 clinical trial assessing safety, tolerability and pharmacokinetics, NGM120 was well tolerated at all doses studied and the pharmacokinetics supported once-monthly dosing. In the first quarter of 2020, we initiated a Phase 1a/1b study to assess the anti-CACS and anti</w:t>
      </w:r>
      <w:r>
        <w:rPr>
          <w:rFonts w:ascii="MS PGothic" w:cs="MS PGothic" w:eastAsia="MS PGothic" w:hAnsi="MS PGothic"/>
          <w:sz w:val="18"/>
          <w:szCs w:val="18"/>
          <w:color w:val="auto"/>
        </w:rPr>
        <w:t>‑</w:t>
      </w:r>
      <w:r>
        <w:rPr>
          <w:rFonts w:ascii="Arial" w:cs="Arial" w:eastAsia="Arial" w:hAnsi="Arial"/>
          <w:sz w:val="18"/>
          <w:szCs w:val="18"/>
          <w:color w:val="auto"/>
        </w:rPr>
        <w:t>cancer effect of NGM120 in patients with advanced solid tumors and to serve as a proof-of-concept trial under the Collaboration Agreement. Merck has a one-time option to license NGM120 upon our completion of a proof-of-concept study in humans.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related to the development of our product candidates consist primarily of:</w:t>
      </w:r>
    </w:p>
    <w:p>
      <w:pPr>
        <w:spacing w:after="0" w:line="212" w:lineRule="exact"/>
        <w:rPr>
          <w:sz w:val="20"/>
          <w:szCs w:val="20"/>
          <w:color w:val="auto"/>
        </w:rPr>
      </w:pPr>
    </w:p>
    <w:p>
      <w:pPr>
        <w:ind w:left="800" w:right="20" w:hanging="252"/>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196"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other clinical trial materials, including continued testing, such as process validation and stability, of drug substance and drug product;</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studies;</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 and</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process of supplying materials for and conducting preclinical studies and clinical trials necessary to obtain regulatory approval of our product candidates is costly and time consuming. We may never succeed in achieving marketing approval for any of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2018, Merck exercised its option to license our NGM313 program. NGM313, now known as MK-3655, is an agonistic antibody selectively modulating fibroblast growth factor receptor 1c-beta-klotho (“FGFR1c/KLB”). Upon exercising its license, Merck became responsible for all future development expenses for NGM313 unless we elect to exercise our worldwide cost and profit sharing option at the commencement of Phase 3 testing, at which point we would be responsible for a portion of the future development expense. NGM313 completed the single ascending dose and multiple ascending dose portions of Phase 1 testing in overweight or obese but otherwise healthy adults, as well as a Phase 1b study in obese insulin resistant subjects with nonalcoholic fatty liver disease. Merck is expected to initiate a Phase 2b study of NGM313 in NASH patients in the fourth quarter of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is a comparison of research and development expenses for our programs, including programs that are subject to our</w:t>
      </w:r>
    </w:p>
    <w:p>
      <w:pPr>
        <w:spacing w:after="0"/>
        <w:rPr>
          <w:sz w:val="20"/>
          <w:szCs w:val="20"/>
          <w:color w:val="auto"/>
        </w:rPr>
      </w:pPr>
      <w:r>
        <w:rPr>
          <w:rFonts w:ascii="Arial" w:cs="Arial" w:eastAsia="Arial" w:hAnsi="Arial"/>
          <w:sz w:val="18"/>
          <w:szCs w:val="18"/>
          <w:color w:val="auto"/>
        </w:rPr>
        <w:t>Collaboration Agreement with Merck, for the three and nine months ended September 30, 2020 and 2019 (in thousands):</w:t>
      </w: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40"/>
              <w:spacing w:after="0" w:line="203" w:lineRule="exact"/>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420" w:type="dxa"/>
            <w:vAlign w:val="bottom"/>
            <w:gridSpan w:val="5"/>
          </w:tcPr>
          <w:p>
            <w:pPr>
              <w:jc w:val="center"/>
              <w:ind w:right="340"/>
              <w:spacing w:after="0" w:line="203" w:lineRule="exact"/>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Aldafermin (FGF19 analog)</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15,212</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8,840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40,649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21,554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NGM621 (Anti-Complement C3)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NGM120 (GFRAL antagonist)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NGM395 (GDF15 analog)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NGM707 (Anti-ILT2/ILT4 dual antagonist)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external research and development expenses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Borders>
              <w:bottom w:val="single" w:sz="8" w:color="CFF0FC"/>
            </w:tcBorders>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research and development expenses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Personnel-related expenses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tcPr>
          <w:p>
            <w:pPr>
              <w:spacing w:after="0"/>
              <w:rPr>
                <w:sz w:val="18"/>
                <w:szCs w:val="18"/>
                <w:color w:val="auto"/>
              </w:rPr>
            </w:pPr>
          </w:p>
        </w:tc>
      </w:tr>
      <w:tr>
        <w:trPr>
          <w:trHeight w:val="21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Internal and unallocated research and development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582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expenses</w:t>
            </w:r>
            <w:r>
              <w:rPr>
                <w:rFonts w:ascii="Arial" w:cs="Arial" w:eastAsia="Arial" w:hAnsi="Arial"/>
                <w:sz w:val="15"/>
                <w:szCs w:val="15"/>
                <w:color w:val="auto"/>
              </w:rPr>
              <w:t>(1)</w:t>
            </w: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10,335</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8,349</w:t>
            </w: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24,399</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24,640</w:t>
            </w:r>
          </w:p>
        </w:tc>
        <w:tc>
          <w:tcPr>
            <w:tcW w:w="100" w:type="dxa"/>
            <w:vAlign w:val="bottom"/>
            <w:shd w:val="clear" w:color="auto" w:fill="CFF0FC"/>
          </w:tcPr>
          <w:p>
            <w:pPr>
              <w:spacing w:after="0"/>
              <w:rPr>
                <w:sz w:val="17"/>
                <w:szCs w:val="17"/>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46,979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28,953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123,912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87,299</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right="20" w:hanging="532"/>
        <w:spacing w:after="0" w:line="25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of research supplies and consulting fees, which we deploy across multiple research and development programs.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and if or when we may receive any significant revenue from sales of any approved product candidates. This is due to the numerous risks and uncertainties associated with developing drugs, including the uncertainty of:</w:t>
      </w:r>
    </w:p>
    <w:p>
      <w:pPr>
        <w:spacing w:after="0" w:line="205" w:lineRule="exact"/>
        <w:rPr>
          <w:sz w:val="20"/>
          <w:szCs w:val="20"/>
          <w:color w:val="auto"/>
        </w:rPr>
      </w:pPr>
    </w:p>
    <w:p>
      <w:pPr>
        <w:ind w:left="820" w:hanging="272"/>
        <w:spacing w:after="0" w:line="24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scale-up challenges or production shortages or other supply interruptions in clinical trial materials resulting from the evolving effects of the COVID-19 pandemic or otherwise;</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211" w:lineRule="exact"/>
        <w:rPr>
          <w:rFonts w:ascii="Arial" w:cs="Arial" w:eastAsia="Arial" w:hAnsi="Arial"/>
          <w:sz w:val="18"/>
          <w:szCs w:val="18"/>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211"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196" w:lineRule="exact"/>
        <w:rPr>
          <w:rFonts w:ascii="Arial" w:cs="Arial" w:eastAsia="Arial" w:hAnsi="Arial"/>
          <w:sz w:val="18"/>
          <w:szCs w:val="18"/>
          <w:color w:val="auto"/>
        </w:rPr>
      </w:pPr>
    </w:p>
    <w:p>
      <w:pPr>
        <w:ind w:left="820" w:hanging="27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including those risks and uncertainties associated with the evolving effects of the COVID-19 pandemic, could mean a significant change in the costs and timing associated with the development of that product candidate and its likelihood of potential approval. For example, if the U.S. Food and Drug Administration (“FDA”) or another regulatory authority were to require us to conduct clinical trials beyond those that we currently anticipate will be required for the completion of clinical development of a product candidate, or if we experience significant delays in the initiation, enrollment or completion of any of our clinical trials, whether due to the evolving effects of the COVID-19 pandemic or otherwise, we could be required to expend significant additional financial resources and time on the completion of clinical development. For additional information about risks and uncertainties related to our research and development efforts,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under Part II, Item 1A in this 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These increases will likely include increased costs related to the hiring of additional personnel and fees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2020 and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2020 and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22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8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53,439</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(29,957)</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(76,160)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(32,046)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(29,765)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(10,917)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(74,496)</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(26,854)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$23.5 million and $21.6 million for the three months ended September 30,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respectively. The increase of $1.9 million in revenue was primarily attributable to a $6.6 million increase in research and development revenue, partially offset by a decrease of $4.7 million related to the partial recognition of an initial upfront payment received from Merck that was included within the transaction price that was recognized over the initial five-year term of the Collaboration Agreement using the cost-based input model, which ended in the first quarter of 2020.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2020 and 2019, related party revenue was $67.6 million and $72.5 million, respectively. The decrease of $4.9 million in revenue was primarily attributable to a decrease of $10.2 million related to the partial recognition of an initial upfront payment received from Merck that was included within the transaction price that was recognized over the initial five-year term of the Collaboration Agreement using the cost-based input model, which ended in the first quarter of 2020. The revenue decreases were offset by an increase of $5.3 million in research and development revenue.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$47.0 million and $29.0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and 2019, respectively. The increase in research and development expenses of $18.0 million was primarily attributable to an increase of $12.8 million in external expenses, mainly driven by our manufacturing activities, ongoing clinical trials for aldafermin, NGM621, NGM120 and NGM395, and ongoing research activities for our preclinical product candidates, including manufacturing activities for NGM707. Additionally, our internal unallocated research and development expenses relating to multiple research and development programs and personnel-related expenses increased by a net $5.2 million.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jc w:val="both"/>
        <w:spacing w:after="0" w:line="238" w:lineRule="auto"/>
        <w:rPr>
          <w:sz w:val="20"/>
          <w:szCs w:val="20"/>
          <w:color w:val="auto"/>
        </w:rPr>
      </w:pPr>
      <w:r>
        <w:rPr>
          <w:rFonts w:ascii="Arial" w:cs="Arial" w:eastAsia="Arial" w:hAnsi="Arial"/>
          <w:sz w:val="18"/>
          <w:szCs w:val="18"/>
          <w:color w:val="auto"/>
        </w:rPr>
        <w:t>For the nine months ended September 30, 2020 and 2019, research and development expenses were $123.9 million and $87.3 million, respectively. The increase in research and development expenses of $36.6 million was primarily attributable to an increase of $31.2 million in external expenses, mainly driven by our manufacturing activities, ongoing clinical trials related to aldafermin, NGM621, NGM120 and NGM395 and an increase of $5.4 million in personnel-related expenses due to increased headcount and internal and unallocated research and development expenses related to multiple research and development programs.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expect our research and development expenses will continue to increase substantially in connection with our ongoing activities, particularly to the extent that product candidates whose costs are not included in the Merck collaboration, such as aldafermin and NGM395, advance in clinical development. In addition, we may be required to develop and implement additional clinical study policies and procedures to mitigate the evolving effects of the COVID-19 pandemic, which could significantly increase our research and development expenses.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$6.5 million and $5.6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2020 and 2019, respectively. The increase in general and administrative expenses of $0.9 million was primarily driven by personnel-related expenses due to increased headcount.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2020 and 2019, general and administrative expenses were $ 19.8 million and $17.2 million, respectively. The increase in general and administrative expenses of $2.6 million was primarily attributable to personnel-related expenses due to increased headcount.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$ 0.3 million and $2.0 million for the three months ended September 30, 2020 and 2019,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$1.8 million and $ 5.1 million for the nine months ended September 30, 2020 and 2019, respectively. The decrease in interest income is primarily driven by the decrease in market interest rates and a reduction in our cash balance.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incurred losses and negative cash flows from operating activities since our inception. To date, our operations have been funded primarily through the private placement of convertible preferred stock, net proceeds from our IPO and proceeds from the concurrent private placement to Merck, research and development service fees provided by collaboration partners, primarily Merck, upfront license fees paid by collaboration partners and the license fee from Merck for NGM313. As of September 30, 2020, we had cash and cash equivalents of $254.0 million, short-term marketable securities of $34.0 million, working capital (excluding deferred revenue) of $269.1 million and an accumulated deficit of $270.6 million.</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maintain our expanded corporate infrastructure to support operations as a public company and conduct pre-commercialization activities. We will require substantial additional capital to achieve our development and commercialization goals for our programs being conducted outside of the Merck collaboration, aldafermin and NGM395, as they advance in clinical development,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Additionally, if our research and development expenses for product candidates subject to the Merck collaboration exceed the funding caps provided in our Collaboration Agreement, which we expect to happen in the fiscal year ending December 31, 2020 and potentially thereafter, we will be required to devote our own financial resources toward the development of such product candidates or pause or suspend such development to remain within the funding caps. In addition, if Merck elects not to extend our collaboration for a second additional two-year period, we would require significant additional capital in order to proceed with development and commercialization of any product candidates that had been subject to the Merck collaboration but for which Merck decides not to proceed after termination, or we will need to enter into additional collaboration or license agreements in order to fund such development and commercialization or delay, scale back or discontinue development of such product candidates.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7" w:name="page38"/>
    <w:bookmarkEnd w:id="37"/>
    <w:p>
      <w:pPr>
        <w:jc w:val="both"/>
        <w:spacing w:after="0" w:line="236" w:lineRule="auto"/>
        <w:rPr>
          <w:sz w:val="20"/>
          <w:szCs w:val="20"/>
          <w:color w:val="auto"/>
        </w:rPr>
      </w:pPr>
      <w:r>
        <w:rPr>
          <w:rFonts w:ascii="Arial" w:cs="Arial" w:eastAsia="Arial" w:hAnsi="Arial"/>
          <w:sz w:val="18"/>
          <w:szCs w:val="18"/>
          <w:color w:val="auto"/>
        </w:rPr>
        <w:t>We plan to continue to fund our operations and pursue our strategy through public or private equity or debt financings, government or other third-party funding, collaborations, strategic alliances, licensing arrangements or a combination of these. For example, in June 2020, we entered into the Sales Agreement with Jefferies, which provides that, upon the terms and subject to the conditions and limitations set forth in the Sales Agreement, we may elect to issue and sell, from time to time, shares of our common stock having an aggregate offering price of up to $150.0 million through Jefferies acting as our sales agent and/or principal. Under the Sales Agreement, Jefferies may sell the shares of common stock by any method permitted by law deemed to be an “at the market offering” as defined under the Securities Act of 1933, as amended (the “Securities Act”), in block transactions or in privately-negotiated transactions with our consent. Jefferies will use commercially reasonable efforts to sell the shares of common stock subject to the Sales Agreement from time to time, based upon our instructions (including any price, time or size limits or other customary parameters or conditions that we may impose). We will pay Jefferies a commission of up to 3.0% of the gross sales proceeds of any common stock sold through Jefferies under the Sales Agreement. We are not obligated to make any sales of common stock under the Sales Agreement, and we have not yet sold any common stock pursuant to the Sales Agreement.</w:t>
      </w:r>
    </w:p>
    <w:p>
      <w:pPr>
        <w:spacing w:after="0" w:line="204"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The sale of convertible debt or additional equity, including pursuant to the Sales Agreement, could result in additional dilution to our stockholders. Incurring indebtedness would result in debt service obligations and could result in operating and financing covenants that would restrict our operations. We cannot ensure that financing will be available in the amounts we need or on terms acceptable to us, if at all. Our ability to raise additional capital may be adversely impacted by worsening global economic conditions and disruptions to, and volatility in, the credit and financial markets in the United States and worldwide resulting from, among other things,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In addition, extreme price and volume fluctuations in the stock market in general, and the Nasdaq Global Select Market, in particular, have resulted in volatile and sometimes decreased stock prices for many companies, including us.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and impact our ability to raise sufficient additional capital on acceptable terms, if at all. If we are not able to secure adequate additional funding, we may be forced to make reductions in spending, extend payment terms with suppliers, liquidate assets where possible and/or delay, scale back or discontinue planned programs. Any of these actions could materially harm our business, results of operations and future prospects. To the extent we obtain additional funding through collaborations, these arrangements would generally require us to relinquish rights to some of our technologies, product candidates or products, and we may not be able to enter into such agreements on acceptable terms, if at all.</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our existing $287.9 million of cash, cash equivalents and marketable securities as of September 30, 2020 will be sufficient to fund our operations for a period of at least one year from the date these unaudited condensed consolidated financial statements are available for issuance. We plan to continue to fund our operations and pursue our strategy through public or private equity or debt financings, government or other third-party funding, collaborations, strategic alliances, licensing arrangements or a combination of these. However, our forecast of the period of time through which our financial resources will be adequate to support our operations is a forward-looking statement that involves risks and uncertainties, and actual results could vary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nine months ended September 30, 2020 and 2019 (in thousands):</w:t>
      </w: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6"/>
          </w:tcPr>
          <w:p>
            <w:pPr>
              <w:jc w:val="right"/>
              <w:ind w:right="960"/>
              <w:spacing w:after="0" w:line="203" w:lineRule="exact"/>
              <w:rPr>
                <w:sz w:val="20"/>
                <w:szCs w:val="20"/>
                <w:color w:val="auto"/>
              </w:rPr>
            </w:pPr>
            <w:r>
              <w:rPr>
                <w:rFonts w:ascii="Arial" w:cs="Arial" w:eastAsia="Arial" w:hAnsi="Arial"/>
                <w:sz w:val="18"/>
                <w:szCs w:val="18"/>
                <w:b w:val="1"/>
                <w:bCs w:val="1"/>
                <w:color w:val="auto"/>
              </w:rPr>
              <w:t>Nine Months Ended</w:t>
            </w:r>
          </w:p>
        </w:tc>
      </w:tr>
      <w:tr>
        <w:trPr>
          <w:trHeight w:val="225"/>
        </w:trPr>
        <w:tc>
          <w:tcPr>
            <w:tcW w:w="5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560" w:type="dxa"/>
            <w:vAlign w:val="bottom"/>
            <w:tcBorders>
              <w:bottom w:val="single" w:sz="8" w:color="CFF0FC"/>
            </w:tcBorders>
          </w:tcPr>
          <w:p>
            <w:pPr>
              <w:spacing w:after="0"/>
              <w:rPr>
                <w:sz w:val="18"/>
                <w:szCs w:val="18"/>
                <w:color w:val="auto"/>
              </w:rPr>
            </w:pPr>
          </w:p>
        </w:tc>
        <w:tc>
          <w:tcPr>
            <w:tcW w:w="2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(63,456)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(26,573)</w:t>
            </w:r>
          </w:p>
        </w:tc>
      </w:tr>
      <w:tr>
        <w:trPr>
          <w:trHeight w:val="216"/>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95,113</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177,178</w:t>
            </w:r>
          </w:p>
        </w:tc>
        <w:tc>
          <w:tcPr>
            <w:tcW w:w="100" w:type="dxa"/>
            <w:vAlign w:val="bottom"/>
            <w:tcBorders>
              <w:bottom w:val="single" w:sz="8" w:color="CFF0FC"/>
            </w:tcBorders>
          </w:tcPr>
          <w:p>
            <w:pPr>
              <w:spacing w:after="0"/>
              <w:rPr>
                <w:sz w:val="18"/>
                <w:szCs w:val="18"/>
                <w:color w:val="auto"/>
              </w:rPr>
            </w:pP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8,003</w:t>
            </w:r>
          </w:p>
        </w:tc>
        <w:tc>
          <w:tcPr>
            <w:tcW w:w="1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245,718</w:t>
            </w:r>
          </w:p>
        </w:tc>
        <w:tc>
          <w:tcPr>
            <w:tcW w:w="100" w:type="dxa"/>
            <w:vAlign w:val="bottom"/>
            <w:shd w:val="clear" w:color="auto" w:fill="CFF0FC"/>
          </w:tcPr>
          <w:p>
            <w:pPr>
              <w:spacing w:after="0"/>
              <w:rPr>
                <w:sz w:val="18"/>
                <w:szCs w:val="18"/>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nine months ended September 30, 2020, cash used in operating activities was $63.5 million, which consisted of a net loss of $74.5 million, adjusted for non-cash charges of $16.5 million and cash used through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jc w:val="both"/>
        <w:spacing w:after="0" w:line="205" w:lineRule="exact"/>
        <w:rPr>
          <w:sz w:val="20"/>
          <w:szCs w:val="20"/>
          <w:color w:val="auto"/>
        </w:rPr>
      </w:pPr>
      <w:r>
        <w:rPr>
          <w:rFonts w:ascii="Arial" w:cs="Arial" w:eastAsia="Arial" w:hAnsi="Arial"/>
          <w:sz w:val="18"/>
          <w:szCs w:val="18"/>
          <w:color w:val="auto"/>
        </w:rPr>
        <w:t>changes in operating assets and liabilities of $5.5 million. The non-cash charges consisted primarily of stock-based compensation expense of $11.5 million and depreciation expense of $5.0 million. The change in operating assets and liabilities was mainly driven by an increase in accrued expenses and other liabilities of $9.8 million. These increases were partially offset by decreases in prepaid expenses and other assets of $3.7 million, related party receivables of $2.0 million from Merck, accounts payable of $ 7.2 million, deferred rent of $2.1 million and deferred revenue of $0.3 million. The decrease in deferred revenue is primarily attributable to the completion of all remaining obligations associated with the initial upfront payment included within the transaction price received from Merck and the timing of revenue recognition as determined by using the cost</w:t>
      </w:r>
      <w:r>
        <w:rPr>
          <w:rFonts w:ascii="MS PGothic" w:cs="MS PGothic" w:eastAsia="MS PGothic" w:hAnsi="MS PGothic"/>
          <w:sz w:val="18"/>
          <w:szCs w:val="18"/>
          <w:color w:val="auto"/>
        </w:rPr>
        <w:t>‑</w:t>
      </w:r>
      <w:r>
        <w:rPr>
          <w:rFonts w:ascii="Arial" w:cs="Arial" w:eastAsia="Arial" w:hAnsi="Arial"/>
          <w:sz w:val="18"/>
          <w:szCs w:val="18"/>
          <w:color w:val="auto"/>
        </w:rPr>
        <w:t>based input method of revenue recognition in accordance with ASC 606.</w:t>
      </w:r>
    </w:p>
    <w:p>
      <w:pPr>
        <w:spacing w:after="0" w:line="200" w:lineRule="exact"/>
        <w:rPr>
          <w:sz w:val="20"/>
          <w:szCs w:val="20"/>
          <w:color w:val="auto"/>
        </w:rPr>
      </w:pPr>
    </w:p>
    <w:p>
      <w:pPr>
        <w:spacing w:after="0" w:line="21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During the nine months ended September 30, 2019, cash used in operating activities was $26.6 million, which consisted of a net loss of $26.9 million, adjusted for non-cash charges of $14.3 million and cash used through changes in operating assets and liabilities of $14.0 million. The non-cash charges consisted primarily of stock-based compensation expense of $ 9.4 million and depreciation expense of $5.8 million. The change in operating assets and liabilities was primarily due to a decrease in related party receivables of $3.7 million, an increase in prepaid expenses and other current assets of $4.3 million, a decrease in accounts payable of $1.3 million, increase in accrued expenses and other liabilities of $4.4 million and decreases in deferred rent and deferred revenue of $2.0 million and $14.5 million, respectively. The decrease in deferred revenue is primarily attributed to changes in revenue from the adoption of ASC 606 and the timing of advance payments from Merck related to the reimbursement of costs associated with research and development activities.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nine months ended September 30, 2020, cash provided by investing activities was $63.5 million, which consisted of $94.5 million in proceeds from the maturities of marketable securities, partially offset by purchases of marketable securities of $29.4 million and purchases of property and equipment of $1.6 million.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nine months ended September 30, 2019, cash provided by investing activities was $95.1 million, which consisted of $172.8 million in proceeds from the maturities of marketable securities, partially offset by purchases of marketable securities of $75.2 million and purchases of property and equipment of $2.4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nine months ended September 30, 2020, cash provided by financing activities was $7.9 million, which consisted of proceeds from the issuance of common stock upon the exercise of previously granted stock options of $7.2 million and proceeds from the issuance of common stock in connection with our ESPP of $1.3 million, partially offset by deferred offering costs of $0.6 million associated with the filing of our registration statement on Form S-3 and the execution of the Sales Agreement with Jefferies.</w:t>
      </w:r>
    </w:p>
    <w:p>
      <w:pPr>
        <w:spacing w:after="0" w:line="20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During the nine months ended September 30, 2019, cash provided by financing activities was $177.2 million, which consisted of net proceeds from issuance of common stock upon completion of our IPO of $110.1 million, issuance of common stock upon completion of the private placement with Merck of $65.9 million and the issuance of common stock upon the exercise of previously granted stock options of $1.2 million. The net proceeds from the completion of the IPO of $110.1 million were comprised of our proceeds of $ 111.9 million, after deducting underwriting discounts and commissions, less offering expenses of $4.1 million, of which $2.3 million was paid in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During the nine months ended September 30, 2020, there were no material changes to our contractual obligations and commitments reported in our Annual Report on Form 10-K for the year ended December 31, 2019, filed with the SEC on March 17, 2020.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MD&amp;A is based on our condensed consolidated financial statements, which we have prepared in accordance with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2019, filed with the SEC on March 17,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Except as described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the condensed consolidated financial statements under the headings “Recently Adopted Accounting Pronouncements” and “Recent Accounting Pronouncements Not Yet Adopted,” there have been no new accounting pronouncements or changes to accounting pronouncements during the nine months ended September 30, 2020, as compared to the recent accounting pronouncements described in our audited consolidated financial statements and notes for the year ended December 31, 2019, included in the Company’s Annual Report on Form 10-K for the year ended December 31, 2019, filed with the SEC on March 17, 2020, that are of significance or potential significance to 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nine months ended September 30, 2020, there were no material changes to our market risk disclosures reported in our Annual Report on Form 10-K for the year ended December 31, 2019, filed with the SEC on March 17,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September 30, 2020, management, with the participation of our Chief Executive Officer and our Chief Financial Officer, performed an evaluation of the effectiveness of the design and operation of our disclosure controls and procedures as defined in Rules 13a-15(e) and 15d-15(e) of the Securities Exchange Act of 1934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to allow timely decisions regarding required disclosures.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our Chief Financial Officer concluded that, as of September 30, 2020, the design and operation of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quarter ended September 30, 2020, there were no changes to our internal control over financial reporting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Summary Risk Factors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Below is a summary of the material factors that make an investment in our common stock speculative or risky. This summary does not address all of the risks that we face. Our business involves significant risks that may have a material adverse effect on our business, financial condition, results of operations, prospects and stock price. These risks are more fully described below and include, among others:</w:t>
      </w:r>
    </w:p>
    <w:p>
      <w:pPr>
        <w:spacing w:after="0" w:line="200" w:lineRule="exact"/>
        <w:rPr>
          <w:sz w:val="20"/>
          <w:szCs w:val="20"/>
          <w:color w:val="auto"/>
        </w:rPr>
      </w:pPr>
    </w:p>
    <w:p>
      <w:pPr>
        <w:spacing w:after="0" w:line="239" w:lineRule="exact"/>
        <w:rPr>
          <w:sz w:val="20"/>
          <w:szCs w:val="20"/>
          <w:color w:val="auto"/>
        </w:rPr>
      </w:pPr>
    </w:p>
    <w:p>
      <w:pPr>
        <w:jc w:val="both"/>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most advanced product candidate, aldafermin, is still in Phase 2 development and may fail to demonstrate safety and efficacy in ongoing and future clinical trials, may never achieve regulatory approval and may not be able to be successfully commercialized due to competition or other factors;</w:t>
      </w:r>
    </w:p>
    <w:p>
      <w:pPr>
        <w:spacing w:after="0" w:line="2"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expect to incur significant and increasing operating losses and may never become profitable;</w:t>
      </w:r>
    </w:p>
    <w:p>
      <w:pPr>
        <w:spacing w:after="0" w:line="1"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and, under certain circumstances, Merck may unilaterally terminate its annual funding of our research and development programs, or terminate or shift the focus of its research and development funding;</w:t>
      </w:r>
    </w:p>
    <w:p>
      <w:pPr>
        <w:spacing w:after="0" w:line="2"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our collaboration with Merck, and in the future may depend on collaborations with additional third parties, for the development and commercialization of our product candidates;</w:t>
      </w:r>
    </w:p>
    <w:p>
      <w:pPr>
        <w:spacing w:after="0" w:line="1"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operations, which may not be available to us on acceptable terms, or at all, and as a result, we may not complete the development and commercialization of our current product candidates or develop new product candidates;</w:t>
      </w:r>
    </w:p>
    <w:p>
      <w:pPr>
        <w:spacing w:after="0" w:line="2"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have no approved products or product revenue, and we will need to successfully complete preclinical and clinical testing of our product candidates before we can seek regulatory approval and potentially generate commercial sales;</w:t>
      </w:r>
    </w:p>
    <w:p>
      <w:pPr>
        <w:spacing w:after="0" w:line="1"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must undergo rigorous clinical trials before seeking regulatory approvals, which could delay or prevent commercialization of our product candidates;</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trials of our product candidates may fail to demonstrate safety and efficacy to the satisfaction of regulatory authorities or otherwise produce positive results;</w:t>
      </w:r>
    </w:p>
    <w:p>
      <w:pPr>
        <w:spacing w:after="0" w:line="1" w:lineRule="exact"/>
        <w:rPr>
          <w:rFonts w:ascii="Arial" w:cs="Arial" w:eastAsia="Arial" w:hAnsi="Arial"/>
          <w:sz w:val="18"/>
          <w:szCs w:val="18"/>
          <w:color w:val="auto"/>
        </w:rPr>
      </w:pPr>
    </w:p>
    <w:p>
      <w:pPr>
        <w:jc w:val="both"/>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process of manufacturing aldafermin and our other biologic product candidates is complex, highly regulated and subject to several risks, including difficulties in production, particularly in scaling up and validating initial production and ensuring the avoidance of contamination and the risk of our reliance on single source suppliers;</w:t>
      </w:r>
    </w:p>
    <w:p>
      <w:pPr>
        <w:spacing w:after="0" w:line="2"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CROs or other third parties with whom we conduct business;</w:t>
      </w:r>
    </w:p>
    <w:p>
      <w:pPr>
        <w:spacing w:after="0" w:line="1"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depends upon our ability to obtain and maintain intellectual property protection for our products and technologies, and we may not be able to protect our intellectual property rights throughout the world;</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third parties that are necessary to develop, commercialize and manufacture some or all of our product candidates; and</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both"/>
        <w:spacing w:after="0" w:line="236" w:lineRule="auto"/>
        <w:rPr>
          <w:sz w:val="20"/>
          <w:szCs w:val="20"/>
          <w:color w:val="auto"/>
        </w:rPr>
      </w:pPr>
      <w:r>
        <w:rPr>
          <w:rFonts w:ascii="Arial" w:cs="Arial" w:eastAsia="Arial" w:hAnsi="Arial"/>
          <w:sz w:val="18"/>
          <w:szCs w:val="18"/>
          <w:color w:val="auto"/>
        </w:rPr>
        <w:t>We are a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For the three and nine months ended September 30, 2020, our net losses were $29.8 million and $74.5 million, respectively, compared to net losses of $10.9 million and $26.9 million for the three and nine months ended September 30, 2019, respectively. As of September 30, 2020, we had an accumulated deficit of $270.6 million.</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programs being conducted outside of the Merck collaboration, aldafermin and NGM395, for any future programs that Merck does not opt to license under the Collaboration Agreement and that we choose to develop, for any Merck-licensed programs that we opt to co-develop, and for any programs that Merck chooses to license under the Collaboration Agreement and later elects to terminate. We expect to incur substantial and increasing operating losses over the next several years as our research, development, manufacturing, preclinical studies, clinical trial and related activities increase. As a result, our accumulated deficit will also increase significantly.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222222"/>
        </w:rPr>
        <w:t>Since 2017, all of our revenue has been from our collaboration partner, Merck. Under the collaboration, Merck reimburses us for research and development activities up to $50 million per year, plus additional amounts up to the agreed upon annual caps, if certain conditions are met. Merck has exercised its option to extend the initial five-year research and early development program</w:t>
      </w:r>
      <w:r>
        <w:rPr>
          <w:rFonts w:ascii="Arial" w:cs="Arial" w:eastAsia="Arial" w:hAnsi="Arial"/>
          <w:sz w:val="18"/>
          <w:szCs w:val="18"/>
          <w:color w:val="000000"/>
        </w:rPr>
        <w:t>, which we refer to as the research</w:t>
      </w:r>
      <w:r>
        <w:rPr>
          <w:rFonts w:ascii="Arial" w:cs="Arial" w:eastAsia="Arial" w:hAnsi="Arial"/>
          <w:sz w:val="18"/>
          <w:szCs w:val="18"/>
          <w:color w:val="222222"/>
        </w:rPr>
        <w:t xml:space="preserve"> </w:t>
      </w:r>
      <w:r>
        <w:rPr>
          <w:rFonts w:ascii="Arial" w:cs="Arial" w:eastAsia="Arial" w:hAnsi="Arial"/>
          <w:sz w:val="18"/>
          <w:szCs w:val="18"/>
          <w:color w:val="000000"/>
        </w:rPr>
        <w:t xml:space="preserve">phase of the collaboration, </w:t>
      </w:r>
      <w:r>
        <w:rPr>
          <w:rFonts w:ascii="Arial" w:cs="Arial" w:eastAsia="Arial" w:hAnsi="Arial"/>
          <w:sz w:val="18"/>
          <w:szCs w:val="18"/>
          <w:color w:val="222222"/>
        </w:rPr>
        <w:t>for an additional two years through March 16, 2022 and has the right to extend it again through March 16, 2024.</w:t>
      </w:r>
      <w:r>
        <w:rPr>
          <w:rFonts w:ascii="Arial" w:cs="Arial" w:eastAsia="Arial" w:hAnsi="Arial"/>
          <w:sz w:val="18"/>
          <w:szCs w:val="18"/>
          <w:color w:val="000000"/>
        </w:rPr>
        <w:t xml:space="preserve"> If our research and development expenses for product candidates subject to the Merck collaboration exceed the funding caps provided in our Collaboration Agreement, which we expect to happen in the fiscal year ending December 31, 2020 and potentially thereafter, we will be required to devote our own financial resources toward the development of such product candidates or pause or suspend such development to remain within the funding caps. </w:t>
      </w:r>
      <w:r>
        <w:rPr>
          <w:rFonts w:ascii="Arial" w:cs="Arial" w:eastAsia="Arial" w:hAnsi="Arial"/>
          <w:sz w:val="18"/>
          <w:szCs w:val="18"/>
          <w:color w:val="222222"/>
        </w:rPr>
        <w:t>For example, we recently decided to suspend activities related to NGM386 and NGM217 to concentrate</w:t>
      </w:r>
      <w:r>
        <w:rPr>
          <w:rFonts w:ascii="Arial" w:cs="Arial" w:eastAsia="Arial" w:hAnsi="Arial"/>
          <w:sz w:val="18"/>
          <w:szCs w:val="18"/>
          <w:color w:val="000000"/>
        </w:rPr>
        <w:t xml:space="preserve"> </w:t>
      </w:r>
      <w:r>
        <w:rPr>
          <w:rFonts w:ascii="Arial" w:cs="Arial" w:eastAsia="Arial" w:hAnsi="Arial"/>
          <w:sz w:val="18"/>
          <w:szCs w:val="18"/>
          <w:color w:val="222222"/>
        </w:rPr>
        <w:t xml:space="preserve">our resources on our other Merck collaboration product candidates. </w:t>
      </w:r>
      <w:r>
        <w:rPr>
          <w:rFonts w:ascii="Arial" w:cs="Arial" w:eastAsia="Arial" w:hAnsi="Arial"/>
          <w:sz w:val="18"/>
          <w:szCs w:val="18"/>
          <w:color w:val="000000"/>
        </w:rPr>
        <w:t>In addition, i</w:t>
      </w:r>
      <w:r>
        <w:rPr>
          <w:rFonts w:ascii="Arial" w:cs="Arial" w:eastAsia="Arial" w:hAnsi="Arial"/>
          <w:sz w:val="18"/>
          <w:szCs w:val="18"/>
          <w:color w:val="222222"/>
        </w:rPr>
        <w:t xml:space="preserve">f Merck elects not to exercise its remaining option to extend the research phase of the collaboration beyond March 16, 2022, which Merck may unilaterally elect to do at its sole discretion at any time before March 16, 2021, </w:t>
      </w:r>
      <w:r>
        <w:rPr>
          <w:rFonts w:ascii="Arial" w:cs="Arial" w:eastAsia="Arial" w:hAnsi="Arial"/>
          <w:sz w:val="18"/>
          <w:szCs w:val="18"/>
          <w:color w:val="000000"/>
        </w:rPr>
        <w:t>we would require significant additional capital in order to proceed with development and commercialization of any</w:t>
      </w:r>
      <w:r>
        <w:rPr>
          <w:rFonts w:ascii="Arial" w:cs="Arial" w:eastAsia="Arial" w:hAnsi="Arial"/>
          <w:sz w:val="18"/>
          <w:szCs w:val="18"/>
          <w:color w:val="222222"/>
        </w:rPr>
        <w:t xml:space="preserve"> </w:t>
      </w:r>
      <w:r>
        <w:rPr>
          <w:rFonts w:ascii="Arial" w:cs="Arial" w:eastAsia="Arial" w:hAnsi="Arial"/>
          <w:sz w:val="18"/>
          <w:szCs w:val="18"/>
          <w:color w:val="000000"/>
        </w:rPr>
        <w:t xml:space="preserve">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w:t>
      </w:r>
      <w:r>
        <w:rPr>
          <w:rFonts w:ascii="Arial" w:cs="Arial" w:eastAsia="Arial" w:hAnsi="Arial"/>
          <w:sz w:val="18"/>
          <w:szCs w:val="18"/>
          <w:color w:val="222222"/>
        </w:rPr>
        <w:t>delay, scale back or discontinue</w:t>
      </w:r>
      <w:r>
        <w:rPr>
          <w:rFonts w:ascii="Arial" w:cs="Arial" w:eastAsia="Arial" w:hAnsi="Arial"/>
          <w:sz w:val="18"/>
          <w:szCs w:val="18"/>
          <w:color w:val="000000"/>
        </w:rPr>
        <w:t xml:space="preserve"> development of such product candidates.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ability to generate future product revenue from our current or future product candidates also depends on a number of additional factors, including our or our current collaborator’s and potential future collaborators’ ability to:</w:t>
      </w:r>
    </w:p>
    <w:p>
      <w:pPr>
        <w:spacing w:after="0" w:line="197"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successfully establish a sales force, marketing and distribution infrastructure;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applicable endpoints in clinical trials, we are unable to predict if or when we will achieve or maintain profitability. Even if we successfully complete development and regulatory processes, we anticipate incurring significant costs associated with launching and commercializing these products.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we may be unable to continue our operations at planned levels and be forced to reduce or cease our operations.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additional capital to finance our operations and pursue our strategy, which may not be available to us on acceptable terms, or at all. We expect our research and development expenses to increase substantially in connection with our ongoing activities, particularly to the extent that product candidates whose costs are not included in the Merck collaboration, such as aldafermin and NGM395, advance in clinical development. In addition, we may be required to develop and implement additional clinical study policies and procedures to mitigate the evolving effects of the COVID-19 pandemic, which could significantly increase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jc w:val="both"/>
        <w:spacing w:after="0" w:line="237" w:lineRule="auto"/>
        <w:rPr>
          <w:sz w:val="20"/>
          <w:szCs w:val="20"/>
          <w:color w:val="auto"/>
        </w:rPr>
      </w:pPr>
      <w:r>
        <w:rPr>
          <w:rFonts w:ascii="Arial" w:cs="Arial" w:eastAsia="Arial" w:hAnsi="Arial"/>
          <w:sz w:val="18"/>
          <w:szCs w:val="18"/>
          <w:color w:val="auto"/>
        </w:rPr>
        <w:t xml:space="preserve">research and development expenses. We believe that our existing $287.9 million of cash, cash equivalents and marketable securities as of September 30, 2020 will be sufficient to fund our operations for a period of at least one year from the date these unaudited condensed consolidated financial statements are available for issuance. We plan to continue to fund our operations and pursue our strategy through public or private equity or debt financings, government or other third-party funding, collaborations, strategic alliances, licensing arrangements or a combination of these. However,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based this estimate on assumptions that may prove to be wrong, and we could utilize our available capital resources sooner than we currently expect.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12" w:lineRule="exact"/>
        <w:rPr>
          <w:sz w:val="20"/>
          <w:szCs w:val="20"/>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product candidates and any future product candidates we may develop;</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Collaboration Agreement or terminates a program that it has licensed (such as Merck’s termination of its license for NGM395 and NGM386);</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the collaboration which would trigger an extension payment to us;</w:t>
      </w:r>
    </w:p>
    <w:p>
      <w:pPr>
        <w:spacing w:after="0" w:line="196" w:lineRule="exact"/>
        <w:rPr>
          <w:rFonts w:ascii="Arial" w:cs="Arial" w:eastAsia="Arial" w:hAnsi="Arial"/>
          <w:sz w:val="18"/>
          <w:szCs w:val="18"/>
          <w:color w:val="auto"/>
        </w:rPr>
      </w:pPr>
    </w:p>
    <w:p>
      <w:pPr>
        <w:ind w:left="800" w:right="40" w:hanging="401"/>
        <w:spacing w:after="0" w:line="23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exceed the funding caps provided in our Collaboration Agreement, which we expect to happen in the fiscal year ending December 31, 2020 and potentially thereafter, which would require us to devote our own financial resources toward the development of programs and product candidates subject to the Merck collaboration during the current two-year extension of the research phase or delay, scale back or discontinue such development;</w:t>
      </w:r>
    </w:p>
    <w:p>
      <w:pPr>
        <w:spacing w:after="0" w:line="204"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6" w:name="page47"/>
    <w:bookmarkEnd w:id="46"/>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unilaterally terminated by Merck under certain circumstances.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plan to finance our future cash needs through the Sales Agreement or other public or private equity or debt offerings, government or other third-party funding, product collaborations, strategic alliances, licensing arrangements or a combination of these. Additional capital may not be available in sufficient amounts, on reasonable terms or when we need it, if at all, including pursuant to the Sales Agreement,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Our existing stockholders could suffer dilution or be negatively affected by fixed payment obligations we may incur if we raise additional funds through the issuance of additional equity securities or debt, including pursuant to the Sales Agreement.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are unable to raise adequate additional capital, including pursuant to the Sales Agreement, we may not be able to expand our operations or otherwise capitalize on our business opportunities, our business and financial condition will be negatively impacted, and we may need to:</w:t>
      </w:r>
    </w:p>
    <w:p>
      <w:pPr>
        <w:spacing w:after="0" w:line="203" w:lineRule="exact"/>
        <w:rPr>
          <w:sz w:val="20"/>
          <w:szCs w:val="20"/>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Accordingly, if we are unable to raise adequate additional capital, we may be prevented from pursuing development and commercialization efforts, which will have a material adverse effect on our business, operating results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2017 Tax Act, as modified by the CARES Act, our federal net operating losses generated in tax years beginning after December 31, 2017 may be carried forward indefinitely, but the deductibility of such federal net operating losses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jc w:val="both"/>
        <w:spacing w:after="0" w:line="246" w:lineRule="auto"/>
        <w:rPr>
          <w:sz w:val="20"/>
          <w:szCs w:val="20"/>
          <w:color w:val="auto"/>
        </w:rPr>
      </w:pPr>
      <w:r>
        <w:rPr>
          <w:rFonts w:ascii="Arial" w:cs="Arial" w:eastAsia="Arial" w:hAnsi="Arial"/>
          <w:sz w:val="18"/>
          <w:szCs w:val="18"/>
          <w:color w:val="auto"/>
        </w:rPr>
        <w:t>generated in tax years beginning after December 31, 2020, is limited to 80% of taxable income. It is uncertain if and to what extent various states will conform to the 2017 Tax Act or the CARES Act.</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under Section 382 of the U.S. Internal Revenue Code of 1986, as amended,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IPO and subsequent shifts in our stock ownership, we have experienced ownership changes in the past and may experience ownership changes in the future,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Any such limitations may result in greater tax liabilities than we would incur in the absence of such limitations and any increased liabilities could adversely affect our business, results of operations, financial position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of our product candidates will be subject to rigorous and extensive clinical trials before they can seek regulatory approval from the FDA and comparable foreign regulatory authorities. Clinical trials may be delayed, suspended or terminated at any time for reasons including:</w:t>
      </w:r>
    </w:p>
    <w:p>
      <w:pPr>
        <w:spacing w:after="0" w:line="197"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trial sites selected for participation in our clinical trials;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slower pace of enrollment we have experienced, from time to time, in our ALPINE 4 and CATALINA trials, including as a result of the evolving effects of the COVID-19 pandemic;</w:t>
      </w:r>
    </w:p>
    <w:p>
      <w:pPr>
        <w:spacing w:after="0" w:line="196" w:lineRule="exact"/>
        <w:rPr>
          <w:rFonts w:ascii="Arial" w:cs="Arial" w:eastAsia="Arial" w:hAnsi="Arial"/>
          <w:sz w:val="18"/>
          <w:szCs w:val="18"/>
          <w:color w:val="auto"/>
        </w:rPr>
      </w:pPr>
    </w:p>
    <w:p>
      <w:pPr>
        <w:ind w:left="800" w:right="42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or diversion of healthcare resources as a result of the evolving effects of the COVID-19 pandemic, such as the slower pace of clinical trial site initiation in our ALPINE 4 and CATALINA trials;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(“EMA”) that issued in 2018;</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materials necessary to conduct our clinical trials;</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successfully conduct clinical trials supporting the necessary regulatory approvals, we will not be able to generate product revenue and may not become profitable.</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NGM621 and NGM120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safe and effective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For example, the results we obtained in our Phase 1 trials of aldafermin and in our completed Phase 2 trial, including the data from the fourth and final 24-week expansion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8"/>
          <w:szCs w:val="18"/>
          <w:color w:val="auto"/>
        </w:rPr>
        <w:t>cohort of that trial in patients with fibrosis stage F2 or F3 NASH, may not be indicate of the future results we obtain from our ongoing ALPINE 2/3 and ALPINE 4 trials and any Phase 3 trial.</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Some of our clinical trials involve small patient populations, sometimes at single sites, and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continue to experience delays in clinical testing, we will be delayed in commercializing our product candidates, our costs may increase and our business may be harmed.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Conducting clinical trials for any of our product candidates for approval in the United States requires filing an IND application and reaching agreement with the FDA on clinical protocols, finding appropriate clinical trial sites and clinical investigators, securing approvals for such studies from the IRB for each such site, manufacturing clinical quantities of product candidates and supplying drug product to clinical trial sites. Currently, we have regulatory approval to conduct clinical trials in the United States for aldafermin for the treatment of NASH and primary biliary cholangitis (“PBC”), for NGM621 for the treatment of GA secondary to AMD and for systemic administration and for NGM120 for treatment of solid tumors and pancreatic cancer. We also have regulatory approval to conduct clinical trials in Australia for aldafermin for the treatment of NASH and for NGM395 for the treatment of metabolic syndrome. More recently, we obtained regulatory approval to conduct clinical trials in Spain, France, the United Kingdom, Belgium and Poland for aldafermin for the treatment of NASH.</w:t>
      </w:r>
    </w:p>
    <w:p>
      <w:pPr>
        <w:spacing w:after="0" w:line="208"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For example, we have experienced, from time to time, a slower pace of clinical trial site initiation and enrollment than originally anticipated in certain of our clinical trials, including the ALPINE 4 and the CATALINA trials, as a result of the evolving effects of the COVID-19 pandemic, and if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become more severe, we could experience significant disruptions to our clinical development timelines, which would adversely affect our business, financial condition, results of operations and growth prospects. In any event, we do not know whether any of our clinical trials will begin as planned, will need to be restructured or will be completed on schedule, or at all. 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failure to successfully complete clinical development include:</w:t>
      </w:r>
    </w:p>
    <w:p>
      <w:pPr>
        <w:spacing w:after="0" w:line="204"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to clinical trial sites of the product candidates or other study materials;</w:t>
      </w:r>
    </w:p>
    <w:p>
      <w:pPr>
        <w:spacing w:after="0" w:line="225"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key trial activities, clinical trial site initiation and patient enrollment or diversion of healthcare resources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 enrollment, such as the slower pace of enrollment we have experienced, from time to time, in our ALPINE 4 and CATALINA trials, including as a result of the evolving effects of the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disease progression or concerns about the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nature of the patient population we enroll;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location of clinical trial sites;</w:t>
      </w:r>
    </w:p>
    <w:p>
      <w:pPr>
        <w:spacing w:after="0" w:line="225" w:lineRule="exact"/>
        <w:rPr>
          <w:rFonts w:ascii="Arial" w:cs="Arial" w:eastAsia="Arial" w:hAnsi="Arial"/>
          <w:sz w:val="18"/>
          <w:szCs w:val="18"/>
          <w:color w:val="auto"/>
        </w:rPr>
      </w:pPr>
    </w:p>
    <w:p>
      <w:pPr>
        <w:ind w:left="800" w:hanging="401"/>
        <w:spacing w:after="0" w:line="207" w:lineRule="exact"/>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behaviors or other factors related to COVID</w:t>
      </w:r>
      <w:r>
        <w:rPr>
          <w:rFonts w:ascii="MS PGothic" w:cs="MS PGothic" w:eastAsia="MS PGothic" w:hAnsi="MS PGothic"/>
          <w:sz w:val="18"/>
          <w:szCs w:val="18"/>
          <w:color w:val="auto"/>
        </w:rPr>
        <w:t>‑</w:t>
      </w:r>
      <w:r>
        <w:rPr>
          <w:rFonts w:ascii="Arial" w:cs="Arial" w:eastAsia="Arial" w:hAnsi="Arial"/>
          <w:sz w:val="18"/>
          <w:szCs w:val="18"/>
          <w:color w:val="auto"/>
        </w:rPr>
        <w:t>19;</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with other companies for clinical trial sites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ind w:left="800" w:right="20" w:hanging="401"/>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particular, there is significant competition for recruiting NASH patients in clinical trials. In the first quarter of 2020, we announced that enrollment in our ALPINE 2/3 clinical trial of aldafermin had been delayed beyond our initial projections. In addition, clinical trial enrollment generally continues to be affected by the effects of the COVID-19 pandemic, including due to delays in additional clinical trial site initiation, suspension of enrollment at clinical trial sites or patient reluctance to participate in a clinical trial during quarantines or shelter-in-place orders or otherwise, particularly in medically vulnerable patient populations. We or our partners may be unable to enroll the patients we need to complete clinical trials on a timely basis,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205" w:lineRule="exact"/>
        <w:rPr>
          <w:sz w:val="20"/>
          <w:szCs w:val="20"/>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suspended activities related to NGM386 and NGM217 to concentrate our resources on our other product candidates. We may focus our efforts and resources on potential programs or product candidates that ultimately prove to be unsuccessful.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including as a result of the evolving effects of the COVID-19 pandemic, natural disasters, power failures, local political unrest and numerous other factors; and</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undertake costly remediation efforts or seek costlier manufacturing alternatives.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If one of our suppliers fails or refuses to supply us for any reason, it would take a significant amount of time and cost to implement and execute the necessary technology transfer to, and to qualify, a new supplier. The FDA or comparable foreign regulatory authority must approve manufacturers of drug substance and drug product. If there are any delays in qualifying new suppliers or facilities or a new supplier is unable to meet the requirements of the FDA or comparable foreign regulatory authority for approval, there could be a shortage of drug substance or drug product for use in clinical trials with respect to the affected product candidates.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President Trump has invoked the Defense Production Act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jc w:val="both"/>
        <w:spacing w:after="0" w:line="203" w:lineRule="exact"/>
        <w:rPr>
          <w:sz w:val="20"/>
          <w:szCs w:val="20"/>
          <w:color w:val="auto"/>
        </w:rPr>
      </w:pPr>
      <w:r>
        <w:rPr>
          <w:rFonts w:ascii="Arial" w:cs="Arial" w:eastAsia="Arial" w:hAnsi="Arial"/>
          <w:sz w:val="18"/>
          <w:szCs w:val="18"/>
          <w:color w:val="auto"/>
        </w:rPr>
        <w:t xml:space="preserve">For example, we have entered into a Development and Manufacturing Services Agreement with Lonza Sales AG (“Lonza”) for the production of Phase 3 and commercial supplies of the aldafermin drug substance. If Lonza or our drug product manufacturer are not able to provide us with sufficient 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materials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Refer also to the risk factor entitled </w:t>
      </w:r>
      <w:r>
        <w:rPr>
          <w:rFonts w:ascii="Arial" w:cs="Arial" w:eastAsia="Arial" w:hAnsi="Arial"/>
          <w:sz w:val="18"/>
          <w:szCs w:val="18"/>
          <w:i w:val="1"/>
          <w:iCs w:val="1"/>
          <w:color w:val="auto"/>
        </w:rPr>
        <w:t>“Our business is currently adversely affected and could be materially and adversely</w:t>
      </w:r>
      <w:r>
        <w:rPr>
          <w:rFonts w:ascii="Arial" w:cs="Arial" w:eastAsia="Arial" w:hAnsi="Arial"/>
          <w:sz w:val="18"/>
          <w:szCs w:val="18"/>
          <w:color w:val="auto"/>
        </w:rPr>
        <w:t xml:space="preserve"> </w:t>
      </w:r>
      <w:r>
        <w:rPr>
          <w:rFonts w:ascii="Arial" w:cs="Arial" w:eastAsia="Arial" w:hAnsi="Arial"/>
          <w:sz w:val="18"/>
          <w:szCs w:val="18"/>
          <w:i w:val="1"/>
          <w:iCs w:val="1"/>
          <w:color w:val="auto"/>
        </w:rPr>
        <w:t>affected in the future by the effects of disease outbreaks, epidemics and pandemics, including by the evolving effects of the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primary sclerosing cholangitis (“PSC”), intervertebral discitis, rectal bleeding and post-biopsy bleeding. In our ongoing Phase 2 study with aldafermin, the following serious adverse events were reported, but were deemed by the investigators to be unrelated to the treatment with aldafermin: gallbladder injury due to biopsy, suicide attempt and bronchogenic cyst. In our completed Phase 1 and Phase 1b clinical trials of NGM313, there were two reported serious adverse events in the NGM313 treatment arms: cholecystitis and rectal bleeding due to hemorrhoids, both of which were deemed by the investigators to be unrelated to treatment with NGM313. In our completed Phase 1 clinical trial of NGM120, there were two reported serious adverse events in the NGM120 treatment arms: renal colic and bipolar disorder, both of which were deemed by the investigators to be unrelated to treatment with NGM120</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our ongoing Phase 1a/1b trial of NGM120 evaluating NGM120 as a monotherapy in patients with select advanced tumors and in combination with two chemotherapeutic agents in patients with metastatic pancreatic cancer, there have been a number of serious adverse events, including sepsis, neutropenia, pulmonary embolism, pleural effusion, non-cardiac chest pain, renal failure, acute kidney injury and encephalopathy, none of which were deemed related to treatment with NGM120 after medical safety review. </w:t>
      </w:r>
      <w:r>
        <w:rPr>
          <w:rFonts w:ascii="Arial" w:cs="Arial" w:eastAsia="Arial" w:hAnsi="Arial"/>
          <w:sz w:val="18"/>
          <w:szCs w:val="18"/>
          <w:color w:val="222222"/>
        </w:rPr>
        <w:t>In our completed Phase 1 and</w:t>
      </w:r>
      <w:r>
        <w:rPr>
          <w:rFonts w:ascii="Arial" w:cs="Arial" w:eastAsia="Arial" w:hAnsi="Arial"/>
          <w:sz w:val="18"/>
          <w:szCs w:val="18"/>
          <w:color w:val="auto"/>
        </w:rPr>
        <w:t xml:space="preserve"> </w:t>
      </w:r>
      <w:r>
        <w:rPr>
          <w:rFonts w:ascii="Arial" w:cs="Arial" w:eastAsia="Arial" w:hAnsi="Arial"/>
          <w:sz w:val="18"/>
          <w:szCs w:val="18"/>
          <w:color w:val="222222"/>
        </w:rPr>
        <w:t>ongoing Phase 2 clinical trials of NGM621, there have been no reported serious adverse events.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Significant increases in serum levels of low density lipoprotein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We have not observed any significant changes in LDL cholesterol with aldafermin in trials we have conducted in patients with cholestatic liver disease, such as PBC and PSC.</w:t>
      </w:r>
    </w:p>
    <w:p>
      <w:pPr>
        <w:spacing w:after="0" w:line="202"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Protein and antibody therapeutics can sometimes induce host immune responses that can cause the production of anti-drug-antibodies (“ADA”). Our product candidates, including aldafermin, which is an engineered variant of the human FGF19 protein, are protein and antibody therapeutics. In some instances, certain ADA called neutralizing antibodies can neutralize the therapeutic effects of the treatment. ADA can also sometimes cross</w:t>
      </w:r>
      <w:r>
        <w:rPr>
          <w:rFonts w:ascii="MS PGothic" w:cs="MS PGothic" w:eastAsia="MS PGothic" w:hAnsi="MS PGothic"/>
          <w:sz w:val="18"/>
          <w:szCs w:val="18"/>
          <w:color w:val="auto"/>
        </w:rPr>
        <w:t>‑</w:t>
      </w:r>
      <w:r>
        <w:rPr>
          <w:rFonts w:ascii="Arial" w:cs="Arial" w:eastAsia="Arial" w:hAnsi="Arial"/>
          <w:sz w:val="18"/>
          <w:szCs w:val="18"/>
          <w:color w:val="auto"/>
        </w:rPr>
        <w:t>react with substances naturally occurring in a subject’s body (in the case of aldafermin, FGF19) which can cause unintended effects, including potential impacts on efficacy and, in rare cases, even adverse events. One subject in a Phase 2 clinical trial investigating aldafermin as an intervention for type 2 diabetes developed ADA against aldafermin; however, this patient did not demonstrate any biochemical or clinically relevant safety concerns while in the study, and we have not identified any safety concerns while monitoring the subject following the study. In the Phase 2 PBC extension clinical trial of aldafermin, 18 of the 36 subjects tested positive for aldafermin-specific ADA at one or more time points using a preliminary assay. Six of these 36 subjects tested positive for neutralizing antibodies using an assay that was subsequently validated, of which two subjects developed antibodies that appeared to cross-react with their naturally occurring FGF19. These subjects have not demonstrated any biochemical or clinically relevant safety signals that were different from observations in subjects that did not generate ADA against aldafermin. We are developing an assay to measure the presence of ADA against aldafermin for our ongoing NASH program, which will need to be evaluated by regulatory agencies. The subjects who were found to develop ADA in both the type 2 diabetic and PBC populations may not be predictive of future test results in NASH patients due to differences in disease setting, study design, dose regimen and the use of a different ADA assay. If we are required to do substantial additional testing as a result of the detection of high amounts of ADA in subjects using aldafermin or any other product candidate, the costs of our clinical trials may increase.</w:t>
      </w:r>
    </w:p>
    <w:p>
      <w:pPr>
        <w:spacing w:after="0" w:line="21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or ADAs that have negative effects or other unexpected characteristics. In such an event, we may need to suspend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18"/>
          <w:szCs w:val="18"/>
          <w:color w:val="auto"/>
        </w:rPr>
        <w:t>terminate our trials or the FDA or comparable foreign regulatory authorities could order us to cease clinical trials or deny approval of our product candidates for any or all targeted indications. Drug-related side effects could affect patient recruitment, the ability of enrolled subjects to complete the trial or result in potential product liability claims. Any of these occurrences could materially and adversely affect our business, financial condition and prospects.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Aldafermin is an engineered variant of the human hormone FGF19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jc w:val="both"/>
        <w:spacing w:after="0" w:line="238" w:lineRule="auto"/>
        <w:rPr>
          <w:sz w:val="20"/>
          <w:szCs w:val="20"/>
          <w:color w:val="auto"/>
        </w:rPr>
      </w:pPr>
      <w:r>
        <w:rPr>
          <w:rFonts w:ascii="Arial" w:cs="Arial" w:eastAsia="Arial" w:hAnsi="Arial"/>
          <w:sz w:val="18"/>
          <w:szCs w:val="18"/>
          <w:color w:val="auto"/>
        </w:rPr>
        <w:t>therapeutic areas may not lead to the development of viable commercial products and may divert resources from better opportunities. Similarly, our decisions to delay or terminate drug development programs, such as our decision to suspend activities related to NGM386 and NGM217 to concentrate our resources on our other product candidates, may also be incorrect and could cause us to miss valuable opportunities.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18"/>
          <w:szCs w:val="18"/>
          <w:color w:val="auto"/>
        </w:rPr>
        <w:t>commitments that limit their availability to us. If a conflict of interest between their work for us and their work for another entity arises, we may lose their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effects of the evolving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Inc. (“Amgen”), Apellis, Ascletis, Axcella, Bird Rock, Can-Fite, Cirius, Enanta, Galectin, Galmed, Gilead, Glympse, Immuron, Intercept, Inventiva, Iveric, Madrigal, MannKind, MediciNova, Metacrine, Mirum, Nalpropion,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jc w:val="both"/>
        <w:spacing w:after="0" w:line="246" w:lineRule="auto"/>
        <w:rPr>
          <w:sz w:val="20"/>
          <w:szCs w:val="20"/>
          <w:color w:val="auto"/>
        </w:rPr>
      </w:pPr>
      <w:r>
        <w:rPr>
          <w:rFonts w:ascii="Arial" w:cs="Arial" w:eastAsia="Arial" w:hAnsi="Arial"/>
          <w:sz w:val="18"/>
          <w:szCs w:val="18"/>
          <w:color w:val="auto"/>
        </w:rPr>
        <w:t>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 -thyroid hormone receptor agonist, from Madrigal; pegbelfermin, a PEGylated FGF21 analog, from Bristol-Myers Squibb; AKR-001, an Fc conjugated FGF21 analog, from Akero; FXR agonists from Metacrine; FXR agonists from Novartis; a beta-thyroid hormone receptor agonist from Viking; semaglutide, a GLP-1 analog, from Novo Nordisk; a</w:t>
      </w:r>
      <w:r>
        <w:rPr>
          <w:rFonts w:ascii="Arial" w:cs="Arial" w:eastAsia="Arial" w:hAnsi="Arial"/>
          <w:sz w:val="18"/>
          <w:szCs w:val="18"/>
          <w:color w:val="222222"/>
        </w:rPr>
        <w:t>nd lanifibranor, a pan-PPAR agonist from Inventiva.</w:t>
      </w:r>
      <w:r>
        <w:rPr>
          <w:rFonts w:ascii="Arial" w:cs="Arial" w:eastAsia="Arial" w:hAnsi="Arial"/>
          <w:sz w:val="18"/>
          <w:szCs w:val="18"/>
          <w:color w:val="auto"/>
        </w:rPr>
        <w:t xml:space="preserve"> The foregoing competitive risks apply to aldafermin, any variants of aldafermin, including the second-generation, half-life extended version of FGF19 we are currently developing, and NGM313.</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TZDs; alpha-glucosidase inhibitors (AGIs); dipeptidyl peptidase 4 (DPP4) inhibitors; glucagon-like peptide-1 (GLP-1) analogues; SGLT2 inhibitors; oral GLP-1 mimetics; and insulins, including injectable and inhaled versions. Further competition could arise from products currently in development, including: 11 beta HSD (Incyte, Japan Tobacco, Roche); and GPR40 (Connexios, Takeda). Some of these programs have advanced further in clinical development than our product candidates and could receive approval before our product candidates are approved, if they are approved at all.</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205"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9" w:name="page60"/>
    <w:bookmarkEnd w:id="59"/>
    <w:p>
      <w:pPr>
        <w:ind w:left="800" w:hanging="401"/>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0" w:name="page61"/>
    <w:bookmarkEnd w:id="60"/>
    <w:p>
      <w:pPr>
        <w:jc w:val="both"/>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(collectively, the “ACA”) was enacted, which includes measures that have significantly changed the way health care is financed by both governmental and private insurers. There remain executive, judicial and congressional challenges to certain aspects of the ACA.</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In March 2020, the Supreme Court of the United States agreed to hear the appeal of this decision. It is unclear how such litigation and other efforts to challenge, repeal, or replace the ACA will impact the ACA or our business.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2030 unless Congress takes additional action. Recently, there has also been increasing executive, legislative and enforcement interest in the United States with respect to drug pricing practices.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1" w:name="page62"/>
    <w:bookmarkEnd w:id="61"/>
    <w:p>
      <w:pPr>
        <w:jc w:val="both"/>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particularly as a result of the recent presidential election.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202" w:lineRule="exact"/>
        <w:rPr>
          <w:sz w:val="20"/>
          <w:szCs w:val="20"/>
          <w:color w:val="auto"/>
        </w:rPr>
      </w:pPr>
    </w:p>
    <w:p>
      <w:pPr>
        <w:ind w:left="800" w:right="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materials resulting from any events affecting raw material supply or manufacturing capabilities abroad, including those that may result from the ongoing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jc w:val="both"/>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202"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3" w:name="page64"/>
    <w:bookmarkEnd w:id="63"/>
    <w:p>
      <w:pPr>
        <w:jc w:val="both"/>
        <w:spacing w:after="0"/>
        <w:rPr>
          <w:sz w:val="20"/>
          <w:szCs w:val="20"/>
          <w:color w:val="auto"/>
        </w:rPr>
      </w:pPr>
      <w:r>
        <w:rPr>
          <w:rFonts w:ascii="Arial" w:cs="Arial" w:eastAsia="Arial" w:hAnsi="Arial"/>
          <w:sz w:val="18"/>
          <w:szCs w:val="18"/>
          <w:color w:val="auto"/>
        </w:rPr>
        <w:t>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203" w:lineRule="exact"/>
        <w:rPr>
          <w:sz w:val="20"/>
          <w:szCs w:val="20"/>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84" w:lineRule="exact"/>
        <w:rPr>
          <w:rFonts w:ascii="Arial" w:cs="Arial" w:eastAsia="Arial" w:hAnsi="Arial"/>
          <w:sz w:val="18"/>
          <w:szCs w:val="18"/>
          <w:color w:val="auto"/>
        </w:rPr>
      </w:pPr>
    </w:p>
    <w:p>
      <w:pPr>
        <w:jc w:val="both"/>
        <w:ind w:left="800" w:hanging="401"/>
        <w:spacing w:after="0" w:line="245"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federal False Claims Act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8"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04"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202"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United States Department of Health and Human Services (“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 and</w:t>
      </w:r>
    </w:p>
    <w:p>
      <w:pPr>
        <w:spacing w:after="0" w:line="206"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4" w:name="page65"/>
    <w:bookmarkEnd w:id="64"/>
    <w:p>
      <w:pPr>
        <w:jc w:val="both"/>
        <w:spacing w:after="0" w:line="238" w:lineRule="auto"/>
        <w:rPr>
          <w:sz w:val="20"/>
          <w:szCs w:val="20"/>
          <w:color w:val="auto"/>
        </w:rPr>
      </w:pPr>
      <w:r>
        <w:rPr>
          <w:rFonts w:ascii="Arial" w:cs="Arial" w:eastAsia="Arial" w:hAnsi="Arial"/>
          <w:sz w:val="18"/>
          <w:szCs w:val="18"/>
          <w:color w:val="auto"/>
        </w:rPr>
        <w:t>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Our sole supplier of clinical drug substance for NGM313, NGM120, NGM621, NGM395 and NGM707 is located in a region that has experienced recent political unrest.</w:t>
      </w:r>
    </w:p>
    <w:p>
      <w:pPr>
        <w:spacing w:after="0" w:line="181"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Based on guidance issued by federal, state and local authorities, we transitioned to a remote work environment for a vast majority of our employees in March 2020, while maintaining essential in-person laboratory functions in order to advance key research and development initiatives, supported by the implementation of updated onsite safety procedures. In June 2020, following updated guidance issued by federal, state and local authorities, we re-opened our laboratory facilities for research activities that cannot be conducted remotely with heightened safety measures designed to minimize occupational exposure and reduce transmission of COVID-19 within our workplace. Although we have re -opened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materially and adversely impact our business, financial condition, results of operations and growth prospects.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impact timelines in the future. Our ability to attract additional clinical trial sites and principal investigators to conduct our clinical trials and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5" w:name="page66"/>
    <w:bookmarkEnd w:id="65"/>
    <w:p>
      <w:pPr>
        <w:jc w:val="both"/>
        <w:spacing w:after="0" w:line="203" w:lineRule="exact"/>
        <w:rPr>
          <w:sz w:val="20"/>
          <w:szCs w:val="20"/>
          <w:color w:val="auto"/>
        </w:rPr>
      </w:pPr>
      <w:r>
        <w:rPr>
          <w:rFonts w:ascii="Arial" w:cs="Arial" w:eastAsia="Arial" w:hAnsi="Arial"/>
          <w:sz w:val="18"/>
          <w:szCs w:val="18"/>
          <w:color w:val="auto"/>
        </w:rPr>
        <w:t>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w:t>
      </w:r>
      <w:r>
        <w:rPr>
          <w:rFonts w:ascii="MS PGothic" w:cs="MS PGothic" w:eastAsia="MS PGothic" w:hAnsi="MS PGothic"/>
          <w:sz w:val="18"/>
          <w:szCs w:val="18"/>
          <w:color w:val="auto"/>
        </w:rPr>
        <w:t>‑</w:t>
      </w:r>
      <w:r>
        <w:rPr>
          <w:rFonts w:ascii="Arial" w:cs="Arial" w:eastAsia="Arial" w:hAnsi="Arial"/>
          <w:sz w:val="18"/>
          <w:szCs w:val="18"/>
          <w:color w:val="auto"/>
        </w:rPr>
        <w:t>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an unwillingness to travel to sites for required screening and clinical trial visits and procedures. In this regard, we have experienced, from to time, a slower pace of clinical site initiation and enrollment than anticipated in certain of our clinical trials, including the ALPINE 4 and CATALINA 2 trials, due to factors such as the vulnerability of our studied patient populations, clinical trial site suspensions, reallocation of medical resources and the challenges of working remotely due to shelter-in-place and similar government orders, among other factors. Enrolled patients may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cGCPs, with any material protocol deviation reviewed and approved by the clinical trial site IRB. If any of the foregoing efforts to mitigate the impact of the COVID-19 pandemic are not successful, or if the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become more severe, it could materially and adversely affect our clinical development timelines and our ability to obtain regulatory approvals of our product candidates, and could significantly increase our costs.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could also see an adverse impact on our ability to report clinical trial results, or interact with regulators, IRBs and ethics committees or other important agencies due to limitations in regulatory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quarantines, shelter-in-place and similar government orders could impact personnel at third-party manufacturing facilities in the United States and other countries, or the availability or cost of materials, which would disrupt our supply chain. Likewise, the operations of our third-party manufacturers may be requisitioned, diverted or allocated by U.S. or foreign government orders such as under emergency, disaster and civil defense declarations in connection with the COVID-19 pandemic or otherwise. In particular, some of our suppliers of certain materials used in the production of our drug products are located in Europe. In this regard,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For example, although significant portions of our research and development resources are focused, and will continue to be focused, on activities required to prepare aldafermin for potential regulatory approval for the treatment of NASH, including manufacturing of clinical trial materials and preparation for potential Phase 3 testing, if Lonza and/or our drug product manufacturer experience difficulties in scaling production or experience product loss due to contamination, equipment failure, improper installation or operation of equipment, vendor or operator error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Sales AG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the potential Phase 3 testing of aldafermin which could materially and adversely affect our business. In any event, if the evolving effects of the COVID-19 pandemic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6" w:name="page67"/>
    <w:bookmarkEnd w:id="66"/>
    <w:p>
      <w:pPr>
        <w:jc w:val="both"/>
        <w:spacing w:after="0" w:line="237" w:lineRule="auto"/>
        <w:rPr>
          <w:sz w:val="20"/>
          <w:szCs w:val="20"/>
          <w:color w:val="auto"/>
        </w:rPr>
      </w:pPr>
      <w:r>
        <w:rPr>
          <w:rFonts w:ascii="Arial" w:cs="Arial" w:eastAsia="Arial" w:hAnsi="Arial"/>
          <w:sz w:val="18"/>
          <w:szCs w:val="18"/>
          <w:color w:val="auto"/>
        </w:rPr>
        <w:t>In addition, while the potential economic impact brought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or to exercise its remaining option to extend the research phase of the collaboration beyond March 16, 2022.</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In addition, to the extent the evolving effects of the COVID-19 pandemic adversely affects our business and results of operations, it may also have the effect of heightening many of the other risks and uncertainties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which imposes additional risks to our business, including increased risk associated with working outside our corporate network security protection boundaries, increased risk of industrial espionage, phishing and other cybersecurity attacks and the increased risk of unauthorized dissemination of sensitive personal information or proprietary confidential information, any of which could have a material adverse effect on our business. Despite our efforts to increase security and authentication measures, we have experienced an overall increase in cybersecurity incidents, none of which have caused disruption to our business or resulted in a material security breach. However, if such an event were to occur and cause interruptions in our operations, it could result in a material disruption of our development programs and our business operations.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 products in the EU. The collection and use of personal health data in the EU are governed by the provisions of the General Data Protection Regulation ((EU) 2016/679)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 penalties and civil claims being brought against us, which could have a material adverse effect on our business, financial condition and results of operations.</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parties to the transfer have implemented specific safeguards to protect the transferred personal information. One of the primary safeguards allowing United States companies to import personal information from Europe has been certification to the EU-U.S. Privacy Shield and Swiss-U.S. Privacy Shield frameworks administered by the United States Department of Commerce. However, the Court of Justice of the EU recently invalidated the EU-U.S. Privacy Shield.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At present, there are few, if any, viable alternatives to the EU-U.S. Privacy Shield and the Standard Contractual Clauses. Although we rely primarily on individuals’ explicit consent to transfer their personal information from Europe to the United States and other countries, in certain cases we have relied or may rely on the Standard Contractual Clauses. Authorities in the United Kingdom and Switzerland, whose data protection laws are similar to those of the EU, may similarly invalidate use of the EU-U.S. Privacy Shield and Swiss-U.S. Privacy Shield, respectively, as mechanisms for lawful personal information transfers from those countries to the United States. As such,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processing personal information from Europe.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excluding aldafermin, and including a license to our GDF15 receptor agonist program product candidates, NGM386 and NGM395. In November 2018, Merck exercised its option to license NGM313. In 2019, Merck exercised its option to extend the research phase of the collaboration for an additional two years, from March 17, 2020 through March 16, 2022, and terminated its license to the GDF15 receptor agonist program.</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provides for additional payments upon Merck’s election, if exercised in its unilateral discretion, to further extend the term of the research program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whether Merck will exercise its remaining option to extend the research phase of the collaboration or whether Merck will exercise its option to license additional product candidates or whether Merck will terminate its license to a licensed program.</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212" w:lineRule="exact"/>
        <w:rPr>
          <w:sz w:val="20"/>
          <w:szCs w:val="20"/>
          <w:color w:val="auto"/>
        </w:rPr>
      </w:pPr>
    </w:p>
    <w:p>
      <w:pPr>
        <w:jc w:val="both"/>
        <w:ind w:left="800" w:hanging="401"/>
        <w:spacing w:after="0" w:line="23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both"/>
        <w:ind w:left="800" w:hanging="401"/>
        <w:spacing w:after="0" w:line="23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under our agreement with Merck, it is possible for Merck to unilaterally terminate the NGM313 program and any other program (whether or not we have exercised our cost and profit sharing option) upon prior written notice, such as it did for NGM386 and NGM395, without triggering a termination of the remainder of the collaboration arrangement. In addition, Merck might opt not to exercise its option to acquire a license to a product candidate that has generated proof-of-concept data.</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Collaboration Agreement, Merck has the unilateral right to terminate all or part of the agreement at certain times and under certain circumstances. Merck may unilaterally terminate the research phase of the collaboration program effective March 17, 2022 by providing notice to us prior to March 17, 2021. Merck may also unilaterally terminate its annual funding of the research program prior to March 17, 2022 if we are acquired by a third party or if we are in material uncured breach of our obligations under the research and early development program. After the current research phase of the collaboration or, if Merck again exercises its option to extend the research phase of the collaboration, after such extension period, Merck may unilaterally terminate the overall agreement for convenience upon written notice and subject to certain limitations.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jc w:val="both"/>
        <w:spacing w:after="0" w:line="237"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NGM313 or any future licensed program. For example, Merck terminated its license to our GDF15 receptor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If Merck terminates funding, terminates the Collaboration Agreement, decides not to further extend the research phase of the collaboration or shifts the focus of its research and development funding, it would delay or preclude our ability complete our research and development programs, which would materially and adversely affect our business. For example, if Merck elects not to exercise its remaining option to extend the research phase of the collaboration beyond March 16, 2022, which Merck may unilaterally elect to do at its sole discretion, we would require significant additional capital in order to proceed with development and commercialization of any product candidates that had been subject to the Merck collaboration but Merck decides not to proceed with after termination of the research phase, or we will need to enter into additional collaboration or license agreements in order to fund such development and commercialization, which may not be possible, or we may be required to </w:t>
      </w:r>
      <w:r>
        <w:rPr>
          <w:rFonts w:ascii="Arial" w:cs="Arial" w:eastAsia="Arial" w:hAnsi="Arial"/>
          <w:sz w:val="18"/>
          <w:szCs w:val="18"/>
          <w:color w:val="222222"/>
        </w:rPr>
        <w:t>delay, scale back or discontinue</w:t>
      </w:r>
      <w:r>
        <w:rPr>
          <w:rFonts w:ascii="Arial" w:cs="Arial" w:eastAsia="Arial" w:hAnsi="Arial"/>
          <w:sz w:val="18"/>
          <w:szCs w:val="18"/>
          <w:color w:val="auto"/>
        </w:rPr>
        <w:t xml:space="preserve"> development of such product candidates.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NGM621, NGM395 and NGM707, to the extent we advance these product candidates, and will rely on Merck to determine whether to utilize a third-party manufacturer or internal manufacturing capacity for NGM313 and other licensed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current Good Manufacturing Practices (“cGMP”) and to pass inspections of the manufacturing facilities by the FDA or other regulatory agencies could seriously harm our business.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1" w:name="page72"/>
    <w:bookmarkEnd w:id="71"/>
    <w:p>
      <w:pPr>
        <w:jc w:val="both"/>
        <w:spacing w:after="0" w:line="237" w:lineRule="auto"/>
        <w:rPr>
          <w:sz w:val="20"/>
          <w:szCs w:val="20"/>
          <w:color w:val="auto"/>
        </w:rPr>
      </w:pPr>
      <w:r>
        <w:rPr>
          <w:rFonts w:ascii="Arial" w:cs="Arial" w:eastAsia="Arial" w:hAnsi="Arial"/>
          <w:sz w:val="18"/>
          <w:szCs w:val="18"/>
          <w:color w:val="auto"/>
        </w:rPr>
        <w:t>We expect to expend substantial management time and effort to enter into relationships with third parties and, if we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studies, and those third parties may not perform satisfactorily, including failing to meet deadlines for the completion of such trials, research or testing.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studies.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this regard, we cannot guarantee that these third parties will continue to perform their contractual duties in a timely and satisfactory manner as a result of the COVID-19 pandemic or otherwise.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and clinical studies and expect to continue to do so for commercialization. This reliance on third parties increases the risk that we will not have sufficient quantities of our product candidates or that such supply will not be available to us on our requested timeline or at an acceptable cost, which could delay, prevent or impair our development or commercialization efforts.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studies and for commercial supply of any of these product candidates for which we or our collaborator obtains marketing approval. To date, we have obtained aldafermin, NGM313, NGM120, NGM621, NGM395 and NGM707 for preclinical and clinical studies from third-party manufacturers. Other than our supply agreement with Lonza for aldafermin drug substance, we do not have a long-term supply agreement with any third-party manufacturer.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on acceptable terms or at all. Even if we are able to establish agreements with third-party manufacturers, reliance on third-party manufacturers entails additional risks, including:</w:t>
      </w:r>
    </w:p>
    <w:p>
      <w:pPr>
        <w:spacing w:after="0" w:line="197" w:lineRule="exact"/>
        <w:rPr>
          <w:sz w:val="20"/>
          <w:szCs w:val="20"/>
          <w:color w:val="auto"/>
        </w:rPr>
      </w:pPr>
    </w:p>
    <w:p>
      <w:pPr>
        <w:ind w:left="800" w:right="2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the failure to supply product on the timelines and at the cost agreed to;</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manufacturers may not be able to comply with cGMP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our product candidates.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In this regard, remote work policies and quarantines, shelter-in-place and similar government orders related to the COVID-19 pandemic could impact personnel at third-party manufacturing facilities in the United States and other countries, or the availability or cost of materials, which would disrupt our supply chain and delay our clinical development efforts.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 We do not currently have arrangements in place for redundant supply for bulk drug substances or drug product. If any one of our current contract manufacturers cannot perform as agreed, we may be required to replace that manufacturer, if possible. Although there may be potential alternative manufacturers who could manufacture our product candidates, we would incur additional costs and experience delays in identifying and qualifying any such replacement.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 Refer also to the risk factor entitled “</w:t>
      </w:r>
      <w:r>
        <w:rPr>
          <w:rFonts w:ascii="Arial" w:cs="Arial" w:eastAsia="Arial" w:hAnsi="Arial"/>
          <w:sz w:val="18"/>
          <w:szCs w:val="18"/>
          <w:i w:val="1"/>
          <w:iCs w:val="1"/>
          <w:color w:val="auto"/>
        </w:rPr>
        <w:t>We are subject to many manufacturing risks, any of which could substantially</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 our costs and limit supply of our product candidates and any future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 If we are unable to obtain regulatory approvals to market one or more of our product candidates, our business will be adversely affected.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The approval process is typically lengthy and expensive, and approval is never certain.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97"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jc w:val="both"/>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aldafermin has received Fast Track designation from the FDA for NASH and PBC, we may not necessarily experience faster development timelines or achieve faster review or approval compared to conventional FDA procedures. 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announced that it had received a complete response letter regarding its New Drug Application for OCA for the treatment of NASH, in which the FDA indicated that it had determined that the predicted benefit of OCA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203" w:lineRule="exact"/>
        <w:rPr>
          <w:sz w:val="20"/>
          <w:szCs w:val="20"/>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800" w:hanging="401"/>
        <w:spacing w:after="0" w:line="24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 of matter, methods of use, formulations, combination therapy and other technologies relating to our product candidates. However,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jc w:val="both"/>
        <w:spacing w:after="0" w:line="237"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patent examination process may require us or our current or future licensors, licensees or collaborators to narrow the scope of the claims of pending and future patent applications, which would limit the scope of patent protection that is obtained, if any.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Success in obtaining and maintaining patents and other intellectual property rights may depend upon being the first to make a particular invention or being the first inventor to file a patent application on that invention. However, the publication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an invention, or the first inventors to file a patent application claiming an invention in our owned or licensed patents or pending patent applications.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 stage applications in particular foreign countries. Likewise, we do not currently own or have a license to any issued patents that cover our NGM707 product candidate, although it is disclosed and claimed in our pending U.S. provisional application(s). The patent landscape surrounding NGM621 and NGM707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NGM621, NGM395 and NGM707,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NGM313, NGM120, NGM621, NGM395 and NGM707 or any of our other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Thus, our existing patents and any future patents we obtain may not be sufficiently broad to prevent others from practicing our inventions or technologies, or from developing or commercializing competing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jc w:val="both"/>
        <w:spacing w:after="0" w:line="237"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intellectual property rights in some countries outside the United States are less extensive than those in the United States. Competitors may use our technology and that of our current or future licensors, licensees or collaborators in jurisdictions where we have not obtained patent protection to develop their own products and, in some cases, may export otherwise infringing products to territories where we and our collaborator have patent protection, but enforcement is not as strong as that in the United States. These products may compete with our products and product candidates, and our patents or other intellectual property rights may not be effective or sufficient to prevent that competition.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Europe and other countries impose limitations on inventions related to methods for treating the human body. Differences in national law and practice may limit the breadth and strength of any patents obtained by us or our current or future licensors, licensees or collaborators.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India, certain countries in Europe, and certain developing countries, including Thailand, have compulsory licensing laws under which a patent owner may be compelled to grant licenses to third parties. Additionally, many countries limit the enforceability of patents against government agencies or government contractors. We or our licensors, licensees or collaborators may have limited remedies if patents are infringed or if compelled to grant a license to a third party, which could materially diminish the value of those patents and could limit our potential revenue opportunities.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 applications, issued patents and/or parts thereof must be translated into the native language in many foreign countries. If our patent applications or issued patents are translated incorrectly, they may not adequately cover our products, product candidates, or other technologies and it may not be possible to rectify an incorrect translation.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or our current or future licensors, licensees or collaborators to stop the infringement of the patents or the marketing of competing products in violation of the patent or other proprietary rights. Proceedings to enforce patent rights in foreign jurisdictions could result in substantial costs and divert the attention of us or our current or future licensors, licensees or collaborators from other aspects of our business, could put the patents at risk of being invalidated or interpreted narrowly, could place the patent applications at risk of not issuing, and/or could provoke third parties to assert claims against us or our current or future licensors, licensees or collaborators. We or our current or future licensors, licensees or collaborators may not prevail in any lawsuits that are initiated and the damages or other remedies awarded, if any, may not be commercially meaningful.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duration of our intellectual property rights is limited.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Patents generally have a term of 20 years from the earliest effective filing date of the application that first discloses the claimed invention or an obvious variant thereof.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jc w:val="both"/>
        <w:spacing w:after="0" w:line="236" w:lineRule="auto"/>
        <w:rPr>
          <w:sz w:val="20"/>
          <w:szCs w:val="20"/>
          <w:color w:val="auto"/>
        </w:rPr>
      </w:pPr>
      <w:r>
        <w:rPr>
          <w:rFonts w:ascii="Arial" w:cs="Arial" w:eastAsia="Arial" w:hAnsi="Arial"/>
          <w:sz w:val="18"/>
          <w:szCs w:val="18"/>
          <w:color w:val="auto"/>
        </w:rPr>
        <w:t>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the patent are not enforceable over their full scope, but instead are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Non-compliance with various procedural, document submission, fee payment and other requirements imposed by governmental patent agencies could adversely affect our patent protection.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 Patent and Trademark Office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current or future licensors, licensees or collaborators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 and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could weaken the ability of us and our current or future licensors, licensees or collaborators to obtain new patents or to enforce existing patents and patents we may obtain in the future.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aldafermin, NGM313, NGM120, NGM621, NGM395 and NGM707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jc w:val="both"/>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commercial success depends upon our ability and that of our current or future licensors, licensees or collaborators to develop, manufacture, market and sell any product candidates that we may develop and use our proprietary technologies without infringing, misappropriating or otherwise violating the intellectual property and proprietary rights of third parties. 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lengthy and time -consuming, and many of our adversaries may have the ability to dedicate substantially greater resources to prosecuting these legal actions than us.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of our product candidates. Such searches generally are conducted based on keywords, amino acid and nucleic acid sequences, inventors/authors and assignees/entities to capture U.S. and European patents and patent applications, PCT publications and scientific journal articles. There can be no assurance that these searches will identify all potentially relevant patents or patent applications, and the failure to identify any such patents or patent applications could have a material adverse effect on the commercialization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NGM313, NGM120, NGM621, NGM395 and NGM707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below, or any appeals stemming therefrom. As to pending third-party applications, we cannot predict with any certainty the claims that will issue, if any, or the scope of such issued claims.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filed an opposition in the European Patent Office (“EPO”) against a patent, granted to St. Vincent’s Hospital Sydney Limited (“St. Vincent’s”), claiming the use of MIC-1, also known as GDF15, for the treatment of obesity. The Opposition Division of the EPO upheld the patent as granted in the first instance proceedings. We appealed this decision to the Board of Appeals but subsequently withdrew from the opposition. The opposition proceedings were terminated with the patent being maintained. We may not be able to commercially launch NGM395 in Europe for the treatment of obesity without a license from St. Vincent’s or until after the patent’s expiration, which is currently scheduled for April 2025. There is no assurance that such a license, if necessary, can be obtained from St. Vincent’s on commercially reasonable terms, or at 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jc w:val="both"/>
        <w:spacing w:after="0" w:line="237" w:lineRule="auto"/>
        <w:rPr>
          <w:sz w:val="20"/>
          <w:szCs w:val="20"/>
          <w:color w:val="auto"/>
        </w:rPr>
      </w:pPr>
      <w:r>
        <w:rPr>
          <w:rFonts w:ascii="Arial" w:cs="Arial" w:eastAsia="Arial" w:hAnsi="Arial"/>
          <w:sz w:val="18"/>
          <w:szCs w:val="18"/>
          <w:color w:val="auto"/>
        </w:rPr>
        <w:t>We filed an opposition in the EPO against a patent, granted to Amgen, claiming the use of GDF15 polypeptides for the treatment of several metabolic disorders, including obesity. At the first instance proceedings, the Opposition Division of the EPO maintained the patent in view of amendments to the patent and statements by Amgen disclaiming the treatment of obesity. We appealed to the Board of Appeals at the EPO the Opposition Division’s decision to maintain the Amgen patent. Should the patent be upheld on appeal or should we decide not to pursue the appeal, we may not be able to commercially launch NGM395 in Europe for the treatment of any metabolic orders encompassed by the claims without a license from Amgen or until after the patent’s expiration, which is currently scheduled for April 2032. There is no assurance that such a license, if necessary, can be obtained from Amgen on commercially reasonable terms, or at all.</w:t>
      </w:r>
    </w:p>
    <w:p>
      <w:pPr>
        <w:spacing w:after="0" w:line="203"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color w:val="auto"/>
        </w:rPr>
        <w:t>We filed an opposition in the EPO against a patent, granted to Genentech, Inc., claiming the use of an anti</w:t>
      </w:r>
      <w:r>
        <w:rPr>
          <w:rFonts w:ascii="MS PGothic" w:cs="MS PGothic" w:eastAsia="MS PGothic" w:hAnsi="MS PGothic"/>
          <w:sz w:val="18"/>
          <w:szCs w:val="18"/>
          <w:color w:val="auto"/>
        </w:rPr>
        <w:t>‑</w:t>
      </w:r>
      <w:r>
        <w:rPr>
          <w:rFonts w:ascii="Arial" w:cs="Arial" w:eastAsia="Arial" w:hAnsi="Arial"/>
          <w:sz w:val="18"/>
          <w:szCs w:val="18"/>
          <w:color w:val="auto"/>
        </w:rPr>
        <w:t>KLB agonistic antibody for the treatment of diabetes mellitus or insulin resistance. The opposition is now terminated and the patent has been revoked in its entirety.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or our employees have misappropriated their intellectual property or claiming ownership of what we regard as our own intellectual property.</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we may lose valuable intellectual property rights or personnel, pay monetary damages, and/or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6" w:name="page87"/>
    <w:bookmarkEnd w:id="86"/>
    <w:p>
      <w:pPr>
        <w:ind w:right="160"/>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 or otherwise be unable to secure ownership of our intellectual property.</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and other claims. If we fail in defending any such claims, in addition to paying monetary damages, we may lose valuable intellectual property rights, such as exclusive ownership of, or right to use, intellectual property that is important to our products and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It is our policy to require our employees and contractors who may be involved in the conception or development of intellectual property to execute agreements assigning such intellectual property to us. However,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34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make the inventions covered by the issued patents and pending patent applications that we license or may own in the future;</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current or future licensors, licensees or collaborators, might not have been the first to file patent applications covering certain of our or their inventions;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373"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34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45"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373"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7" w:name="page88"/>
    <w:bookmarkEnd w:id="87"/>
    <w:p>
      <w:pPr>
        <w:ind w:left="800" w:right="2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34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market price for our common stock has fluctuated significantly from time to time, for example, varying between a high of $23.95 on June 17, 2020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section, these factors include:</w:t>
      </w:r>
    </w:p>
    <w:p>
      <w:pPr>
        <w:spacing w:after="0" w:line="205" w:lineRule="exact"/>
        <w:rPr>
          <w:sz w:val="20"/>
          <w:szCs w:val="20"/>
          <w:color w:val="auto"/>
        </w:rPr>
      </w:pPr>
    </w:p>
    <w:p>
      <w:pPr>
        <w:jc w:val="both"/>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Merck’s failure to exercise its remaining unilateral option to extend the research phase of the collaboration, any termination of the collaboration, or other change in our relationship with Merck;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8" w:name="page89"/>
    <w:bookmarkEnd w:id="88"/>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have a dramatic and material adverse impact on the market price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w:t>
      </w:r>
      <w:r>
        <w:rPr>
          <w:rFonts w:ascii="Arial" w:cs="Arial" w:eastAsia="Arial" w:hAnsi="Arial"/>
          <w:sz w:val="18"/>
          <w:szCs w:val="18"/>
          <w:color w:val="222222"/>
        </w:rPr>
        <w:t>Refer also to the risk factor</w:t>
      </w:r>
      <w:r>
        <w:rPr>
          <w:rFonts w:ascii="Arial" w:cs="Arial" w:eastAsia="Arial" w:hAnsi="Arial"/>
          <w:sz w:val="18"/>
          <w:szCs w:val="18"/>
          <w:color w:val="auto"/>
        </w:rPr>
        <w:t xml:space="preserve"> </w:t>
      </w:r>
      <w:r>
        <w:rPr>
          <w:rFonts w:ascii="Arial" w:cs="Arial" w:eastAsia="Arial" w:hAnsi="Arial"/>
          <w:sz w:val="18"/>
          <w:szCs w:val="18"/>
          <w:color w:val="222222"/>
        </w:rPr>
        <w:t>entitled “</w:t>
      </w:r>
      <w:r>
        <w:rPr>
          <w:rFonts w:ascii="Arial" w:cs="Arial" w:eastAsia="Arial" w:hAnsi="Arial"/>
          <w:sz w:val="18"/>
          <w:szCs w:val="18"/>
          <w:i w:val="1"/>
          <w:iCs w:val="1"/>
          <w:color w:val="000000"/>
        </w:rPr>
        <w:t>Sales of a substantial number of shares of our common stock in the public market could cause our stock price to fall.”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97" w:lineRule="exact"/>
        <w:rPr>
          <w:sz w:val="20"/>
          <w:szCs w:val="20"/>
          <w:color w:val="auto"/>
        </w:rPr>
      </w:pPr>
    </w:p>
    <w:p>
      <w:pPr>
        <w:ind w:left="800" w:hanging="401"/>
        <w:spacing w:after="0" w:line="24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(the “Sarbanes-Oxley Act”) requiring that our independent registered public accounting firm provide an attestation report on the effectiveness of our internal control over financial reporting;</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(the “Dodd-Frank Act”) and some of the disclosure requirements of the Dodd-Frank Act relating to compensation of our chief executive officer; and</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Exchange Act, and instead provide a reduced level of disclosure concerning executive compensation.</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SEC, may make it more difficult for investors and securities analysts to evaluate our company.</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 not “emerging growth companies.” As a result, changes in U.S. GAAP or their interpretation, the adoption of new guidance or the application of existing guidance to changes in our business could significantly affect our financial position and results of operations.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trading days during the three months ended September 30, 2020, the average daily trading volume for our common stock on the Nasdaq Global Select Market was only 290,811 shares. As a result, sales of a substantial number of shares of our common stock in the public market, including pursuant to the Sales Agreement or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0" w:name="page91"/>
    <w:bookmarkEnd w:id="90"/>
    <w:p>
      <w:pPr>
        <w:jc w:val="both"/>
        <w:spacing w:after="0" w:line="236" w:lineRule="auto"/>
        <w:rPr>
          <w:sz w:val="20"/>
          <w:szCs w:val="20"/>
          <w:color w:val="auto"/>
        </w:rPr>
      </w:pPr>
      <w:r>
        <w:rPr>
          <w:rFonts w:ascii="Arial" w:cs="Arial" w:eastAsia="Arial" w:hAnsi="Arial"/>
          <w:sz w:val="18"/>
          <w:szCs w:val="18"/>
          <w:color w:val="auto"/>
        </w:rPr>
        <w:t>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became available for sale in the public market beginning on March 17, 2020, subject to the condition of Rule 144 under the Securities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203" w:lineRule="exact"/>
        <w:rPr>
          <w:sz w:val="20"/>
          <w:szCs w:val="20"/>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jc w:val="both"/>
        <w:spacing w:after="0" w:line="23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Internal Revenue Service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jc w:val="both"/>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3" w:name="page94"/>
    <w:bookmarkEnd w:id="93"/>
    <w:p>
      <w:pPr>
        <w:jc w:val="both"/>
        <w:spacing w:after="0" w:line="246" w:lineRule="auto"/>
        <w:rPr>
          <w:sz w:val="20"/>
          <w:szCs w:val="20"/>
          <w:color w:val="auto"/>
        </w:rPr>
      </w:pPr>
      <w:r>
        <w:rPr>
          <w:rFonts w:ascii="Arial" w:cs="Arial" w:eastAsia="Arial" w:hAnsi="Arial"/>
          <w:sz w:val="18"/>
          <w:szCs w:val="18"/>
          <w:color w:val="auto"/>
        </w:rPr>
        <w:t>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IPO of Common Stock</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April 4,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3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Number</w:t>
            </w:r>
          </w:p>
        </w:tc>
        <w:tc>
          <w:tcPr>
            <w:tcW w:w="5480" w:type="dxa"/>
            <w:vAlign w:val="bottom"/>
            <w:gridSpan w:val="6"/>
          </w:tcPr>
          <w:p>
            <w:pPr>
              <w:ind w:left="224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3.1</w:t>
            </w:r>
          </w:p>
        </w:tc>
        <w:tc>
          <w:tcPr>
            <w:tcW w:w="5480" w:type="dxa"/>
            <w:vAlign w:val="bottom"/>
            <w:gridSpan w:val="6"/>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Amended and Restated Certificate of Incorporation</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5480" w:type="dxa"/>
            <w:vAlign w:val="bottom"/>
            <w:gridSpan w:val="6"/>
          </w:tcPr>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Amended and Restated Bylaws</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534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97">
              <w:r>
                <w:rPr>
                  <w:rFonts w:ascii="Arial" w:cs="Arial" w:eastAsia="Arial" w:hAnsi="Arial"/>
                  <w:sz w:val="18"/>
                  <w:szCs w:val="18"/>
                  <w:color w:val="0000EE"/>
                  <w:w w:val="99"/>
                </w:rPr>
                <w:t>Certification of Chief Executive Officer Pursuant to Rules 13a-14(a)</w:t>
              </w:r>
            </w:hyperlink>
          </w:p>
        </w:tc>
        <w:tc>
          <w:tcPr>
            <w:tcW w:w="1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gridSpan w:val="6"/>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and 15d-14(a) under the Securities Exchange Act of 1934, as</w:t>
              </w:r>
            </w:hyperlink>
          </w:p>
        </w:tc>
      </w:tr>
      <w:tr>
        <w:trPr>
          <w:trHeight w:val="20"/>
        </w:trPr>
        <w:tc>
          <w:tcPr>
            <w:tcW w:w="9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5480" w:type="dxa"/>
            <w:vAlign w:val="bottom"/>
            <w:gridSpan w:val="6"/>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Adopted Pursuant to Section 302 of the Sarbanes-Oxley Act of 2002</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528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Certification of Chief Financial Officer Pursuant to Rules 13a-14(a)</w:t>
              </w:r>
            </w:hyperlink>
          </w:p>
        </w:tc>
        <w:tc>
          <w:tcPr>
            <w:tcW w:w="200" w:type="dxa"/>
            <w:vAlign w:val="bottom"/>
            <w:gridSpan w:val="2"/>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gridSpan w:val="6"/>
          </w:tcPr>
          <w:p>
            <w:pPr>
              <w:spacing w:after="0" w:line="182" w:lineRule="exact"/>
              <w:rPr>
                <w:rFonts w:ascii="Arial" w:cs="Arial" w:eastAsia="Arial" w:hAnsi="Arial"/>
                <w:sz w:val="18"/>
                <w:szCs w:val="18"/>
                <w:color w:val="0000EE"/>
              </w:rPr>
            </w:pPr>
            <w:hyperlink w:anchor="page98">
              <w:r>
                <w:rPr>
                  <w:rFonts w:ascii="Arial" w:cs="Arial" w:eastAsia="Arial" w:hAnsi="Arial"/>
                  <w:sz w:val="18"/>
                  <w:szCs w:val="18"/>
                  <w:color w:val="0000EE"/>
                </w:rPr>
                <w:t>and 15d-14(a) under the Securities Exchange Act of 1934, as</w:t>
              </w:r>
            </w:hyperlink>
          </w:p>
        </w:tc>
      </w:tr>
      <w:tr>
        <w:trPr>
          <w:trHeight w:val="20"/>
        </w:trPr>
        <w:tc>
          <w:tcPr>
            <w:tcW w:w="98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222"/>
        </w:trPr>
        <w:tc>
          <w:tcPr>
            <w:tcW w:w="980" w:type="dxa"/>
            <w:vAlign w:val="bottom"/>
          </w:tcPr>
          <w:p>
            <w:pPr>
              <w:spacing w:after="0"/>
              <w:rPr>
                <w:sz w:val="19"/>
                <w:szCs w:val="19"/>
                <w:color w:val="auto"/>
              </w:rPr>
            </w:pPr>
          </w:p>
        </w:tc>
        <w:tc>
          <w:tcPr>
            <w:tcW w:w="5480" w:type="dxa"/>
            <w:vAlign w:val="bottom"/>
            <w:gridSpan w:val="6"/>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Adopted Pursuant to Section 302 of the Sarbanes-Oxley Act of 2002</w:t>
              </w:r>
            </w:hyperlink>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5200" w:type="dxa"/>
            <w:vAlign w:val="bottom"/>
            <w:tcBorders>
              <w:bottom w:val="single" w:sz="8" w:color="0000EE"/>
            </w:tcBorders>
            <w:gridSpan w:val="3"/>
          </w:tcPr>
          <w:p>
            <w:pPr>
              <w:spacing w:after="0" w:line="17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Certification of Chief Executive Officer and Chief Financial Officer</w:t>
              </w:r>
            </w:hyperlink>
          </w:p>
        </w:tc>
        <w:tc>
          <w:tcPr>
            <w:tcW w:w="280" w:type="dxa"/>
            <w:vAlign w:val="bottom"/>
            <w:gridSpan w:val="3"/>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54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Pursuant to 18 U.S.C. Section 1350, as Adopted Pursuant to Section</w:t>
              </w:r>
            </w:hyperlink>
          </w:p>
        </w:tc>
      </w:tr>
      <w:tr>
        <w:trPr>
          <w:trHeight w:val="183"/>
        </w:trPr>
        <w:tc>
          <w:tcPr>
            <w:tcW w:w="980" w:type="dxa"/>
            <w:vAlign w:val="bottom"/>
          </w:tcPr>
          <w:p>
            <w:pPr>
              <w:spacing w:after="0"/>
              <w:rPr>
                <w:sz w:val="15"/>
                <w:szCs w:val="15"/>
                <w:color w:val="auto"/>
              </w:rPr>
            </w:pPr>
          </w:p>
        </w:tc>
        <w:tc>
          <w:tcPr>
            <w:tcW w:w="5480" w:type="dxa"/>
            <w:vAlign w:val="bottom"/>
            <w:gridSpan w:val="6"/>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906 of the Sarbanes-Oxley Act of 2002</w:t>
              </w:r>
            </w:hyperlink>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31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380" w:type="dxa"/>
            <w:vAlign w:val="bottom"/>
            <w:gridSpan w:val="5"/>
          </w:tcPr>
          <w:p>
            <w:pPr>
              <w:spacing w:after="0"/>
              <w:rPr>
                <w:sz w:val="20"/>
                <w:szCs w:val="20"/>
                <w:color w:val="auto"/>
              </w:rPr>
            </w:pPr>
          </w:p>
        </w:tc>
      </w:t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054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Borders>
              <w:top w:val="single" w:sz="8" w:color="auto"/>
            </w:tcBorders>
          </w:tcPr>
          <w:p>
            <w:pPr>
              <w:jc w:val="center"/>
              <w:ind w:right="10"/>
              <w:spacing w:after="0" w:line="173" w:lineRule="exact"/>
              <w:rPr>
                <w:sz w:val="20"/>
                <w:szCs w:val="20"/>
                <w:color w:val="auto"/>
              </w:rPr>
            </w:pPr>
            <w:r>
              <w:rPr>
                <w:rFonts w:ascii="Arial" w:cs="Arial" w:eastAsia="Arial" w:hAnsi="Arial"/>
                <w:sz w:val="18"/>
                <w:szCs w:val="18"/>
                <w:b w:val="1"/>
                <w:bCs w:val="1"/>
                <w:color w:val="auto"/>
                <w:w w:val="99"/>
              </w:rPr>
              <w:t>Schedule</w:t>
            </w:r>
          </w:p>
        </w:tc>
        <w:tc>
          <w:tcPr>
            <w:tcW w:w="15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Filing</w:t>
            </w:r>
          </w:p>
        </w:tc>
      </w:tr>
      <w:tr>
        <w:trPr>
          <w:trHeight w:val="239"/>
        </w:trPr>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Form</w:t>
            </w: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10"/>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4/8/19</w:t>
            </w:r>
          </w:p>
        </w:tc>
      </w:tr>
      <w:tr>
        <w:trPr>
          <w:trHeight w:val="256"/>
        </w:trPr>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S-1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9/28/18</w:t>
            </w:r>
          </w:p>
        </w:tc>
      </w:tr>
    </w:tbl>
    <w:p>
      <w:pPr>
        <w:spacing w:after="0" w:line="3601" w:lineRule="exact"/>
        <w:rPr>
          <w:sz w:val="20"/>
          <w:szCs w:val="20"/>
          <w:color w:val="auto"/>
        </w:rPr>
      </w:pPr>
    </w:p>
    <w:p>
      <w:pPr>
        <w:sectPr>
          <w:pgSz w:w="11900" w:h="16838" w:orient="portrait"/>
          <w:cols w:equalWidth="0" w:num="2">
            <w:col w:w="6460" w:space="20"/>
            <w:col w:w="4760"/>
          </w:cols>
          <w:pgMar w:left="320" w:top="333" w:right="339" w:bottom="1440" w:gutter="0" w:footer="0" w:header="0"/>
        </w:sectPr>
      </w:pPr>
    </w:p>
    <w:p>
      <w:pPr>
        <w:spacing w:after="0" w:line="137"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40" w:right="6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95" w:name="page96"/>
    <w:bookmarkEnd w:id="95"/>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firstLine="546"/>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84"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Siobhan Nolan Mangini</w:t>
      </w:r>
    </w:p>
    <w:p>
      <w:pPr>
        <w:spacing w:after="0" w:line="18"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80"/>
          </w:cols>
          <w:pgMar w:left="320" w:top="333" w:right="69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line="238" w:lineRule="auto"/>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600" w:hanging="796"/>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David J. Woodhouse, Ph.D.</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 and Director</w:t>
      </w:r>
    </w:p>
    <w:p>
      <w:pPr>
        <w:ind w:left="5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18"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PERIODIC REPORT UNDER SECTION 302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12"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right="20" w:hanging="792"/>
        <w:spacing w:after="0" w:line="24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line="238" w:lineRule="auto"/>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8"/>
          <w:szCs w:val="18"/>
          <w:color w:val="auto"/>
        </w:rPr>
      </w:pPr>
    </w:p>
    <w:p>
      <w:pPr>
        <w:jc w:val="both"/>
        <w:ind w:left="1600" w:hanging="796"/>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00" w:lineRule="exact"/>
        <w:rPr>
          <w:sz w:val="20"/>
          <w:szCs w:val="20"/>
          <w:color w:val="auto"/>
        </w:rPr>
      </w:pPr>
    </w:p>
    <w:p>
      <w:pPr>
        <w:spacing w:after="0" w:line="255"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-1905</wp:posOffset>
            </wp:positionV>
            <wp:extent cx="37890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Siobhan Nolan Mangini</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ind w:left="52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18"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5" w:lineRule="exact"/>
        <w:rPr>
          <w:sz w:val="20"/>
          <w:szCs w:val="20"/>
          <w:color w:val="auto"/>
        </w:rPr>
      </w:pPr>
    </w:p>
    <w:p>
      <w:pPr>
        <w:jc w:val="both"/>
        <w:ind w:left="800" w:hanging="792"/>
        <w:spacing w:after="0" w:line="24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196"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12</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2020.</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85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5859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Siobhan Nolan Mangini</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11" Type="http://schemas.openxmlformats.org/officeDocument/2006/relationships/hyperlink" Target="http://www.sec.gov/Archives/edgar/data/1426332/000119312519100757/d731361dex31.htm" TargetMode="External"/><Relationship Id="rId112" Type="http://schemas.openxmlformats.org/officeDocument/2006/relationships/hyperlink" Target="http://www.sec.gov/Archives/edgar/data/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2020-11-12T15:40:55Z</dcterms:created>
  <dcterms:modified xsi:type="dcterms:W3CDTF">2020-11-12T15:40:55Z</dcterms:modified>
</cp:coreProperties>
</file>