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001-38853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26-1679911</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333 Oyster Point Boulevard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NGM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7" w:lineRule="exact"/>
        <w:rPr>
          <w:sz w:val="20"/>
          <w:szCs w:val="20"/>
          <w:color w:val="auto"/>
        </w:rPr>
      </w:pPr>
    </w:p>
    <w:p>
      <w:pPr>
        <w:ind w:left="4" w:firstLine="440"/>
        <w:spacing w:after="0" w:line="263" w:lineRule="auto"/>
        <w:rPr>
          <w:sz w:val="20"/>
          <w:szCs w:val="20"/>
          <w:color w:val="auto"/>
        </w:rPr>
      </w:pPr>
      <w:r>
        <w:rPr>
          <w:rFonts w:ascii="Times New Roman" w:cs="Times New Roman" w:eastAsia="Times New Roman" w:hAnsi="Times New Roman"/>
          <w:sz w:val="18"/>
          <w:szCs w:val="18"/>
          <w:color w:val="auto"/>
        </w:rPr>
        <w:t>On June 29, 2022, the Board of Directors of NGM Biopharmaceuticals,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approved the promotion of Siobhan Nolan Mangini, the Company’s Chief Financial Officer, to the additional position as President of the Company, effective July 1, 2022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Ms. Nolan Mangini’s biographical information is set forth in the Company’s Definitive Proxy Statement on Schedule 14A, filed with the Securities and Exchange Commission on April 6, 2022, and is incorporated herein by reference. Ms. Nolan Mangini is not a party to any transaction with any related person required to be disclosed pursuant to Item 404(a) of Regulation S-K, and there is no family relationship between Ms. Nolan Mangini and any of the Company’s directors or other executive officers.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Company’s Board of Directors also approved changes to Ms. Nolan Mangini’s compensation, effective as of the Effective Date, as follows:</w:t>
      </w:r>
    </w:p>
    <w:p>
      <w:pPr>
        <w:spacing w:after="0" w:line="27" w:lineRule="exact"/>
        <w:rPr>
          <w:sz w:val="20"/>
          <w:szCs w:val="20"/>
          <w:color w:val="auto"/>
        </w:rPr>
      </w:pPr>
    </w:p>
    <w:p>
      <w:pPr>
        <w:ind w:left="4" w:right="60" w:hanging="4"/>
        <w:spacing w:after="0" w:line="251"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$500,000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(ii) an annual bonus target of 45% of base salary to be effective for the last six months of 2022 and thereafter, until such time, if any, that her annual bonus target is changed by the Compensation Committee of the Company’s Board of Directors or the full Board of Directors; (iii) the grant of a stock option under the Company’s Amended and Restated 2018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100,000 shares of the Company’s common stock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with a grant date of the Effective Date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with an exercise price per share of the closing sales price per share of the Company’s common stock as reported on the Nasdaq Global Select Market as of the Grant Date, and with 1/48th of the shares subject to the Option vesting monthly as measured from the Grant Date, provided that Ms. Nolan Mangini is then providing Continuous Service (as defined in the Plan) to the Company as of each such vesting date; and (iv) an increase to her severance package as provided in her offer letter agreement with the Company, dated May 20, 2020 (the “</w:t>
      </w:r>
      <w:r>
        <w:rPr>
          <w:rFonts w:ascii="Times New Roman" w:cs="Times New Roman" w:eastAsia="Times New Roman" w:hAnsi="Times New Roman"/>
          <w:sz w:val="18"/>
          <w:szCs w:val="18"/>
          <w:b w:val="1"/>
          <w:bCs w:val="1"/>
          <w:i w:val="1"/>
          <w:iCs w:val="1"/>
          <w:color w:val="auto"/>
        </w:rPr>
        <w:t>Offer Letter</w:t>
      </w:r>
      <w:r>
        <w:rPr>
          <w:rFonts w:ascii="Times New Roman" w:cs="Times New Roman" w:eastAsia="Times New Roman" w:hAnsi="Times New Roman"/>
          <w:sz w:val="18"/>
          <w:szCs w:val="18"/>
          <w:color w:val="auto"/>
        </w:rPr>
        <w:t>”), from six (6) months to nine (9) months of her Base Salary and COBRA payments.</w:t>
      </w:r>
    </w:p>
    <w:p>
      <w:pPr>
        <w:spacing w:after="0" w:line="193"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Also effective as of the Effective Date, on June 29, 2022, William J. Rieflin was appointed by the Company’s Board of Directors to the position of Non-Executive Chairman of the Board, following Mr. Rieflin’s retirement from his position as the Company’s Executive Chairman effective July 1, 2022.</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June 30,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Valerie Pierce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Senior Vice President and General Counsel</w:t>
      </w:r>
    </w:p>
    <w:sectPr>
      <w:pgSz w:w="11900" w:h="16838" w:orient="portrait"/>
      <w:cols w:equalWidth="0" w:num="1">
        <w:col w:w="11000"/>
      </w:cols>
      <w:pgMar w:left="440" w:top="29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2022-06-30T15:05:06Z</dcterms:created>
  <dcterms:modified xsi:type="dcterms:W3CDTF">2022-06-30T15:05:06Z</dcterms:modified>
</cp:coreProperties>
</file>