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876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7603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10/17/2022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396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960" w:type="dxa"/>
            <w:vAlign w:val="bottom"/>
            <w:gridSpan w:val="8"/>
            <w:vMerge w:val="continue"/>
          </w:tcPr>
          <w:p>
            <w:pPr>
              <w:spacing w:after="0"/>
              <w:rPr>
                <w:sz w:val="8"/>
                <w:szCs w:val="8"/>
                <w:color w:val="auto"/>
              </w:rPr>
            </w:pPr>
          </w:p>
        </w:tc>
        <w:tc>
          <w:tcPr>
            <w:tcW w:w="33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gridSpan w:val="4"/>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36"/>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10/17/2022</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50,000</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3.1828</w:t>
            </w:r>
            <w:r>
              <w:rPr>
                <w:rFonts w:ascii="Times New Roman" w:cs="Times New Roman" w:eastAsia="Times New Roman" w:hAnsi="Times New Roman"/>
                <w:sz w:val="22"/>
                <w:szCs w:val="22"/>
                <w:color w:val="008000"/>
                <w:w w:val="98"/>
                <w:vertAlign w:val="superscript"/>
              </w:rPr>
              <w:t>(1)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130,000</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7"/>
                <w:szCs w:val="17"/>
                <w:color w:val="0000FF"/>
              </w:rPr>
              <w:t>10/18/2022</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80,000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3.7907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190,000</w:t>
            </w:r>
          </w:p>
        </w:tc>
        <w:tc>
          <w:tcPr>
            <w:tcW w:w="320" w:type="dxa"/>
            <w:vAlign w:val="bottom"/>
          </w:tcPr>
          <w:p>
            <w:pPr>
              <w:spacing w:after="0"/>
              <w:rPr>
                <w:sz w:val="21"/>
                <w:szCs w:val="21"/>
                <w:color w:val="auto"/>
              </w:rPr>
            </w:pPr>
          </w:p>
        </w:tc>
        <w:tc>
          <w:tcPr>
            <w:tcW w:w="500" w:type="dxa"/>
            <w:vAlign w:val="bottom"/>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2,650,177</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90,442</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11,103,333</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858,035</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968,990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2,265,758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$3.13 to $3.20, inclusive. The reporting person undertakes to provide to the Issuer or the staff of the Securities and Exchange Commission, upon request, full information regarding the number of shares acquired at each separate price within the ranges set forth in this footnote 1 to this Form 4.</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David V. Goeddel and Alena Z. Goeddel 2004 Trust for which the Reporting Person and Alena Z. Goeddel serve as co-trustee.</w:t>
      </w:r>
    </w:p>
    <w:p>
      <w:pPr>
        <w:spacing w:after="0" w:line="50"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8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80" w:firstLine="7"/>
        <w:spacing w:after="0" w:line="24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jc w:val="both"/>
        <w:ind w:right="2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20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200"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10/19/2022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2022-10-19T17:03:58Z</dcterms:created>
  <dcterms:modified xsi:type="dcterms:W3CDTF">2022-10-19T17:03:58Z</dcterms:modified>
</cp:coreProperties>
</file>