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333-238991</w:t>
      </w:r>
    </w:p>
    <w:p>
      <w:pPr>
        <w:spacing w:after="0" w:line="127" w:lineRule="exact"/>
        <w:rPr>
          <w:sz w:val="24"/>
          <w:szCs w:val="24"/>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DE1A1E"/>
        </w:rPr>
        <w:t>The information in this preliminary prospectus supplement and the accompanying prospectus is not complete and may be changed. This preliminary prospectus supplement and the accompanying prospectus are not an offer to sell these securities, and we are not soliciting offers to buy these securities in any jurisdiction where the offer or sale is not permitted.</w:t>
      </w:r>
    </w:p>
    <w:p>
      <w:pPr>
        <w:spacing w:after="0" w:line="1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DE1A1E"/>
        </w:rPr>
        <w:t>Subject to completion, dated January 4, 2021</w:t>
      </w:r>
    </w:p>
    <w:p>
      <w:pPr>
        <w:spacing w:after="0" w:line="21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2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June 16, 2020)</w:t>
      </w:r>
    </w:p>
    <w:p>
      <w:pPr>
        <w:spacing w:after="0" w:line="290"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$100,000,000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257175</wp:posOffset>
            </wp:positionV>
            <wp:extent cx="134556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556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NGM Biopharmaceuticals, Inc.</w:t>
      </w:r>
    </w:p>
    <w:p>
      <w:pPr>
        <w:spacing w:after="0" w:line="373"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We are offering shares of our common stock with an aggregate public offering price of $100,000,000 pursuant to this prospectus supplement. Our common stock is listed on The Nasdaq Global Select Market under the trading symbol “NGM.” On December 31, 2020, the last reported sale price of our common stock on The Nasdaq Global Select Market was $ 30.30 per share. Based on an assumed public offering price of $30.30 per share, the last reported sale price of our common stock on The Nasdaq Global Select Market on December 31, 2020, we would expect to offer approximately 3,300,330 shares hereby.</w:t>
      </w:r>
    </w:p>
    <w:p>
      <w:pPr>
        <w:spacing w:after="0" w:line="134" w:lineRule="exact"/>
        <w:rPr>
          <w:sz w:val="24"/>
          <w:szCs w:val="24"/>
          <w:color w:val="auto"/>
        </w:rPr>
      </w:pPr>
    </w:p>
    <w:p>
      <w:pPr>
        <w:ind w:left="120" w:right="660" w:firstLine="551"/>
        <w:spacing w:after="0" w:line="274"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a high degree of risk. See “</w:t>
      </w:r>
      <w:hyperlink w:anchor="page17">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S-14 of this prospectus supplement.</w:t>
      </w:r>
    </w:p>
    <w:p>
      <w:pPr>
        <w:spacing w:after="0" w:line="146" w:lineRule="exact"/>
        <w:rPr>
          <w:sz w:val="24"/>
          <w:szCs w:val="24"/>
          <w:color w:val="auto"/>
        </w:rPr>
      </w:pPr>
    </w:p>
    <w:tbl>
      <w:tblPr>
        <w:tblLayout w:type="fixed"/>
        <w:tblInd w:w="120" w:type="dxa"/>
        <w:tblCellMar>
          <w:top w:w="0" w:type="dxa"/>
          <w:left w:w="0" w:type="dxa"/>
          <w:bottom w:w="0" w:type="dxa"/>
          <w:right w:w="0" w:type="dxa"/>
        </w:tblCellMar>
      </w:tblPr>
      <w:tr>
        <w:trPr>
          <w:trHeight w:val="225"/>
        </w:trPr>
        <w:tc>
          <w:tcPr>
            <w:tcW w:w="61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6"/>
              </w:rPr>
              <w:t>Per Share</w:t>
            </w:r>
          </w:p>
        </w:tc>
        <w:tc>
          <w:tcPr>
            <w:tcW w:w="460" w:type="dxa"/>
            <w:vAlign w:val="bottom"/>
          </w:tcPr>
          <w:p>
            <w:pPr>
              <w:spacing w:after="0"/>
              <w:rPr>
                <w:sz w:val="19"/>
                <w:szCs w:val="19"/>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27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commissions(1)</w:t>
            </w:r>
          </w:p>
        </w:tc>
        <w:tc>
          <w:tcPr>
            <w:tcW w:w="3540" w:type="dxa"/>
            <w:vAlign w:val="bottom"/>
            <w:gridSpan w:val="2"/>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3540" w:type="dxa"/>
            <w:vAlign w:val="bottom"/>
            <w:gridSpan w:val="2"/>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4"/>
          <w:szCs w:val="24"/>
          <w:color w:val="auto"/>
        </w:rPr>
      </w:pPr>
    </w:p>
    <w:p>
      <w:pPr>
        <w:ind w:left="660" w:hanging="544"/>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additional disclosure regarding underwriting discounts and commissions and estimated expenses.</w:t>
      </w:r>
    </w:p>
    <w:p>
      <w:pPr>
        <w:spacing w:after="0" w:line="171" w:lineRule="exact"/>
        <w:rPr>
          <w:sz w:val="24"/>
          <w:szCs w:val="24"/>
          <w:color w:val="auto"/>
        </w:rPr>
      </w:pPr>
    </w:p>
    <w:p>
      <w:pPr>
        <w:jc w:val="both"/>
        <w:ind w:left="120" w:right="200" w:firstLine="551"/>
        <w:spacing w:after="0" w:line="255" w:lineRule="auto"/>
        <w:rPr>
          <w:sz w:val="20"/>
          <w:szCs w:val="20"/>
          <w:color w:val="auto"/>
        </w:rPr>
      </w:pPr>
      <w:r>
        <w:rPr>
          <w:rFonts w:ascii="Arial" w:cs="Arial" w:eastAsia="Arial" w:hAnsi="Arial"/>
          <w:sz w:val="18"/>
          <w:szCs w:val="18"/>
          <w:color w:val="auto"/>
        </w:rPr>
        <w:t>We have granted the underwriters an option to purchase additional shares of our common stock with an aggregate public offering price of up to $15,000,000 at the public offering price, less the underwriting discounts and commissions, within 30 days from the date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187325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120" w:right="20" w:firstLine="551"/>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660"/>
        <w:spacing w:after="0"/>
        <w:tabs>
          <w:tab w:leader="none" w:pos="8880" w:val="left"/>
        </w:tabs>
        <w:rPr>
          <w:sz w:val="20"/>
          <w:szCs w:val="20"/>
          <w:color w:val="auto"/>
        </w:rPr>
      </w:pPr>
      <w:r>
        <w:rPr>
          <w:rFonts w:ascii="Arial" w:cs="Arial" w:eastAsia="Arial" w:hAnsi="Arial"/>
          <w:sz w:val="18"/>
          <w:szCs w:val="18"/>
          <w:color w:val="auto"/>
        </w:rPr>
        <w:t>The underwriters expect to deliver the shares of common stock against payment on or about January</w:t>
      </w:r>
      <w:r>
        <w:rPr>
          <w:sz w:val="20"/>
          <w:szCs w:val="20"/>
          <w:color w:val="auto"/>
        </w:rPr>
        <w:tab/>
      </w:r>
      <w:r>
        <w:rPr>
          <w:rFonts w:ascii="Arial" w:cs="Arial" w:eastAsia="Arial" w:hAnsi="Arial"/>
          <w:sz w:val="17"/>
          <w:szCs w:val="17"/>
          <w:color w:val="auto"/>
        </w:rPr>
        <w:t>, 2021.</w:t>
      </w:r>
    </w:p>
    <w:p>
      <w:pPr>
        <w:spacing w:after="0" w:line="200" w:lineRule="exact"/>
        <w:rPr>
          <w:sz w:val="24"/>
          <w:szCs w:val="24"/>
          <w:color w:val="auto"/>
        </w:rPr>
      </w:pPr>
    </w:p>
    <w:p>
      <w:pPr>
        <w:ind w:left="120"/>
        <w:spacing w:after="0"/>
        <w:tabs>
          <w:tab w:leader="none" w:pos="6600" w:val="left"/>
          <w:tab w:leader="none" w:pos="966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Cowen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259715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p>
      <w:pPr>
        <w:spacing w:after="0" w:line="200" w:lineRule="exact"/>
        <w:rPr>
          <w:sz w:val="24"/>
          <w:szCs w:val="24"/>
          <w:color w:val="auto"/>
        </w:rPr>
      </w:pPr>
    </w:p>
    <w:p>
      <w:pPr>
        <w:spacing w:after="0" w:line="375" w:lineRule="exact"/>
        <w:rPr>
          <w:sz w:val="24"/>
          <w:szCs w:val="24"/>
          <w:color w:val="auto"/>
        </w:rPr>
      </w:pPr>
    </w:p>
    <w:p>
      <w:pPr>
        <w:jc w:val="center"/>
        <w:ind w:right="-119"/>
        <w:spacing w:after="0"/>
        <w:tabs>
          <w:tab w:leader="none" w:pos="240" w:val="left"/>
        </w:tabs>
        <w:rPr>
          <w:sz w:val="20"/>
          <w:szCs w:val="20"/>
          <w:color w:val="auto"/>
        </w:rPr>
      </w:pPr>
      <w:r>
        <w:rPr>
          <w:rFonts w:ascii="Arial" w:cs="Arial" w:eastAsia="Arial" w:hAnsi="Arial"/>
          <w:sz w:val="18"/>
          <w:szCs w:val="18"/>
          <w:color w:val="auto"/>
        </w:rPr>
        <w:t>Prospectus supplement dated January</w:t>
      </w:r>
      <w:r>
        <w:rPr>
          <w:sz w:val="20"/>
          <w:szCs w:val="20"/>
          <w:color w:val="auto"/>
        </w:rPr>
        <w:tab/>
      </w:r>
      <w:r>
        <w:rPr>
          <w:rFonts w:ascii="Arial" w:cs="Arial" w:eastAsia="Arial" w:hAnsi="Arial"/>
          <w:sz w:val="17"/>
          <w:szCs w:val="17"/>
          <w:color w:val="auto"/>
        </w:rPr>
        <w:t>, 2021</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TABLE OF CONTENTS</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46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Supplement Summary</w:t>
              </w:r>
            </w:hyperlink>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3"/>
        </w:trPr>
        <w:tc>
          <w:tcPr>
            <w:tcW w:w="10460" w:type="dxa"/>
            <w:vAlign w:val="bottom"/>
            <w:vMerge w:val="continue"/>
          </w:tcPr>
          <w:p>
            <w:pPr>
              <w:spacing w:after="0"/>
              <w:rPr>
                <w:sz w:val="15"/>
                <w:szCs w:val="15"/>
                <w:color w:val="auto"/>
              </w:rPr>
            </w:pPr>
          </w:p>
        </w:tc>
        <w:tc>
          <w:tcPr>
            <w:tcW w:w="4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Special Note Regarding Forward-Looking Statements</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S-71</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Use of Proceeds</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S-73</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Dilution</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S-74</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Dividend Policy</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S-76</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Material U.S. Federal Income Tax Consequences to Non-U.S. Holders</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S-77</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Underwriting</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S-81</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Legal Matters</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S-88</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Experts</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S-88</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Where You Can Find More Information</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S-88</w:t>
            </w:r>
          </w:p>
        </w:tc>
        <w:tc>
          <w:tcPr>
            <w:tcW w:w="0" w:type="dxa"/>
            <w:vAlign w:val="bottom"/>
          </w:tcPr>
          <w:p>
            <w:pPr>
              <w:spacing w:after="0"/>
              <w:rPr>
                <w:sz w:val="1"/>
                <w:szCs w:val="1"/>
                <w:color w:val="auto"/>
              </w:rPr>
            </w:pPr>
          </w:p>
        </w:tc>
      </w:tr>
      <w:tr>
        <w:trPr>
          <w:trHeight w:val="243"/>
        </w:trPr>
        <w:tc>
          <w:tcPr>
            <w:tcW w:w="1046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Incorporation of Certain Information by Reference</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S-89</w:t>
            </w:r>
          </w:p>
        </w:tc>
        <w:tc>
          <w:tcPr>
            <w:tcW w:w="0" w:type="dxa"/>
            <w:vAlign w:val="bottom"/>
          </w:tcPr>
          <w:p>
            <w:pPr>
              <w:spacing w:after="0"/>
              <w:rPr>
                <w:sz w:val="1"/>
                <w:szCs w:val="1"/>
                <w:color w:val="auto"/>
              </w:rPr>
            </w:pPr>
          </w:p>
        </w:tc>
      </w:tr>
      <w:tr>
        <w:trPr>
          <w:trHeight w:val="419"/>
        </w:trPr>
        <w:tc>
          <w:tcPr>
            <w:tcW w:w="10460" w:type="dxa"/>
            <w:vAlign w:val="bottom"/>
          </w:tcPr>
          <w:p>
            <w:pPr>
              <w:ind w:left="4880"/>
              <w:spacing w:after="0"/>
              <w:rPr>
                <w:sz w:val="20"/>
                <w:szCs w:val="20"/>
                <w:color w:val="auto"/>
              </w:rPr>
            </w:pPr>
            <w:r>
              <w:rPr>
                <w:rFonts w:ascii="Arial" w:cs="Arial" w:eastAsia="Arial" w:hAnsi="Arial"/>
                <w:sz w:val="18"/>
                <w:szCs w:val="18"/>
                <w:color w:val="auto"/>
              </w:rPr>
              <w:t>PROSPECTUS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46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Prospectus Summary</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Risk Factors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Special Note Regarding Forward-Looking Statements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Use of Proceeds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Description of Capital Stock</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Description of Debt Securities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Description of Warrants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10460" w:type="dxa"/>
            <w:vAlign w:val="bottom"/>
          </w:tcPr>
          <w:p>
            <w:pPr>
              <w:spacing w:after="0" w:line="202" w:lineRule="exact"/>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Legal Ownership of Securities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Plan of Distribution</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Legal Matters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Experts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Where You Can Find Additional Information</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10460" w:type="dxa"/>
            <w:vAlign w:val="bottom"/>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Incorporation of Certain Information by Reference</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b w:val="1"/>
          <w:bCs w:val="1"/>
          <w:color w:val="auto"/>
        </w:rPr>
        <w:t>We have not, and the underwriters have not, authorized anyone to provide you with any information or to make any representation, other than those contained or incorporated by reference in this prospectus supplement and the accompanying prospectus, which together we sometimes refer to generally as the prospectus, or in any free writing prospectus prepared by us or on our behalf or to which we have referred you. Neither we nor any of the underwriters take any responsibility for, and provide no assurance as to the reliability of, any other information that others may give you. This prospectus supplement and the accompanying prospectus are an offer to sell only the shares of our common stock offered hereby, but only in circumstances and in jurisdictions where it is lawful to so do. The information contained or incorporated by reference in this prospectus supplement and the accompanying prospectus is accurate only as of its date, regardless of the time of delivery of this prospectus supplement and the accompanying prospectus or of any sale of our common stock.</w:t>
      </w:r>
    </w:p>
    <w:p>
      <w:pPr>
        <w:spacing w:after="0" w:line="168"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b w:val="1"/>
          <w:bCs w:val="1"/>
          <w:color w:val="auto"/>
        </w:rPr>
        <w:t>For investors outside the United States: neither we nor any of the underwriters have done anything that would permit this offering or the possession or distribution of this prospectus supplement, the accompanying prospectus or any free writing prospectus that we have authorized for use in connection with this offering in any jurisdiction where action for that purpose is required, other than in the United States. Persons outside the United States who come into possession of this prospectus supplement, the accompanying prospectus and any free writing prospectus that we have authorized for use in connection with this offering must inform themselves about, and observe any restrictions relating to, this offering and the distribution of this prospectus supplement, the accompanying prospectus and any free writing prospectus that we have authorized for use in connection with this offering outside the United States.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This document consists of two parts. The first part is this prospectus supplement, which describes the terms of this offering of our common stock and also adds to and updates information contained in the accompanying prospectus and the documents incorporated by reference in this prospectus supplement. The second part is the accompanying prospectus dated June 16, 2020, which includes the documents incorporated by reference therein and provides more general information. To the extent the information contained in this prospectus supplement differs or varies from the information contained in the accompanying prospectus or the documents incorporated by reference herein or therein, you should rely on the information in this prospectus supplement. Generally, when we refer to the prospectus, we are referring to this prospectus supplement and the accompanying prospectus combined. You should read both this prospectus supplement and the accompanying prospectus, together with the documents incorporated by reference herein and therein and any additional information described under the heading “Where You Can Find More Information.”</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41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300" w:firstLine="532"/>
        <w:spacing w:after="0" w:line="241" w:lineRule="auto"/>
        <w:rPr>
          <w:rFonts w:ascii="Arial" w:cs="Arial" w:eastAsia="Arial" w:hAnsi="Arial"/>
          <w:sz w:val="18"/>
          <w:szCs w:val="18"/>
          <w:i w:val="1"/>
          <w:iCs w:val="1"/>
          <w:color w:val="auto"/>
        </w:rPr>
      </w:pPr>
      <w:r>
        <w:rPr>
          <w:rFonts w:ascii="Arial" w:cs="Arial" w:eastAsia="Arial" w:hAnsi="Arial"/>
          <w:sz w:val="18"/>
          <w:szCs w:val="18"/>
          <w:i w:val="1"/>
          <w:iCs w:val="1"/>
          <w:color w:val="auto"/>
        </w:rPr>
        <w:t>This summary highlights selected information appearing elsewhere or incorporated by reference in this prospectus supplement and the accompanying prospectus and does not contain all of the information that you need to consider in making your investment decision. This prospectus supplement and the accompanying prospectus include information about the shares of common stock that we are offering as well as information regarding our business. You should read this prospectus supplement and the accompanying prospectus, including the information incorporated by reference and any free writing prospectus that we have authorized for use in connection with this offering, in their entirety. You should also carefully consider the information set forth under “</w:t>
      </w:r>
      <w:hyperlink w:anchor="page17">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S-14 of this prospectus supplement before making your investment decision.</w:t>
      </w:r>
    </w:p>
    <w:p>
      <w:pPr>
        <w:spacing w:after="0" w:line="28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300" w:right="260" w:firstLine="532"/>
        <w:spacing w:after="0" w:line="245" w:lineRule="auto"/>
        <w:rPr>
          <w:sz w:val="20"/>
          <w:szCs w:val="20"/>
          <w:color w:val="auto"/>
        </w:rPr>
      </w:pPr>
      <w:r>
        <w:rPr>
          <w:rFonts w:ascii="Arial" w:cs="Arial" w:eastAsia="Arial" w:hAnsi="Arial"/>
          <w:sz w:val="18"/>
          <w:szCs w:val="18"/>
          <w:color w:val="auto"/>
        </w:rPr>
        <w:t>We are a biopharmaceutical company focused on discovering and developing novel therapeutics based on scientific understanding of key biological pathways underlying liver and metabolic diseases, retinal diseases and cancer. These diseases represent a significant burden for healthcare systems and, in some cases, are leading causes of morbidity and mortality. Since the commencement of our operations in 2008, we have generated a robust portfolio of product candidates. Our six most advanced product candidates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0" w:right="160"/>
        <w:spacing w:after="0" w:line="264" w:lineRule="auto"/>
        <w:rPr>
          <w:sz w:val="20"/>
          <w:szCs w:val="20"/>
          <w:color w:val="auto"/>
        </w:rPr>
      </w:pPr>
      <w:r>
        <w:rPr>
          <w:rFonts w:ascii="Arial" w:cs="Arial" w:eastAsia="Arial" w:hAnsi="Arial"/>
          <w:sz w:val="14"/>
          <w:szCs w:val="14"/>
          <w:i w:val="1"/>
          <w:iCs w:val="1"/>
          <w:color w:val="auto"/>
        </w:rPr>
        <w:t>NASH = non-alcoholic steatohepatitis; FGF = fibroblast growth factor; GDF = growth differentiation factor; KLB = beta-klotho; C3 = Component 3; GFRAL = glial cell-derived neurotrophic factor receptor alpha-like; CACS = Cancer Anorexia/Cachexia Syndrome; ILT2 = Immunoglobulin-like transcript 2; ILT4 = Immunoglobulin-like transcript 4; LAIR1 = Leukocyte-associated immunoglobulin-like receptor 1</w:t>
      </w:r>
    </w:p>
    <w:p>
      <w:pPr>
        <w:spacing w:after="0" w:line="159" w:lineRule="exact"/>
        <w:rPr>
          <w:sz w:val="20"/>
          <w:szCs w:val="20"/>
          <w:color w:val="auto"/>
        </w:rPr>
      </w:pPr>
    </w:p>
    <w:p>
      <w:pPr>
        <w:ind w:left="300" w:right="400" w:firstLine="532"/>
        <w:spacing w:after="0" w:line="268" w:lineRule="auto"/>
        <w:rPr>
          <w:sz w:val="20"/>
          <w:szCs w:val="20"/>
          <w:color w:val="auto"/>
        </w:rPr>
      </w:pPr>
      <w:r>
        <w:rPr>
          <w:rFonts w:ascii="Arial" w:cs="Arial" w:eastAsia="Arial" w:hAnsi="Arial"/>
          <w:sz w:val="17"/>
          <w:szCs w:val="17"/>
          <w:color w:val="auto"/>
        </w:rPr>
        <w:t>In 2015, we entered into a research collaboration, product development and license agreement, or the Collaboration Agreement, with Merck Sharp &amp; Dohme Corp., or Merck, that allows us to develop multiple product candidates in parallel without bearing substantially greater costs or incurring significantly greater risk compared to developing product candidates, such as aldafermin (formerly NGM282), an engineered version of the human hormone fibroblast growth factor 19, or FGF19, on our</w:t>
      </w:r>
    </w:p>
    <w:p>
      <w:pPr>
        <w:spacing w:after="0" w:line="200" w:lineRule="exact"/>
        <w:rPr>
          <w:sz w:val="20"/>
          <w:szCs w:val="20"/>
          <w:color w:val="auto"/>
        </w:rPr>
      </w:pPr>
    </w:p>
    <w:p>
      <w:pPr>
        <w:spacing w:after="0" w:line="38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5" w:right="6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73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160"/>
        <w:spacing w:after="0" w:line="245" w:lineRule="auto"/>
        <w:rPr>
          <w:sz w:val="20"/>
          <w:szCs w:val="20"/>
          <w:color w:val="auto"/>
        </w:rPr>
      </w:pPr>
      <w:r>
        <w:rPr>
          <w:rFonts w:ascii="Arial" w:cs="Arial" w:eastAsia="Arial" w:hAnsi="Arial"/>
          <w:sz w:val="18"/>
          <w:szCs w:val="18"/>
          <w:color w:val="auto"/>
        </w:rPr>
        <w:t>own. In March 2019, Merck exercised its option to extend the research phase of the collaboration through March 16, 2022 and has the unilateral right to extend it again through March 16, 2024. As part of the extension through March 16, 2022, Merck agreed to continue to fund our research and development efforts up to $75.0 million each year consistent with the initial five-year term and, in lieu of a $20.0 million extension fee payable to us, Merck agreed to make additional payments totaling up to $20.0 million in support of our research and development activities across 2021 and the first quarter of 2022.</w:t>
      </w:r>
    </w:p>
    <w:p>
      <w:pPr>
        <w:spacing w:after="0" w:line="172" w:lineRule="exact"/>
        <w:rPr>
          <w:sz w:val="20"/>
          <w:szCs w:val="20"/>
          <w:color w:val="auto"/>
        </w:rPr>
      </w:pPr>
    </w:p>
    <w:p>
      <w:pPr>
        <w:ind w:left="300" w:right="80" w:firstLine="532"/>
        <w:spacing w:after="0" w:line="239" w:lineRule="auto"/>
        <w:rPr>
          <w:sz w:val="20"/>
          <w:szCs w:val="20"/>
          <w:color w:val="auto"/>
        </w:rPr>
      </w:pPr>
      <w:r>
        <w:rPr>
          <w:rFonts w:ascii="Arial" w:cs="Arial" w:eastAsia="Arial" w:hAnsi="Arial"/>
          <w:sz w:val="18"/>
          <w:szCs w:val="18"/>
          <w:color w:val="auto"/>
        </w:rPr>
        <w:t>Merck generally has a one-time right to exercise its option to an exclusive, worldwide license when a program completes a human proof-of-concept trial. In November 2018, Merck exercised its option to license MK-3655 (formerly NGM313), an agonistic antibody selectively activating fibroblast growth factor receptor 1c/beta-klotho, or FGFR1c/KLB, which is a potential treatment for non-alcoholic steatohepatitis, or NASH. The collaboration enables us to develop more product candidates for major indications than we could likely advance on our own. We retain an option, when a product candidate has advanced to Phase 3 clinical trials, to participate in up to 50% of the economic return from that product candidate if it becomes an approved medicine by agreeing to share up to 50% of the costs of development. If we do not elect this option, we will instead receive milestone and royalty payments and we will not be required to share in development costs. Overall, the Merck collaboration provides us with robust research and development support, while allowing us to retain our research independence and the option to split costs and profits on individual product candidates Merck elects to advance.</w:t>
      </w:r>
    </w:p>
    <w:p>
      <w:pPr>
        <w:spacing w:after="0" w:line="180"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color w:val="auto"/>
        </w:rPr>
        <w:t>In 2020, we suspended development activities related to multiple product candidates for portfolio management considerations in order to concentrate our resources on aldafermin and certain other product candidates subject to our Merck collaboration. Most recently, in December 2020, based on the overall clinical experience with both NGM386 (a once-daily growth differentiating factor 15, or GDF15, agonist product candidate we suspended development of earlier in 2020) and NGM395 (a long-acting GDF15 agonist product candidate), we decided to suspend development of the NGM395 program after we have completed the ongoing Phase 1 clinical trial evaluating safety, tolerability and pharmacokinetics, or PK, in obese but otherwise healthy adults. We remain interested in the potential applications of a GDF15 agonist, but we believe antagonizing the GDF15 receptor, glial-cell derived neurotropin factor receptor alpha-like, or GFRAL, with NGM120, one of our product candidates described below, in patients with cancer has a stronger near-term rationale for development.</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All of our product candidates other than aldafermin, NGM395 and NGM386 are subject to our Merck collaboration.</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Aldafermin in NASH</w:t>
      </w:r>
    </w:p>
    <w:p>
      <w:pPr>
        <w:spacing w:after="0" w:line="104"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Aldafermin, an engineered version of the human hormone FGF19 that is administered through a once-daily subcutaneous injection, has demonstrated the ability to rapidly improve NASH and reverse liver fibrosis in clinical and preclinical studies. We believe the combination of breadth, magnitude and speed of effect demonstrated by aldafermin in these studies results in an agent that, if ultimately approved, could provide a needed medicine for physicians to treat NASH patients with moderate to advanced fibrosis. Aldafermin is currently being tested in the ongoing Phase 2b ALPINE 2/3 trial in patients with NASH with stage 2 and 3, or F2-F3, liver fibrosis, which completed enrollment in September 2020, and in the ongoing ALPINE 4 trial in patients with NASH with stage 4, or F4, liver fibrosis and well-compensated cirrhosis, which commenced enrollment in February 2020. We expect to report topline data from the ALPINE 2/3 trial in the second quarter of 2021. Aldafermin was excluded from the Merck collaboration at the inception of the collaboration and remains wholly-owned by 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5" w:right="6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42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60" w:firstLine="532"/>
        <w:spacing w:after="0" w:line="248" w:lineRule="auto"/>
        <w:rPr>
          <w:sz w:val="20"/>
          <w:szCs w:val="20"/>
          <w:color w:val="auto"/>
        </w:rPr>
      </w:pPr>
      <w:r>
        <w:rPr>
          <w:rFonts w:ascii="Arial" w:cs="Arial" w:eastAsia="Arial" w:hAnsi="Arial"/>
          <w:sz w:val="18"/>
          <w:szCs w:val="18"/>
          <w:color w:val="auto"/>
        </w:rPr>
        <w:t>In August 2020, we announced final data from our completed double-blind, randomized, placebo-controlled Phase 2 clinical study (Cohort 4) of aldafermin, which enrolled patients with biopsy-confirmed NASH with F2-F3 liver fibrosis, including a new analysis of Cohort 4 data from NASH patients with F3 liver fibrosis. Cohort 4 was the final reported cohort from our adaptive Phase 2 clinical study of aldafermin in NASH.</w:t>
      </w:r>
    </w:p>
    <w:p>
      <w:pPr>
        <w:spacing w:after="0" w:line="170" w:lineRule="exact"/>
        <w:rPr>
          <w:sz w:val="20"/>
          <w:szCs w:val="20"/>
          <w:color w:val="auto"/>
        </w:rPr>
      </w:pPr>
    </w:p>
    <w:p>
      <w:pPr>
        <w:ind w:left="300" w:right="40" w:firstLine="532"/>
        <w:spacing w:after="0" w:line="242" w:lineRule="auto"/>
        <w:rPr>
          <w:sz w:val="20"/>
          <w:szCs w:val="20"/>
          <w:color w:val="auto"/>
        </w:rPr>
      </w:pPr>
      <w:r>
        <w:rPr>
          <w:rFonts w:ascii="Arial" w:cs="Arial" w:eastAsia="Arial" w:hAnsi="Arial"/>
          <w:sz w:val="18"/>
          <w:szCs w:val="18"/>
          <w:color w:val="auto"/>
        </w:rPr>
        <w:t xml:space="preserve">Cohort 4 was statistically powered to demonstrate the effect of 1 mg aldafermin treatment versus placebo on the primary endpoint of change in absolute liver fat content, or LFC, which achieved statistical significance. In addition, the study assessed secondary and exploratory endpoints of liver histology and biomarkers of disease activity. The histology results revealed that treatment with aldafermin led to clinically meaningful improvements at 24 weeks versus placebo in fibrosis improvement of </w:t>
      </w:r>
      <w:r>
        <w:rPr>
          <w:rFonts w:ascii="Times New Roman" w:cs="Times New Roman" w:eastAsia="Times New Roman" w:hAnsi="Times New Roman"/>
          <w:sz w:val="18"/>
          <w:szCs w:val="18"/>
          <w:color w:val="auto"/>
        </w:rPr>
        <w:t>³</w:t>
      </w:r>
      <w:r>
        <w:rPr>
          <w:rFonts w:ascii="Arial" w:cs="Arial" w:eastAsia="Arial" w:hAnsi="Arial"/>
          <w:sz w:val="18"/>
          <w:szCs w:val="18"/>
          <w:color w:val="auto"/>
        </w:rPr>
        <w:t>1 stage with no worsening of NASH (38% of aldafermin-treated patients vs. 18% placebo) and in resolution of NASH with no worsening of liver fibrosis (24% of aldafermin-treated patients vs. 9% placebo). The study also demonstrated a statistically significant impact on the combined endpoint of both fibrosis improvement and resolution of NASH (22% in aldafermin-treated patients vs. 0% placebo), which the FDA has indicated in draft industry guidance may be an acceptable development pathway.</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Summary of Cohort 4 Histology Data</w:t>
      </w:r>
      <w:r>
        <w:rPr>
          <w:rFonts w:ascii="Arial" w:cs="Arial" w:eastAsia="Arial" w:hAnsi="Arial"/>
          <w:sz w:val="24"/>
          <w:szCs w:val="24"/>
          <w:b w:val="1"/>
          <w:bCs w:val="1"/>
          <w:color w:val="auto"/>
          <w:vertAlign w:val="superscript"/>
        </w:rPr>
        <w:t>1</w:t>
      </w:r>
    </w:p>
    <w:tbl>
      <w:tblPr>
        <w:tblLayout w:type="fixed"/>
        <w:tblInd w:w="300" w:type="dxa"/>
        <w:tblCellMar>
          <w:top w:w="0" w:type="dxa"/>
          <w:left w:w="0" w:type="dxa"/>
          <w:bottom w:w="0" w:type="dxa"/>
          <w:right w:w="0" w:type="dxa"/>
        </w:tblCellMar>
      </w:tblPr>
      <w:tr>
        <w:trPr>
          <w:trHeight w:val="140"/>
        </w:trPr>
        <w:tc>
          <w:tcPr>
            <w:tcW w:w="7100" w:type="dxa"/>
            <w:vAlign w:val="bottom"/>
            <w:tcBorders>
              <w:top w:val="single" w:sz="8" w:color="auto"/>
            </w:tcBorders>
            <w:vMerge w:val="restart"/>
          </w:tcPr>
          <w:p>
            <w:pPr>
              <w:ind w:left="2060"/>
              <w:spacing w:after="0"/>
              <w:rPr>
                <w:sz w:val="20"/>
                <w:szCs w:val="20"/>
                <w:color w:val="auto"/>
              </w:rPr>
            </w:pPr>
            <w:r>
              <w:rPr>
                <w:rFonts w:ascii="Arial" w:cs="Arial" w:eastAsia="Arial" w:hAnsi="Arial"/>
                <w:sz w:val="14"/>
                <w:szCs w:val="14"/>
                <w:b w:val="1"/>
                <w:bCs w:val="1"/>
                <w:color w:val="auto"/>
              </w:rPr>
              <w:t>Proportion of Patients Achieving Endpoints</w:t>
            </w:r>
          </w:p>
        </w:tc>
        <w:tc>
          <w:tcPr>
            <w:tcW w:w="740" w:type="dxa"/>
            <w:vAlign w:val="bottom"/>
            <w:tcBorders>
              <w:top w:val="single" w:sz="8" w:color="auto"/>
            </w:tcBorders>
            <w:vMerge w:val="restart"/>
          </w:tcPr>
          <w:p>
            <w:pPr>
              <w:spacing w:after="0"/>
              <w:rPr>
                <w:sz w:val="12"/>
                <w:szCs w:val="12"/>
                <w:color w:val="auto"/>
              </w:rPr>
            </w:pPr>
          </w:p>
        </w:tc>
        <w:tc>
          <w:tcPr>
            <w:tcW w:w="204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4"/>
                <w:szCs w:val="14"/>
                <w:b w:val="1"/>
                <w:bCs w:val="1"/>
                <w:color w:val="auto"/>
              </w:rPr>
              <w:t>Aldafermin 1</w:t>
            </w:r>
          </w:p>
        </w:tc>
        <w:tc>
          <w:tcPr>
            <w:tcW w:w="760" w:type="dxa"/>
            <w:vAlign w:val="bottom"/>
            <w:tcBorders>
              <w:top w:val="single" w:sz="8" w:color="auto"/>
            </w:tcBorders>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Placebo</w:t>
            </w:r>
          </w:p>
        </w:tc>
        <w:tc>
          <w:tcPr>
            <w:tcW w:w="0" w:type="dxa"/>
            <w:vAlign w:val="bottom"/>
          </w:tcPr>
          <w:p>
            <w:pPr>
              <w:spacing w:after="0"/>
              <w:rPr>
                <w:sz w:val="1"/>
                <w:szCs w:val="1"/>
                <w:color w:val="auto"/>
              </w:rPr>
            </w:pPr>
          </w:p>
        </w:tc>
      </w:tr>
      <w:tr>
        <w:trPr>
          <w:trHeight w:val="177"/>
        </w:trPr>
        <w:tc>
          <w:tcPr>
            <w:tcW w:w="7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mg (n=50)</w:t>
            </w:r>
          </w:p>
        </w:tc>
        <w:tc>
          <w:tcPr>
            <w:tcW w:w="11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(n=22)</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Fibrosis improvement (&gt;1 stage) with no worsening of NASH</w:t>
            </w:r>
            <w:r>
              <w:rPr>
                <w:rFonts w:ascii="Arial" w:cs="Arial" w:eastAsia="Arial" w:hAnsi="Arial"/>
                <w:sz w:val="15"/>
                <w:szCs w:val="15"/>
                <w:color w:val="auto"/>
              </w:rPr>
              <w:t>2</w:t>
            </w:r>
          </w:p>
        </w:tc>
        <w:tc>
          <w:tcPr>
            <w:tcW w:w="74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ind w:left="680"/>
              <w:spacing w:after="0" w:line="196" w:lineRule="exact"/>
              <w:rPr>
                <w:sz w:val="20"/>
                <w:szCs w:val="20"/>
                <w:color w:val="auto"/>
              </w:rPr>
            </w:pPr>
            <w:r>
              <w:rPr>
                <w:rFonts w:ascii="Arial" w:cs="Arial" w:eastAsia="Arial" w:hAnsi="Arial"/>
                <w:sz w:val="18"/>
                <w:szCs w:val="18"/>
                <w:color w:val="auto"/>
              </w:rPr>
              <w:t>38%</w:t>
            </w:r>
          </w:p>
        </w:tc>
        <w:tc>
          <w:tcPr>
            <w:tcW w:w="7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Resolution of NASH with no worsening of liver fibrosis</w:t>
            </w:r>
            <w:r>
              <w:rPr>
                <w:rFonts w:ascii="Arial" w:cs="Arial" w:eastAsia="Arial" w:hAnsi="Arial"/>
                <w:sz w:val="15"/>
                <w:szCs w:val="15"/>
                <w:color w:val="auto"/>
              </w:rPr>
              <w:t>3</w:t>
            </w:r>
          </w:p>
        </w:tc>
        <w:tc>
          <w:tcPr>
            <w:tcW w:w="204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24%</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Fibrosis Improvement and resolution of NASH</w:t>
            </w:r>
            <w:r>
              <w:rPr>
                <w:rFonts w:ascii="Arial" w:cs="Arial" w:eastAsia="Arial" w:hAnsi="Arial"/>
                <w:sz w:val="15"/>
                <w:szCs w:val="15"/>
                <w:color w:val="auto"/>
              </w:rPr>
              <w:t>4</w:t>
            </w:r>
          </w:p>
        </w:tc>
        <w:tc>
          <w:tcPr>
            <w:tcW w:w="204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22%*</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840" w:type="dxa"/>
            <w:vAlign w:val="bottom"/>
            <w:gridSpan w:val="2"/>
          </w:tcPr>
          <w:p>
            <w:pPr>
              <w:spacing w:after="0"/>
              <w:rPr>
                <w:sz w:val="20"/>
                <w:szCs w:val="20"/>
                <w:color w:val="auto"/>
              </w:rPr>
            </w:pPr>
            <w:r>
              <w:rPr>
                <w:rFonts w:ascii="Arial" w:cs="Arial" w:eastAsia="Arial" w:hAnsi="Arial"/>
                <w:sz w:val="18"/>
                <w:szCs w:val="18"/>
                <w:color w:val="auto"/>
              </w:rPr>
              <w:t>NAS reduction of &gt;2 points with no worsening of liver fibrosis</w:t>
            </w:r>
          </w:p>
        </w:tc>
        <w:tc>
          <w:tcPr>
            <w:tcW w:w="2040" w:type="dxa"/>
            <w:vAlign w:val="bottom"/>
            <w:gridSpan w:val="2"/>
          </w:tcPr>
          <w:p>
            <w:pPr>
              <w:ind w:left="680"/>
              <w:spacing w:after="0"/>
              <w:rPr>
                <w:sz w:val="20"/>
                <w:szCs w:val="20"/>
                <w:color w:val="auto"/>
              </w:rPr>
            </w:pPr>
            <w:r>
              <w:rPr>
                <w:rFonts w:ascii="Arial" w:cs="Arial" w:eastAsia="Arial" w:hAnsi="Arial"/>
                <w:sz w:val="18"/>
                <w:szCs w:val="18"/>
                <w:color w:val="auto"/>
              </w:rPr>
              <w:t>62%***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*p=0.015; ***p&lt;0.001</w:t>
      </w:r>
    </w:p>
    <w:p>
      <w:pPr>
        <w:ind w:left="720" w:hanging="422"/>
        <w:spacing w:after="0" w:line="188" w:lineRule="auto"/>
        <w:tabs>
          <w:tab w:leader="none" w:pos="720" w:val="left"/>
        </w:tabs>
        <w:numPr>
          <w:ilvl w:val="0"/>
          <w:numId w:val="2"/>
        </w:numPr>
        <w:rPr>
          <w:rFonts w:ascii="Arial" w:cs="Arial" w:eastAsia="Arial" w:hAnsi="Arial"/>
          <w:sz w:val="20"/>
          <w:szCs w:val="20"/>
          <w:color w:val="auto"/>
          <w:vertAlign w:val="superscript"/>
        </w:rPr>
      </w:pPr>
      <w:r>
        <w:rPr>
          <w:rFonts w:ascii="Arial" w:cs="Arial" w:eastAsia="Arial" w:hAnsi="Arial"/>
          <w:sz w:val="12"/>
          <w:szCs w:val="12"/>
          <w:color w:val="auto"/>
        </w:rPr>
        <w:t>Per protocol, analyzed using the “liver histologic population,” defined as the subset of enrolled patients who had valid, non-missing biopsy data at both baseline</w:t>
      </w:r>
    </w:p>
    <w:p>
      <w:pPr>
        <w:ind w:left="720"/>
        <w:spacing w:after="0" w:line="231" w:lineRule="auto"/>
        <w:rPr>
          <w:sz w:val="20"/>
          <w:szCs w:val="20"/>
          <w:color w:val="auto"/>
        </w:rPr>
      </w:pPr>
      <w:r>
        <w:rPr>
          <w:rFonts w:ascii="Arial" w:cs="Arial" w:eastAsia="Arial" w:hAnsi="Arial"/>
          <w:sz w:val="14"/>
          <w:szCs w:val="14"/>
          <w:color w:val="auto"/>
        </w:rPr>
        <w:t>and week 24 (n=72).</w:t>
      </w:r>
    </w:p>
    <w:p>
      <w:pPr>
        <w:ind w:left="720" w:right="100" w:hanging="422"/>
        <w:spacing w:after="0" w:line="182" w:lineRule="auto"/>
        <w:tabs>
          <w:tab w:leader="none" w:pos="720"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 xml:space="preserve">Defined as patients having an improvement in liver fibrosis </w:t>
      </w:r>
      <w:r>
        <w:rPr>
          <w:rFonts w:ascii="Times New Roman" w:cs="Times New Roman" w:eastAsia="Times New Roman" w:hAnsi="Times New Roman"/>
          <w:sz w:val="14"/>
          <w:szCs w:val="14"/>
          <w:color w:val="auto"/>
        </w:rPr>
        <w:t>³</w:t>
      </w:r>
      <w:r>
        <w:rPr>
          <w:rFonts w:ascii="Arial" w:cs="Arial" w:eastAsia="Arial" w:hAnsi="Arial"/>
          <w:sz w:val="14"/>
          <w:szCs w:val="14"/>
          <w:color w:val="auto"/>
        </w:rPr>
        <w:t>1 stage and having no worsening of hepatocellular ballooning, no worsening of lobular inflammation and no worsening of steatosis from baseline to week 24.</w:t>
      </w:r>
    </w:p>
    <w:p>
      <w:pPr>
        <w:spacing w:after="0" w:line="1" w:lineRule="exact"/>
        <w:rPr>
          <w:sz w:val="20"/>
          <w:szCs w:val="20"/>
          <w:color w:val="auto"/>
        </w:rPr>
      </w:pPr>
    </w:p>
    <w:p>
      <w:pPr>
        <w:ind w:left="720" w:right="40" w:hanging="422"/>
        <w:spacing w:after="0" w:line="182" w:lineRule="auto"/>
        <w:tabs>
          <w:tab w:leader="none" w:pos="72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Defined as patients having a non-alcoholic fatty liver disease activity score, or NAS, of 0 or 1 for lobular inflammation and 0 for hepatocellular ballooning, with no worsening of fibrosis (no progression of NASH fibrosis stage) from baseline to week 24 (as defined by Clinical Research Network criteria).</w:t>
      </w:r>
    </w:p>
    <w:p>
      <w:pPr>
        <w:spacing w:after="0" w:line="1" w:lineRule="exact"/>
        <w:rPr>
          <w:sz w:val="20"/>
          <w:szCs w:val="20"/>
          <w:color w:val="auto"/>
        </w:rPr>
      </w:pPr>
    </w:p>
    <w:p>
      <w:pPr>
        <w:ind w:left="720" w:right="240" w:hanging="422"/>
        <w:spacing w:after="0" w:line="189" w:lineRule="auto"/>
        <w:tabs>
          <w:tab w:leader="none" w:pos="72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 xml:space="preserve">Defined as patients having an improvement in liver fibrosis </w:t>
      </w:r>
      <w:r>
        <w:rPr>
          <w:rFonts w:ascii="Times New Roman" w:cs="Times New Roman" w:eastAsia="Times New Roman" w:hAnsi="Times New Roman"/>
          <w:sz w:val="14"/>
          <w:szCs w:val="14"/>
          <w:color w:val="auto"/>
        </w:rPr>
        <w:t>³</w:t>
      </w:r>
      <w:r>
        <w:rPr>
          <w:rFonts w:ascii="Arial" w:cs="Arial" w:eastAsia="Arial" w:hAnsi="Arial"/>
          <w:sz w:val="14"/>
          <w:szCs w:val="14"/>
          <w:color w:val="auto"/>
        </w:rPr>
        <w:t>1 stage and having a NAS of 0 or 1 for lobular inflammation and 0 for hepatocellular ballooning at week 24.</w:t>
      </w:r>
    </w:p>
    <w:p>
      <w:pPr>
        <w:spacing w:after="0" w:line="176" w:lineRule="exact"/>
        <w:rPr>
          <w:sz w:val="20"/>
          <w:szCs w:val="20"/>
          <w:color w:val="auto"/>
        </w:rPr>
      </w:pPr>
    </w:p>
    <w:p>
      <w:pPr>
        <w:ind w:left="300" w:right="80" w:firstLine="532"/>
        <w:spacing w:after="0" w:line="248" w:lineRule="auto"/>
        <w:rPr>
          <w:sz w:val="20"/>
          <w:szCs w:val="20"/>
          <w:color w:val="auto"/>
        </w:rPr>
      </w:pPr>
      <w:r>
        <w:rPr>
          <w:rFonts w:ascii="Arial" w:cs="Arial" w:eastAsia="Arial" w:hAnsi="Arial"/>
          <w:sz w:val="18"/>
          <w:szCs w:val="18"/>
          <w:color w:val="auto"/>
        </w:rPr>
        <w:t xml:space="preserve">Efficacy data from a secondary analysis of patients with advanced liver fibrosis enrolled in Cohort 4 was also provided. In this patient population, 30% of patients with F3 liver fibrosis treated with 1 mg aldafermin achieved fibrosis improvement </w:t>
      </w:r>
      <w:r>
        <w:rPr>
          <w:rFonts w:ascii="Arial" w:cs="Arial" w:eastAsia="Arial" w:hAnsi="Arial"/>
          <w:sz w:val="18"/>
          <w:szCs w:val="18"/>
          <w:u w:val="single" w:color="auto"/>
          <w:color w:val="auto"/>
        </w:rPr>
        <w:t>&gt;</w:t>
      </w:r>
      <w:r>
        <w:rPr>
          <w:rFonts w:ascii="Arial" w:cs="Arial" w:eastAsia="Arial" w:hAnsi="Arial"/>
          <w:sz w:val="18"/>
          <w:szCs w:val="18"/>
          <w:color w:val="auto"/>
        </w:rPr>
        <w:t xml:space="preserve">1 stage without worsening of NASH compared to 0% in the placebo arm. A responder analysis conducted in patients with F3 liver fibrosis who achieved </w:t>
      </w:r>
      <w:r>
        <w:rPr>
          <w:rFonts w:ascii="Times New Roman" w:cs="Times New Roman" w:eastAsia="Times New Roman" w:hAnsi="Times New Roman"/>
          <w:sz w:val="18"/>
          <w:szCs w:val="18"/>
          <w:color w:val="auto"/>
        </w:rPr>
        <w:t>³</w:t>
      </w:r>
      <w:r>
        <w:rPr>
          <w:rFonts w:ascii="Arial" w:cs="Arial" w:eastAsia="Arial" w:hAnsi="Arial"/>
          <w:sz w:val="18"/>
          <w:szCs w:val="18"/>
          <w:color w:val="auto"/>
        </w:rPr>
        <w:t xml:space="preserve">30% LFC reductions showed that 46% of patients treated with 1 mg aldafermin had fibrosis improvement of </w:t>
      </w:r>
      <w:r>
        <w:rPr>
          <w:rFonts w:ascii="Times New Roman" w:cs="Times New Roman" w:eastAsia="Times New Roman" w:hAnsi="Times New Roman"/>
          <w:sz w:val="18"/>
          <w:szCs w:val="18"/>
          <w:color w:val="auto"/>
        </w:rPr>
        <w:t>³</w:t>
      </w:r>
      <w:r>
        <w:rPr>
          <w:rFonts w:ascii="Arial" w:cs="Arial" w:eastAsia="Arial" w:hAnsi="Arial"/>
          <w:sz w:val="18"/>
          <w:szCs w:val="18"/>
          <w:color w:val="auto"/>
        </w:rPr>
        <w:t>1 stage without worsening of NASH compared to 0% of placebo patients.</w:t>
      </w:r>
    </w:p>
    <w:p>
      <w:pPr>
        <w:spacing w:after="0" w:line="172" w:lineRule="exact"/>
        <w:rPr>
          <w:sz w:val="20"/>
          <w:szCs w:val="20"/>
          <w:color w:val="auto"/>
        </w:rPr>
      </w:pPr>
    </w:p>
    <w:p>
      <w:pPr>
        <w:ind w:left="300" w:right="100" w:firstLine="532"/>
        <w:spacing w:after="0" w:line="241" w:lineRule="auto"/>
        <w:rPr>
          <w:sz w:val="20"/>
          <w:szCs w:val="20"/>
          <w:color w:val="auto"/>
        </w:rPr>
      </w:pPr>
      <w:r>
        <w:rPr>
          <w:rFonts w:ascii="Arial" w:cs="Arial" w:eastAsia="Arial" w:hAnsi="Arial"/>
          <w:sz w:val="18"/>
          <w:szCs w:val="18"/>
          <w:color w:val="auto"/>
        </w:rPr>
        <w:t>Similar to what has been observed in prior NASH clinical studies with aldafermin, Cohort 4 findings also demonstrated that patients treated with 1 mg aldafermin experienced a mean increase of 45 mg/dL LDL cholesterol, or LDL-C, at week two of treatment relative to baseline. Under the protocol, patients in both the placebo and aldafermin arms who experienced an increase in mean levels of LDL-C of at least 10 mg/dL at week two of treatment were directed to take rosuvastatin daily during the treatment period. LDL-C was effectively managed with the concomitant statin use and LDL-C levels for both the placebo and aldafermin arms were nearly identical at approximately 77 mg/dL at week 24. In addition, mean serum triglyceride levels were significantly reduced in patients treated with aldafermin versus placebo as early as week two and sustained through week 24.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120" w:right="80" w:firstLine="549"/>
        <w:spacing w:after="0" w:line="245" w:lineRule="auto"/>
        <w:rPr>
          <w:sz w:val="20"/>
          <w:szCs w:val="20"/>
          <w:color w:val="auto"/>
        </w:rPr>
      </w:pPr>
      <w:r>
        <w:rPr>
          <w:rFonts w:ascii="Arial" w:cs="Arial" w:eastAsia="Arial" w:hAnsi="Arial"/>
          <w:sz w:val="18"/>
          <w:szCs w:val="18"/>
          <w:color w:val="auto"/>
        </w:rPr>
        <w:t>In Cohort 4, aldafermin had an overall adverse event profile that was similar to that of placebo, with no meaningful difference in gastrointestinal or pruritus adverse events in aldafermin compared to placebo. Serious adverse events, or SAEs, were also similar to placebo (aldafermin 4% versus 12% placebo), with all SAEs determined not to be related to treatment by the site investigator. Aldafermin was generally well tolerated and there were no study withdrawals due to adverse events, or AEs, in the aldafermin arm as compared to one withdrawal due to an adverse event in the placebo arm. Specific AE information is provided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-666115</wp:posOffset>
            </wp:positionV>
            <wp:extent cx="6998970" cy="6090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20" w:firstLine="549"/>
        <w:spacing w:after="0" w:line="255" w:lineRule="auto"/>
        <w:rPr>
          <w:sz w:val="20"/>
          <w:szCs w:val="20"/>
          <w:color w:val="auto"/>
        </w:rPr>
      </w:pPr>
      <w:r>
        <w:rPr>
          <w:rFonts w:ascii="Arial" w:cs="Arial" w:eastAsia="Arial" w:hAnsi="Arial"/>
          <w:sz w:val="18"/>
          <w:szCs w:val="18"/>
          <w:color w:val="auto"/>
        </w:rPr>
        <w:t>Finally, in November 2020, additional Cohort 4 data was presented showing that statistically significant reductions in C4, a marker of bile acid synthesis, and bile acids were observed with aldafermin compared to placebo. In patients with NASH, the rate-limiting enzyme for bile acid synthesis, CYP7A1, is upregulated and an associated increase in serum levels of bile acids is also observed.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MK-3655 in NASH</w:t>
      </w:r>
    </w:p>
    <w:p>
      <w:pPr>
        <w:spacing w:after="0" w:line="104" w:lineRule="exact"/>
        <w:rPr>
          <w:sz w:val="20"/>
          <w:szCs w:val="20"/>
          <w:color w:val="auto"/>
        </w:rPr>
      </w:pPr>
    </w:p>
    <w:p>
      <w:pPr>
        <w:ind w:left="120" w:right="20" w:firstLine="549"/>
        <w:spacing w:after="0"/>
        <w:rPr>
          <w:sz w:val="20"/>
          <w:szCs w:val="20"/>
          <w:color w:val="auto"/>
        </w:rPr>
      </w:pPr>
      <w:r>
        <w:rPr>
          <w:rFonts w:ascii="Arial" w:cs="Arial" w:eastAsia="Arial" w:hAnsi="Arial"/>
          <w:sz w:val="18"/>
          <w:szCs w:val="18"/>
          <w:color w:val="auto"/>
        </w:rPr>
        <w:t>MK-3655 is an agonistic antibody selectively activating FGFR1c/KLB that we believe has the potential to be a once-monthly injectable insulin sensitizer for the treatment of NASH. In November 2018, Merck exercised its option for a license to further research, develop and commercialize MK-3655 and other FGFR1c/KLB agonists pursuant to our Collaboration Agreement. In Phase 1 clinical testing, MK-3655 demonstrated favorable tolerability and preliminary data has shown the agent is capable of reducing LFC and improving metabolic biomarkers in obese insulin resistant subjects with nonalcoholic fatty liver disease, or NAFLD, after a single dose. We conducted a Phase 1b randomized, open-label, parallel group trial to evaluate the safety, tolerability, PK and pharmacodynamics, or PD, of a single MK-3655 dose or the maximum approved dose of daily oral pioglitazone in 25 obese insulin resistant subjects with NAFLD. The Phase 1b clinical trial evaluated the ability of MK-3655 to decrease LFC to support the clinical development of MK-3655 in NASH. The primary objectives of the study were to</w:t>
      </w: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80"/>
          </w:cols>
          <w:pgMar w:left="320" w:top="455" w:right="4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81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40"/>
        <w:spacing w:after="0" w:line="245" w:lineRule="auto"/>
        <w:rPr>
          <w:sz w:val="20"/>
          <w:szCs w:val="20"/>
          <w:color w:val="auto"/>
        </w:rPr>
      </w:pPr>
      <w:r>
        <w:rPr>
          <w:rFonts w:ascii="Arial" w:cs="Arial" w:eastAsia="Arial" w:hAnsi="Arial"/>
          <w:sz w:val="18"/>
          <w:szCs w:val="18"/>
          <w:color w:val="auto"/>
        </w:rPr>
        <w:t>evaluate changes from baseline in LFC as measured by magnetic resonance imaging-estimated proton density fat fraction at day 36 and changes from baseline in whole body insulin sensitivity at day 29 in subjects treated with MK-3655 as compared to pioglitazone. This study indicated that MK-3655 was well tolerated, with no SAEs and no AE leading to study discontinuation. All AEs observed during the course of the study were deemed mild, with increased appetite (12%) and injection site reaction (12%) being the only AEs reported in at least 10% of MK-3655-treated subjects.</w:t>
      </w:r>
    </w:p>
    <w:p>
      <w:pPr>
        <w:spacing w:after="0" w:line="17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the fourth quarter of 2020, Merck initiated a Phase 2b trial of MK-3655 in patients with F2-F3 NASH.</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NGM621 in Geographic Atrophy</w:t>
      </w:r>
    </w:p>
    <w:p>
      <w:pPr>
        <w:spacing w:after="0" w:line="104" w:lineRule="exact"/>
        <w:rPr>
          <w:sz w:val="20"/>
          <w:szCs w:val="20"/>
          <w:color w:val="auto"/>
        </w:rPr>
      </w:pPr>
    </w:p>
    <w:p>
      <w:pPr>
        <w:ind w:left="300" w:right="60" w:firstLine="532"/>
        <w:spacing w:after="0" w:line="243" w:lineRule="auto"/>
        <w:rPr>
          <w:sz w:val="20"/>
          <w:szCs w:val="20"/>
          <w:color w:val="auto"/>
        </w:rPr>
      </w:pPr>
      <w:r>
        <w:rPr>
          <w:rFonts w:ascii="Arial" w:cs="Arial" w:eastAsia="Arial" w:hAnsi="Arial"/>
          <w:sz w:val="18"/>
          <w:szCs w:val="18"/>
          <w:color w:val="auto"/>
        </w:rPr>
        <w:t>NGM621 is an inhibitory antibody designed to bind and inactivate complement C3, a protein implicated in the pathology of geographic atrophy, or GA. We initiated a Phase 1 safety, tolerability and PK clinical trial of NGM621, administered via intravitreal, or IVT, injections, in patients with GA in the second half of 2019. NGM621 is currently being tested in the ongoing Phase 2 CATALINA trial in patients with GA to evaluate its effects on disease progression when given every four weeks or every eight weeks. The first patient was dosed in the CATALINA trial in July 2020. Merck has a one-time option to license NGM621 upon our completion of a proof-of-concept study in humans.</w:t>
      </w:r>
    </w:p>
    <w:p>
      <w:pPr>
        <w:spacing w:after="0" w:line="174"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In November 2020, we announced results from our completed Phase 1 clinical study of NGM621. The primary objective of the Phase 1 trial was to assess the safety and tolerability of single and multiple IVT injections of NGM621 in patients with GA. Secondary objectives were to characterize the serum PK of single or multiple doses of NGM621. The study enrolled 15 patients across three single-ascending dose cohorts of NGM621, 2 mg, 7.5 mg and 15 mg, the maximum planned dose in the study, and a multiple dose cohort that received two 15 mg doses separated by four weeks. Patients were dosed sequentially and followed closely over 12 weeks. In the study, NGM621 was well tolerated, with no patients experiencing SAEs, drug-related AEs, intraocular inflammation, endophthalmitis or choroidal neovascularization. No dose-related safety patterns or concerns were reported. Ocular AEs observed were mild in severity and representative of those commonly associated with IVT injections. No vision-related safety signals were detected. On average, patients maintained their visual acuity over the 12-week follow-up study duration. The serum PK of NGM621 was linear and dose-proportional. Ocular PK/PD preclinical modeling conducted by Merck and us suggests that NGM621 may potentially achieve &gt;90% reduction in free C3 in the eye for seven weeks following a single IVT dose of 15 mg. Taken together, we believe the PK profile of NGM621 demonstrated in the Phase 1 study and subsequent PK/PD preclinical modeling support the potential for up to an every eight week (or every other month) dosing regimen of NGM621 at the 15 mg dose level. NGM621 serum exposure was below concentrations expected to produce systemic complement inhibition after IVT injection of the 15 mg dose. No anti-drug antibodies were detected in any patient at any timepoint.</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NGM120 in CACS and Cancer</w:t>
      </w:r>
    </w:p>
    <w:p>
      <w:pPr>
        <w:spacing w:after="0" w:line="104" w:lineRule="exact"/>
        <w:rPr>
          <w:sz w:val="20"/>
          <w:szCs w:val="20"/>
          <w:color w:val="auto"/>
        </w:rPr>
      </w:pPr>
    </w:p>
    <w:p>
      <w:pPr>
        <w:ind w:left="300" w:right="220" w:firstLine="532"/>
        <w:spacing w:after="0" w:line="263" w:lineRule="auto"/>
        <w:rPr>
          <w:sz w:val="20"/>
          <w:szCs w:val="20"/>
          <w:color w:val="auto"/>
        </w:rPr>
      </w:pPr>
      <w:r>
        <w:rPr>
          <w:rFonts w:ascii="Arial" w:cs="Arial" w:eastAsia="Arial" w:hAnsi="Arial"/>
          <w:sz w:val="17"/>
          <w:szCs w:val="17"/>
          <w:color w:val="auto"/>
        </w:rPr>
        <w:t>NGM120 is an inhibitory antibody binding GFRAL that is designed to block the effects of elevated GDF15 levels on cancer anorexia/cachexia syndrome, or CACS, and potentially on tumors. NGM120 works by selectively inhibiting the interaction between GDF15 and its cognate receptor, GFRAL, through which the autonomic nervous system and, possibly, the neuroendocrine axis influence the body’s metabolism to propel the cachectic state, and potentially the tumors, in cancer patients that have high serum levels of GDF15. Merck has a one-time option to license NGM120 upon our completion of a proof-of-concept study in humans.</w:t>
      </w:r>
    </w:p>
    <w:p>
      <w:pPr>
        <w:spacing w:after="0" w:line="200" w:lineRule="exact"/>
        <w:rPr>
          <w:sz w:val="20"/>
          <w:szCs w:val="20"/>
          <w:color w:val="auto"/>
        </w:rPr>
      </w:pPr>
    </w:p>
    <w:p>
      <w:pPr>
        <w:spacing w:after="0" w:line="3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860"/>
          </w:cols>
          <w:pgMar w:left="320" w:top="455" w:right="7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316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0" w:firstLine="532"/>
        <w:spacing w:after="0" w:line="248" w:lineRule="auto"/>
        <w:rPr>
          <w:sz w:val="20"/>
          <w:szCs w:val="20"/>
          <w:color w:val="auto"/>
        </w:rPr>
      </w:pPr>
      <w:r>
        <w:rPr>
          <w:rFonts w:ascii="Arial" w:cs="Arial" w:eastAsia="Arial" w:hAnsi="Arial"/>
          <w:sz w:val="18"/>
          <w:szCs w:val="18"/>
          <w:color w:val="auto"/>
        </w:rPr>
        <w:t>In 2019, we completed a Phase 1 clinical trial in single (n=48) and multiple (n=44) ascending cohorts of NGM120 in healthy volunteers that assessed its safety, tolerability and PK profile. This clinical trial demonstrated that NGM120 was well tolerated at all doses studied and the pharmacokinetics supported once-monthly dosing. No SAEs or AEs were identified. The PK profile of NGM120 had a terminal half-life of approximately 35 days.</w:t>
      </w:r>
    </w:p>
    <w:p>
      <w:pPr>
        <w:spacing w:after="0" w:line="170" w:lineRule="exact"/>
        <w:rPr>
          <w:sz w:val="20"/>
          <w:szCs w:val="20"/>
          <w:color w:val="auto"/>
        </w:rPr>
      </w:pPr>
    </w:p>
    <w:p>
      <w:pPr>
        <w:ind w:left="300" w:right="40" w:firstLine="532"/>
        <w:spacing w:after="0" w:line="241" w:lineRule="auto"/>
        <w:rPr>
          <w:sz w:val="20"/>
          <w:szCs w:val="20"/>
          <w:color w:val="auto"/>
        </w:rPr>
      </w:pPr>
      <w:r>
        <w:rPr>
          <w:rFonts w:ascii="Arial" w:cs="Arial" w:eastAsia="Arial" w:hAnsi="Arial"/>
          <w:sz w:val="18"/>
          <w:szCs w:val="18"/>
          <w:color w:val="auto"/>
        </w:rPr>
        <w:t>In the first quarter of 2020, we initiated a Phase 1a/1b clinical trial to assess the anti-CACS and anti-cancer effect of NGM120 in patients with advanced solid tumors. We recently completed enrollment in the Phase 1a dose finding portion of the study of NGM120 as a monotherapy in patients with select solid tumors and in the the Phase 1b dose finding portion of the study of NGM120 in combination with gemcitabine and abraxane in patients with metastatic pancreatic cancer. We expect to report data from the Phase 1a/1b dose finding study in the second half of 2021. A Phase 1b placebo-controlled expansion study of gemcitabine and abraxane and either NGM120 or placebo is planned in metastatic pancreatic carcinoma patients, and we anticipate initiating that study in the first quarter of 2021.</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NGM707</w:t>
      </w:r>
    </w:p>
    <w:p>
      <w:pPr>
        <w:spacing w:after="0" w:line="104" w:lineRule="exact"/>
        <w:rPr>
          <w:sz w:val="20"/>
          <w:szCs w:val="20"/>
          <w:color w:val="auto"/>
        </w:rPr>
      </w:pPr>
    </w:p>
    <w:p>
      <w:pPr>
        <w:ind w:left="300" w:right="20" w:firstLine="532"/>
        <w:spacing w:after="0" w:line="241" w:lineRule="auto"/>
        <w:rPr>
          <w:sz w:val="20"/>
          <w:szCs w:val="20"/>
          <w:color w:val="auto"/>
        </w:rPr>
      </w:pPr>
      <w:r>
        <w:rPr>
          <w:rFonts w:ascii="Arial" w:cs="Arial" w:eastAsia="Arial" w:hAnsi="Arial"/>
          <w:sz w:val="18"/>
          <w:szCs w:val="18"/>
          <w:color w:val="auto"/>
        </w:rPr>
        <w:t>NGM707 is a novel dual antagonist antibody that is designed to improve patient immune responses to tumors by inhibiting both the Immunoglobulin-like transcript 2, or ILT2 (also known as LILRB1), and Immunoglobulin-like transcript 4, or ILT4 (also known as LILRB2), receptors. NGM707 targets an epitope shared by both ILT2 and ILT4 to achieve inhibition of both receptor systems. We believe NGM707 has the potential to both reprogram ILT4-and ILT2-expressing myeloid cells to shift them from suppressing to activating immune detection and attacking tumors. ILT2 blockage may also reverse inhibition of certain ILT2-expressing lymphoid effector cells to promote further tumor response. Reversing myeloid suppression, or myeloid reprogramming, may represent a promising new therapeutic area of immuno-oncology aimed at increasing patient response rates to T cell checkpoint inhibitors.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ILT2/ILT4 receptors</w:t>
      </w:r>
    </w:p>
    <w:p>
      <w:pPr>
        <w:spacing w:after="0" w:line="102"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ILT2 and ILT4 receptors expressed on myeloid cells are implicated in suppressing anti-tumor immune responses in the tumor microenvironment and may represent checkpoints that enable tumors to evade immune detection. Suppressive myeloid cells enriched with ILT2 and ILT4 receptors are upregulated in certain cancer types, while ILT2 is also expressed on natural killer, or NK, cells, B cells and a subset of highly cytolytic T cells. Of note, ILT2 and ILT4 are upregulated on macrophages in the tumor microenvironment of certain cancer patients that are non-responders to T cell checkpoint inhibitor therapy and, therefore, implicate them as T cell checkpoint inhibitor resistance mechanisms.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40"/>
          </w:cols>
          <w:pgMar w:left="320" w:top="455" w:right="6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59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Preclinical Studies and Planned Clinical Trials</w:t>
      </w:r>
    </w:p>
    <w:p>
      <w:pPr>
        <w:spacing w:after="0" w:line="102"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Preclinical studies of NGM707 suggest that blockade of ILT4 reverses myeloid cell immune suppression, while blockade of ILT2 promotes NK and CD8+ T cell killing of tumor cells and activates macrophage phagocytosis of tumor cells. In addition, preclinical studies of NGM707 have shown that the dual blockade of ILT2 and ILT4 acts synergistically to reverse suppression of fragment crystallizable, or Fc, receptor signaling. In preclinical tests of monocytes from two individuals, the combination of NGM707 and pembrolizumab acted additively to increase T cell activation and cytokine secretion as shown in the mixed lymphocyte reactions’ graphics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IFN</w:t>
      </w:r>
      <w:r>
        <w:rPr>
          <w:rFonts w:ascii="Times New Roman" w:cs="Times New Roman" w:eastAsia="Times New Roman" w:hAnsi="Times New Roman"/>
          <w:sz w:val="14"/>
          <w:szCs w:val="14"/>
          <w:color w:val="auto"/>
        </w:rPr>
        <w:t>g</w:t>
      </w:r>
      <w:r>
        <w:rPr>
          <w:rFonts w:ascii="Arial" w:cs="Arial" w:eastAsia="Arial" w:hAnsi="Arial"/>
          <w:sz w:val="14"/>
          <w:szCs w:val="14"/>
          <w:i w:val="1"/>
          <w:iCs w:val="1"/>
          <w:color w:val="auto"/>
        </w:rPr>
        <w:t xml:space="preserve"> = Interferon Gamma; TNF</w:t>
      </w:r>
      <w:r>
        <w:rPr>
          <w:rFonts w:ascii="Times New Roman" w:cs="Times New Roman" w:eastAsia="Times New Roman" w:hAnsi="Times New Roman"/>
          <w:sz w:val="14"/>
          <w:szCs w:val="14"/>
          <w:color w:val="auto"/>
        </w:rPr>
        <w:t>a</w:t>
      </w:r>
      <w:r>
        <w:rPr>
          <w:rFonts w:ascii="Arial" w:cs="Arial" w:eastAsia="Arial" w:hAnsi="Arial"/>
          <w:sz w:val="14"/>
          <w:szCs w:val="14"/>
          <w:i w:val="1"/>
          <w:iCs w:val="1"/>
          <w:color w:val="auto"/>
        </w:rPr>
        <w:t xml:space="preserve"> = Tumor Necrosis Factor alpha; Pembro= pembrolizumab; Combo = pembrolizumab and NGM707</w:t>
      </w:r>
    </w:p>
    <w:p>
      <w:pPr>
        <w:spacing w:after="0" w:line="205" w:lineRule="exact"/>
        <w:rPr>
          <w:sz w:val="20"/>
          <w:szCs w:val="20"/>
          <w:color w:val="auto"/>
        </w:rPr>
      </w:pPr>
    </w:p>
    <w:p>
      <w:pPr>
        <w:jc w:val="both"/>
        <w:ind w:left="300" w:right="260" w:firstLine="532"/>
        <w:spacing w:after="0" w:line="255" w:lineRule="auto"/>
        <w:rPr>
          <w:sz w:val="20"/>
          <w:szCs w:val="20"/>
          <w:color w:val="auto"/>
        </w:rPr>
      </w:pPr>
      <w:r>
        <w:rPr>
          <w:rFonts w:ascii="Arial" w:cs="Arial" w:eastAsia="Arial" w:hAnsi="Arial"/>
          <w:sz w:val="18"/>
          <w:szCs w:val="18"/>
          <w:color w:val="auto"/>
        </w:rPr>
        <w:t>All preclinical studies to enable an investigational new drug application, or IND, have been completed. We are preparing the final reports for a planned IND submission in early 2021, and plan to initiate a first-in-human study of NGM707 in mid-2021. Merck has a one-time option to license NGM707 upon our completion of a proof-of-concept study in humans.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NGM438</w:t>
      </w:r>
    </w:p>
    <w:p>
      <w:pPr>
        <w:spacing w:after="0" w:line="104" w:lineRule="exact"/>
        <w:rPr>
          <w:sz w:val="20"/>
          <w:szCs w:val="20"/>
          <w:color w:val="auto"/>
        </w:rPr>
      </w:pPr>
    </w:p>
    <w:p>
      <w:pPr>
        <w:ind w:left="300" w:right="80" w:firstLine="532"/>
        <w:spacing w:after="0" w:line="243" w:lineRule="auto"/>
        <w:rPr>
          <w:sz w:val="20"/>
          <w:szCs w:val="20"/>
          <w:color w:val="auto"/>
        </w:rPr>
      </w:pPr>
      <w:r>
        <w:rPr>
          <w:rFonts w:ascii="Arial" w:cs="Arial" w:eastAsia="Arial" w:hAnsi="Arial"/>
          <w:sz w:val="18"/>
          <w:szCs w:val="18"/>
          <w:color w:val="auto"/>
        </w:rPr>
        <w:t>NGM438 is a novel antagonistic antibody that is designed to inhibit leukocyte-associated immunoglobulin-like receptor 1, or LAIR1, and promote immune detection and activation against advanced solid tumors. NGM438 has the potential to block the binding of all collagens tested with high potency, including tumor cell-derived collagens, which are the endogenous natural forms of collagen produced by the tumor that are believed to bind to LAIR1 to drive an immuno-suppressive environment surrounding the tumor. Reinvigoration of these collagen-suppressed immune cells may address a key resistance mechanism that limits responses to current immunotherapies.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LAIR1 receptor</w:t>
      </w:r>
    </w:p>
    <w:p>
      <w:pPr>
        <w:spacing w:after="0" w:line="102" w:lineRule="exact"/>
        <w:rPr>
          <w:sz w:val="20"/>
          <w:szCs w:val="20"/>
          <w:color w:val="auto"/>
        </w:rPr>
      </w:pPr>
    </w:p>
    <w:p>
      <w:pPr>
        <w:ind w:left="300" w:right="300" w:firstLine="532"/>
        <w:spacing w:after="0" w:line="276" w:lineRule="auto"/>
        <w:rPr>
          <w:sz w:val="20"/>
          <w:szCs w:val="20"/>
          <w:color w:val="auto"/>
        </w:rPr>
      </w:pPr>
      <w:r>
        <w:rPr>
          <w:rFonts w:ascii="Arial" w:cs="Arial" w:eastAsia="Arial" w:hAnsi="Arial"/>
          <w:sz w:val="18"/>
          <w:szCs w:val="18"/>
          <w:color w:val="auto"/>
        </w:rPr>
        <w:t>LAIR1 is a collagen-binding inhibitory receptor expressed on immune cells that is implicated in immune suppression. LAIR1 and collagens are upregulated in multiple cancer types where collagens</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20"/>
          </w:cols>
          <w:pgMar w:left="320" w:top="455" w:right="6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76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40"/>
        <w:spacing w:after="0" w:line="245" w:lineRule="auto"/>
        <w:rPr>
          <w:sz w:val="20"/>
          <w:szCs w:val="20"/>
          <w:color w:val="auto"/>
        </w:rPr>
      </w:pPr>
      <w:r>
        <w:rPr>
          <w:rFonts w:ascii="Arial" w:cs="Arial" w:eastAsia="Arial" w:hAnsi="Arial"/>
          <w:sz w:val="18"/>
          <w:szCs w:val="18"/>
          <w:color w:val="auto"/>
        </w:rPr>
        <w:t>are produced by activated stromal cells. These stromal-derived suppressive factors are associated with poor responses to checkpoint inhibitors. For such tumors, formation of the LAIR1-collagen complex may act as a stromal checkpoint to both physically exclude immune cells from the tumor and impose signaling-based immune suppression. Inhibiting this stromal checkpoint represents a potentially promising new therapeutic strategy to treat cancer by promoting the remodeling of the tumor architecture that restricts T cell infiltration of the tumor cell mass and reversing immune suppression in the tumor microenvironment.</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Preclinical Studies and Planned Clinical Trials</w:t>
      </w:r>
    </w:p>
    <w:p>
      <w:pPr>
        <w:spacing w:after="0" w:line="102"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Preclinical studies suggest that NGM438 may have the potential to reprogram collagen-suppressed myeloid cells to a stimulatory phenotype, induce inflammatory cytokine production by myeloid and T cells and relieve collagen-based suppression of T cell proliferation. For example, in a preclinical model as shown in the graphics below, collagen suppressed the mixture of myeloid cells and T cells in mixed lymphocyte reactions while the administration of NGM438 in vitro reversed this T cell suppression in a dose-dependent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MLR = Mixed Lymphocyte Reaction; mAb = monoclonal antibodies</w:t>
      </w:r>
    </w:p>
    <w:p>
      <w:pPr>
        <w:spacing w:after="0" w:line="205" w:lineRule="exact"/>
        <w:rPr>
          <w:sz w:val="20"/>
          <w:szCs w:val="20"/>
          <w:color w:val="auto"/>
        </w:rPr>
      </w:pPr>
    </w:p>
    <w:p>
      <w:pPr>
        <w:ind w:left="300" w:right="500" w:firstLine="532"/>
        <w:spacing w:after="0" w:line="306" w:lineRule="auto"/>
        <w:rPr>
          <w:sz w:val="20"/>
          <w:szCs w:val="20"/>
          <w:color w:val="auto"/>
        </w:rPr>
      </w:pPr>
      <w:r>
        <w:rPr>
          <w:rFonts w:ascii="Arial" w:cs="Arial" w:eastAsia="Arial" w:hAnsi="Arial"/>
          <w:sz w:val="17"/>
          <w:szCs w:val="17"/>
          <w:color w:val="auto"/>
        </w:rPr>
        <w:t>We plan to submit an IND in the second half of 2021 and expect to initiate a first-in-human study of NGM438 in the fourth quarter of 2021. Merck has a one-time option to license NGM438 upon our completion of a proof-of-concept study in humans.</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Financial Update</w:t>
      </w:r>
    </w:p>
    <w:p>
      <w:pPr>
        <w:spacing w:after="0" w:line="214" w:lineRule="exact"/>
        <w:rPr>
          <w:sz w:val="20"/>
          <w:szCs w:val="20"/>
          <w:color w:val="auto"/>
        </w:rPr>
      </w:pPr>
    </w:p>
    <w:p>
      <w:pPr>
        <w:jc w:val="both"/>
        <w:ind w:left="300" w:right="420" w:firstLine="532"/>
        <w:spacing w:after="0" w:line="255" w:lineRule="auto"/>
        <w:rPr>
          <w:sz w:val="20"/>
          <w:szCs w:val="20"/>
          <w:color w:val="auto"/>
        </w:rPr>
      </w:pPr>
      <w:r>
        <w:rPr>
          <w:rFonts w:ascii="Arial" w:cs="Arial" w:eastAsia="Arial" w:hAnsi="Arial"/>
          <w:sz w:val="18"/>
          <w:szCs w:val="18"/>
          <w:color w:val="auto"/>
        </w:rPr>
        <w:t>Our consolidated financial statements for the year ended December 31, 2020 will not be available until after this offering is completed and consequently will not be available to you prior to investing in this offering. Based upon preliminary estimates and information available to us as of the date of this</w:t>
      </w:r>
    </w:p>
    <w:p>
      <w:pPr>
        <w:spacing w:after="0" w:line="200" w:lineRule="exact"/>
        <w:rPr>
          <w:sz w:val="20"/>
          <w:szCs w:val="20"/>
          <w:color w:val="auto"/>
        </w:rPr>
      </w:pP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95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40"/>
        <w:spacing w:after="0" w:line="243" w:lineRule="auto"/>
        <w:rPr>
          <w:sz w:val="20"/>
          <w:szCs w:val="20"/>
          <w:color w:val="auto"/>
        </w:rPr>
      </w:pPr>
      <w:r>
        <w:rPr>
          <w:rFonts w:ascii="Arial" w:cs="Arial" w:eastAsia="Arial" w:hAnsi="Arial"/>
          <w:sz w:val="18"/>
          <w:szCs w:val="18"/>
          <w:color w:val="auto"/>
        </w:rPr>
        <w:t>prospectus supplement, we expect to report that we had approximately $295 million of cash, cash equivalents and short-term marketable securities as of December 31, 2020. We have not yet completed our financial close process for the quarter and year ended December 31, 2020. This estimate of our cash, cash equivalents and short-term marketable securities as of December 31, 2020 is preliminary, has not been audited and is subject to change upon completion of our financial statement closing procedures and the audit of our consolidated financial statements. Additional information and disclosures would be required for a more complete understanding of our financial position and results of operations as of December 31, 2020.</w:t>
      </w: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Risk Factors</w:t>
      </w:r>
    </w:p>
    <w:p>
      <w:pPr>
        <w:spacing w:after="0" w:line="214" w:lineRule="exact"/>
        <w:rPr>
          <w:sz w:val="20"/>
          <w:szCs w:val="20"/>
          <w:color w:val="auto"/>
        </w:rPr>
      </w:pPr>
    </w:p>
    <w:p>
      <w:pPr>
        <w:ind w:left="300" w:firstLine="532"/>
        <w:spacing w:after="0" w:line="248" w:lineRule="auto"/>
        <w:rPr>
          <w:rFonts w:ascii="Arial" w:cs="Arial" w:eastAsia="Arial" w:hAnsi="Arial"/>
          <w:sz w:val="18"/>
          <w:szCs w:val="18"/>
          <w:color w:val="auto"/>
        </w:rPr>
      </w:pPr>
      <w:r>
        <w:rPr>
          <w:rFonts w:ascii="Arial" w:cs="Arial" w:eastAsia="Arial" w:hAnsi="Arial"/>
          <w:sz w:val="18"/>
          <w:szCs w:val="18"/>
          <w:color w:val="auto"/>
        </w:rPr>
        <w:t>Below is a summary of the material factors that make an investment in our common stock speculative or risky. Importantly, this summary does not address all of the risks that we face. Our business involves significant risks that may have a material adverse effect on our business, financial condition, results of operations, prospects and stock price. These risks are more fully described under “</w:t>
      </w:r>
      <w:hyperlink w:anchor="page17">
        <w:r>
          <w:rPr>
            <w:rFonts w:ascii="Arial" w:cs="Arial" w:eastAsia="Arial" w:hAnsi="Arial"/>
            <w:sz w:val="18"/>
            <w:szCs w:val="18"/>
            <w:u w:val="single" w:color="auto"/>
            <w:color w:val="0000EE"/>
          </w:rPr>
          <w:t>Risk Factors</w:t>
        </w:r>
      </w:hyperlink>
      <w:r>
        <w:rPr>
          <w:rFonts w:ascii="Arial" w:cs="Arial" w:eastAsia="Arial" w:hAnsi="Arial"/>
          <w:sz w:val="18"/>
          <w:szCs w:val="18"/>
          <w:color w:val="auto"/>
        </w:rPr>
        <w:t>” beginning on page S-14 of this prospectus supplement and include, among others:</w:t>
      </w:r>
    </w:p>
    <w:p>
      <w:pPr>
        <w:spacing w:after="0" w:line="76" w:lineRule="exact"/>
        <w:rPr>
          <w:sz w:val="20"/>
          <w:szCs w:val="20"/>
          <w:color w:val="auto"/>
        </w:rPr>
      </w:pPr>
    </w:p>
    <w:p>
      <w:pPr>
        <w:ind w:left="1020" w:right="20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most advanced product candidate, aldafermin, is still in Phase 2 development and may fail to demonstrate safety and efficacy in ongoing and future clinical trials, may never achieve regulatory approval and may not be able to be successfully commercialized due to competition or other factors;</w:t>
      </w:r>
    </w:p>
    <w:p>
      <w:pPr>
        <w:spacing w:after="0" w:line="69" w:lineRule="exact"/>
        <w:rPr>
          <w:rFonts w:ascii="Arial" w:cs="Arial" w:eastAsia="Arial" w:hAnsi="Arial"/>
          <w:sz w:val="18"/>
          <w:szCs w:val="18"/>
          <w:color w:val="auto"/>
        </w:rPr>
      </w:pPr>
    </w:p>
    <w:p>
      <w:pPr>
        <w:ind w:left="1020" w:right="58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similarly, clinical trials of our other product candidates may fail to demonstrate safety and efficacy to the satisfaction of regulatory authorities or may otherwise fail to produce positive results;</w:t>
      </w:r>
    </w:p>
    <w:p>
      <w:pPr>
        <w:spacing w:after="0" w:line="50" w:lineRule="exact"/>
        <w:rPr>
          <w:rFonts w:ascii="Arial" w:cs="Arial" w:eastAsia="Arial" w:hAnsi="Arial"/>
          <w:sz w:val="18"/>
          <w:szCs w:val="18"/>
          <w:color w:val="auto"/>
        </w:rPr>
      </w:pPr>
    </w:p>
    <w:p>
      <w:pPr>
        <w:ind w:left="1020" w:right="20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net losses every year since our inception, expect to incur significant and increasing operating losses and may never become profitable;</w:t>
      </w:r>
    </w:p>
    <w:p>
      <w:pPr>
        <w:spacing w:after="0" w:line="50" w:lineRule="exact"/>
        <w:rPr>
          <w:rFonts w:ascii="Arial" w:cs="Arial" w:eastAsia="Arial" w:hAnsi="Arial"/>
          <w:sz w:val="18"/>
          <w:szCs w:val="18"/>
          <w:color w:val="auto"/>
        </w:rPr>
      </w:pPr>
    </w:p>
    <w:p>
      <w:pPr>
        <w:ind w:left="1020" w:right="100" w:hanging="195"/>
        <w:spacing w:after="0" w:line="24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our revenue for recent periods has been received from a single collaboration partner, Merck, and Merck may choose not to extend the research phase of the collaboration beyond March 16, 2022 and, under certain circumstances, Merck may unilaterally terminate its funding of our research and development programs or shift the focus of its research and development funding;</w:t>
      </w:r>
    </w:p>
    <w:p>
      <w:pPr>
        <w:spacing w:after="0" w:line="75" w:lineRule="exact"/>
        <w:rPr>
          <w:rFonts w:ascii="Arial" w:cs="Arial" w:eastAsia="Arial" w:hAnsi="Arial"/>
          <w:sz w:val="18"/>
          <w:szCs w:val="18"/>
          <w:color w:val="auto"/>
        </w:rPr>
      </w:pPr>
    </w:p>
    <w:p>
      <w:pPr>
        <w:ind w:left="1020" w:right="16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depend on our collaboration with Merck, and in the future may depend on collaborations with additional third parties, for the development and commercialization of our product candidates;</w:t>
      </w:r>
    </w:p>
    <w:p>
      <w:pPr>
        <w:spacing w:after="0" w:line="50" w:lineRule="exact"/>
        <w:rPr>
          <w:rFonts w:ascii="Arial" w:cs="Arial" w:eastAsia="Arial" w:hAnsi="Arial"/>
          <w:sz w:val="18"/>
          <w:szCs w:val="18"/>
          <w:color w:val="auto"/>
        </w:rPr>
      </w:pPr>
    </w:p>
    <w:p>
      <w:pPr>
        <w:ind w:left="1020" w:right="44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require additional capital following this offering to finance our operations, which may not be available to us on acceptable terms, or at all, and as a result, we may not complete the development and commercialization of our current product candidates or develop new product candidates;</w:t>
      </w:r>
    </w:p>
    <w:p>
      <w:pPr>
        <w:spacing w:after="0" w:line="69" w:lineRule="exact"/>
        <w:rPr>
          <w:rFonts w:ascii="Arial" w:cs="Arial" w:eastAsia="Arial" w:hAnsi="Arial"/>
          <w:sz w:val="18"/>
          <w:szCs w:val="18"/>
          <w:color w:val="auto"/>
        </w:rPr>
      </w:pPr>
    </w:p>
    <w:p>
      <w:pPr>
        <w:ind w:left="1020" w:right="60" w:hanging="195"/>
        <w:spacing w:after="0" w:line="306"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currently have no approved products or product revenue, and we will need to successfully complete preclinical and clinical testing of our product candidates before we can seek regulatory approval and potentially generate commercial sales;</w:t>
      </w:r>
    </w:p>
    <w:p>
      <w:pPr>
        <w:spacing w:after="0" w:line="28" w:lineRule="exact"/>
        <w:rPr>
          <w:rFonts w:ascii="Arial" w:cs="Arial" w:eastAsia="Arial" w:hAnsi="Arial"/>
          <w:sz w:val="17"/>
          <w:szCs w:val="17"/>
          <w:color w:val="auto"/>
        </w:rPr>
      </w:pPr>
    </w:p>
    <w:p>
      <w:pPr>
        <w:ind w:left="1020" w:right="58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 candidates must undergo rigorous clinical trials before seeking regulatory approvals, which could delay or prevent commercialization of our product candidates;</w:t>
      </w:r>
    </w:p>
    <w:p>
      <w:pPr>
        <w:spacing w:after="0" w:line="50" w:lineRule="exact"/>
        <w:rPr>
          <w:rFonts w:ascii="Arial" w:cs="Arial" w:eastAsia="Arial" w:hAnsi="Arial"/>
          <w:sz w:val="18"/>
          <w:szCs w:val="18"/>
          <w:color w:val="auto"/>
        </w:rPr>
      </w:pPr>
    </w:p>
    <w:p>
      <w:pPr>
        <w:jc w:val="both"/>
        <w:ind w:left="1020" w:right="8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process of manufacturing aldafermin and our other biologic product candidates is complex, highly regulated and subject to several risks, including difficulties in production, particularly in scaling up and validating initial production and ensuring the avoidance of contamination;</w:t>
      </w:r>
    </w:p>
    <w:p>
      <w:pPr>
        <w:spacing w:after="0" w:line="200" w:lineRule="exact"/>
        <w:rPr>
          <w:sz w:val="20"/>
          <w:szCs w:val="20"/>
          <w:color w:val="auto"/>
        </w:rPr>
      </w:pP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single source suppliers for the manufacture of our product candidates;</w:t>
      </w:r>
    </w:p>
    <w:p>
      <w:pPr>
        <w:spacing w:after="0" w:line="117" w:lineRule="exact"/>
        <w:rPr>
          <w:rFonts w:ascii="Arial" w:cs="Arial" w:eastAsia="Arial" w:hAnsi="Arial"/>
          <w:sz w:val="18"/>
          <w:szCs w:val="18"/>
          <w:color w:val="auto"/>
        </w:rPr>
      </w:pPr>
    </w:p>
    <w:p>
      <w:pPr>
        <w:ind w:left="1020" w:right="26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or FDA, and comparable foreign regulatory authorities are lengthy, time-consuming and inherently unpredictable;</w:t>
      </w:r>
    </w:p>
    <w:p>
      <w:pPr>
        <w:spacing w:after="0" w:line="50" w:lineRule="exact"/>
        <w:rPr>
          <w:rFonts w:ascii="Arial" w:cs="Arial" w:eastAsia="Arial" w:hAnsi="Arial"/>
          <w:sz w:val="18"/>
          <w:szCs w:val="18"/>
          <w:color w:val="auto"/>
        </w:rPr>
      </w:pPr>
    </w:p>
    <w:p>
      <w:pPr>
        <w:ind w:left="1020" w:right="28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success depends in part on our ability to attract and retain highly skilled employees, including members of our current senior management team, especially Dr. Jin-Long Chen;</w:t>
      </w:r>
    </w:p>
    <w:p>
      <w:pPr>
        <w:spacing w:after="0" w:line="50" w:lineRule="exact"/>
        <w:rPr>
          <w:rFonts w:ascii="Arial" w:cs="Arial" w:eastAsia="Arial" w:hAnsi="Arial"/>
          <w:sz w:val="18"/>
          <w:szCs w:val="18"/>
          <w:color w:val="auto"/>
        </w:rPr>
      </w:pPr>
    </w:p>
    <w:p>
      <w:pPr>
        <w:ind w:left="102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COVID-19 pandemic continues to adversely impact our business and could materially and adversely affect our operations, as well as the businesses or operations of our manufacturers, clinical research organizations, or CROs, or other third parties with whom we conduct business;</w:t>
      </w:r>
    </w:p>
    <w:p>
      <w:pPr>
        <w:spacing w:after="0" w:line="69" w:lineRule="exact"/>
        <w:rPr>
          <w:rFonts w:ascii="Arial" w:cs="Arial" w:eastAsia="Arial" w:hAnsi="Arial"/>
          <w:sz w:val="18"/>
          <w:szCs w:val="18"/>
          <w:color w:val="auto"/>
        </w:rPr>
      </w:pPr>
    </w:p>
    <w:p>
      <w:pPr>
        <w:ind w:left="1020" w:right="10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50" w:lineRule="exact"/>
        <w:rPr>
          <w:rFonts w:ascii="Arial" w:cs="Arial" w:eastAsia="Arial" w:hAnsi="Arial"/>
          <w:sz w:val="18"/>
          <w:szCs w:val="18"/>
          <w:color w:val="auto"/>
        </w:rPr>
      </w:pPr>
    </w:p>
    <w:p>
      <w:pPr>
        <w:ind w:left="1020" w:right="92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upon our ability to obtain and maintain intellectual property protection for our products and technologies, and we may not be able to protect our intellectual property rights throughout the world;</w:t>
      </w:r>
    </w:p>
    <w:p>
      <w:pPr>
        <w:spacing w:after="0" w:line="50" w:lineRule="exact"/>
        <w:rPr>
          <w:rFonts w:ascii="Arial" w:cs="Arial" w:eastAsia="Arial" w:hAnsi="Arial"/>
          <w:sz w:val="18"/>
          <w:szCs w:val="18"/>
          <w:color w:val="auto"/>
        </w:rPr>
      </w:pPr>
    </w:p>
    <w:p>
      <w:pPr>
        <w:ind w:left="1020" w:right="20" w:hanging="195"/>
        <w:spacing w:after="0" w:line="30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principal stockholders, including entities affiliated with The Column Group, Merck and our management, own a substantial percentage of our stock and will be able to exert significant control over matters subject to stockholder approval;</w:t>
      </w:r>
    </w:p>
    <w:p>
      <w:pPr>
        <w:spacing w:after="0" w:line="28" w:lineRule="exact"/>
        <w:rPr>
          <w:rFonts w:ascii="Arial" w:cs="Arial" w:eastAsia="Arial" w:hAnsi="Arial"/>
          <w:sz w:val="17"/>
          <w:szCs w:val="17"/>
          <w:color w:val="auto"/>
        </w:rPr>
      </w:pPr>
    </w:p>
    <w:p>
      <w:pPr>
        <w:ind w:left="1020" w:right="6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and maintain the relationships with third parties that are necessary to develop, commercialize and manufacture some or all of our product candidates; and</w:t>
      </w:r>
    </w:p>
    <w:p>
      <w:pPr>
        <w:spacing w:after="0" w:line="50" w:lineRule="exact"/>
        <w:rPr>
          <w:rFonts w:ascii="Arial" w:cs="Arial" w:eastAsia="Arial" w:hAnsi="Arial"/>
          <w:sz w:val="18"/>
          <w:szCs w:val="18"/>
          <w:color w:val="auto"/>
        </w:rPr>
      </w:pPr>
    </w:p>
    <w:p>
      <w:pPr>
        <w:ind w:left="1020" w:right="50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price of our common stock has been and may continue to be volatile, and you could lose all or part of your investment.</w:t>
      </w:r>
    </w:p>
    <w:p>
      <w:pPr>
        <w:spacing w:after="0" w:line="25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Company Information</w:t>
      </w:r>
    </w:p>
    <w:p>
      <w:pPr>
        <w:spacing w:after="0" w:line="214"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We were incorporated in Delaware in December 2007 and commenced operations in 2008. Our principal executive offices are located at 333 Oyster Point Blvd., South San Francisco, California 94080-7014, and our telephone number is (650) 243-5555. Our website address is http://www.ngmbio.com. The contents of and information accessible through our website are not incorporated into this prospectus supplement or the accompanying prospectus, and our reference to the URL for our website is intended to be an inactive textual reference only.</w:t>
      </w:r>
    </w:p>
    <w:p>
      <w:pPr>
        <w:spacing w:after="0" w:line="172" w:lineRule="exact"/>
        <w:rPr>
          <w:sz w:val="20"/>
          <w:szCs w:val="20"/>
          <w:color w:val="auto"/>
        </w:rPr>
      </w:pPr>
    </w:p>
    <w:p>
      <w:pPr>
        <w:ind w:left="300" w:right="20" w:firstLine="532"/>
        <w:spacing w:after="0" w:line="241" w:lineRule="auto"/>
        <w:rPr>
          <w:sz w:val="20"/>
          <w:szCs w:val="20"/>
          <w:color w:val="auto"/>
        </w:rPr>
      </w:pPr>
      <w:r>
        <w:rPr>
          <w:rFonts w:ascii="Arial" w:cs="Arial" w:eastAsia="Arial" w:hAnsi="Arial"/>
          <w:sz w:val="18"/>
          <w:szCs w:val="18"/>
          <w:color w:val="auto"/>
        </w:rPr>
        <w:t>As used in this prospectus supplement and the accompanying prospectus, “NGM Biopharmaceuticals”, “NGM”, “we”, “us” and “our” refer to NGM Biopharmaceuticals, Inc. and its wholly-owned subsidiary taken as a whole. This prospectus supplement, the accompanying prospectus and the information incorporated herein by reference include trademarks, service marks and trade names owned by us or other companies. All trademarks, service marks and trade names included or incorporated by reference into this prospectus supplement, the accompanying prospectus or any related free writing prospectus are the property of their respective owners. We do not intend our use or display of other companies’ trademarks or trade names to imply a relationship with, or endorsement or sponsorship of us by, any other companies or products.</w:t>
      </w:r>
    </w:p>
    <w:p>
      <w:pPr>
        <w:spacing w:after="0" w:line="28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14" w:lineRule="exact"/>
        <w:rPr>
          <w:sz w:val="20"/>
          <w:szCs w:val="20"/>
          <w:color w:val="auto"/>
        </w:rPr>
      </w:pPr>
    </w:p>
    <w:p>
      <w:pPr>
        <w:ind w:left="300" w:firstLine="532"/>
        <w:spacing w:after="0" w:line="276"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We will remain an emerging growth company until the earliest to</w:t>
      </w:r>
    </w:p>
    <w:p>
      <w:pPr>
        <w:spacing w:after="0" w:line="200" w:lineRule="exact"/>
        <w:rPr>
          <w:sz w:val="20"/>
          <w:szCs w:val="20"/>
          <w:color w:val="auto"/>
        </w:rPr>
      </w:pPr>
    </w:p>
    <w:p>
      <w:pPr>
        <w:spacing w:after="0" w:line="3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840"/>
          </w:cols>
          <w:pgMar w:left="320" w:top="455" w:right="7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609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26098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20"/>
        <w:spacing w:after="0" w:line="241" w:lineRule="auto"/>
        <w:rPr>
          <w:sz w:val="20"/>
          <w:szCs w:val="20"/>
          <w:color w:val="auto"/>
        </w:rPr>
      </w:pPr>
      <w:r>
        <w:rPr>
          <w:rFonts w:ascii="Arial" w:cs="Arial" w:eastAsia="Arial" w:hAnsi="Arial"/>
          <w:sz w:val="18"/>
          <w:szCs w:val="18"/>
          <w:color w:val="auto"/>
        </w:rPr>
        <w:t>occur of: (i) the last day of the fiscal year in which we have more than $1.07 billion in annual revenue; (ii) the date we qualify as a “large accelerated filer,” under the rules of the SEC which, among other requirements, means that we have been subject to the reporting requirements of the Securities Exchange Act of 1934, as amended, or Exchange Act, for at least twelve calendar months, we have filed at least one annual report under the Exchange Act, and the market value of our equity securities that is held</w:t>
      </w:r>
    </w:p>
    <w:p>
      <w:pPr>
        <w:spacing w:after="0" w:line="1" w:lineRule="exact"/>
        <w:rPr>
          <w:sz w:val="20"/>
          <w:szCs w:val="20"/>
          <w:color w:val="auto"/>
        </w:rPr>
      </w:pPr>
    </w:p>
    <w:p>
      <w:pPr>
        <w:ind w:left="300" w:right="660"/>
        <w:spacing w:after="0" w:line="250" w:lineRule="auto"/>
        <w:rPr>
          <w:sz w:val="20"/>
          <w:szCs w:val="20"/>
          <w:color w:val="auto"/>
        </w:rPr>
      </w:pPr>
      <w:r>
        <w:rPr>
          <w:rFonts w:ascii="Arial" w:cs="Arial" w:eastAsia="Arial" w:hAnsi="Arial"/>
          <w:sz w:val="18"/>
          <w:szCs w:val="18"/>
          <w:color w:val="auto"/>
        </w:rPr>
        <w:t>by non-affiliates exceeds $700 million as of the prior June 30th; (iii) the issuance, in any three-year period, by us of more than $1.0 billion in non-convertible debt securities; and (iv) December 31, 2024.</w:t>
      </w:r>
    </w:p>
    <w:p>
      <w:pPr>
        <w:spacing w:after="0" w:line="168" w:lineRule="exact"/>
        <w:rPr>
          <w:sz w:val="20"/>
          <w:szCs w:val="20"/>
          <w:color w:val="auto"/>
        </w:rPr>
      </w:pPr>
    </w:p>
    <w:p>
      <w:pPr>
        <w:ind w:left="300" w:firstLine="532"/>
        <w:spacing w:after="0" w:line="239" w:lineRule="auto"/>
        <w:rPr>
          <w:sz w:val="20"/>
          <w:szCs w:val="20"/>
          <w:color w:val="auto"/>
        </w:rPr>
      </w:pPr>
      <w:r>
        <w:rPr>
          <w:rFonts w:ascii="Arial" w:cs="Arial" w:eastAsia="Arial" w:hAnsi="Arial"/>
          <w:sz w:val="18"/>
          <w:szCs w:val="18"/>
          <w:color w:val="auto"/>
        </w:rPr>
        <w:t>As a result of this status,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In addition, the JOBS Act provides that an emerging growth company may take advantage of an extended transition period for complying with new or revised accounting standards, delaying the adoption of these accounting standards until they would apply to private companies unless we otherwise irrevocably elect not to avail itself of this exemption. However, we have chosen to irrevocably “opt out”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920"/>
          </w:cols>
          <w:pgMar w:left="320" w:top="455" w:right="659" w:bottom="1440" w:gutter="0" w:footer="0" w:header="0"/>
        </w:sectPr>
      </w:pPr>
    </w:p>
    <w:bookmarkStart w:id="14" w:name="page15"/>
    <w:bookmarkEnd w:id="1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60731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Common stock offered by us</w:t>
      </w:r>
    </w:p>
    <w:p>
      <w:pPr>
        <w:spacing w:after="0" w:line="104" w:lineRule="exact"/>
        <w:rPr>
          <w:sz w:val="20"/>
          <w:szCs w:val="20"/>
          <w:color w:val="auto"/>
        </w:rPr>
      </w:pPr>
    </w:p>
    <w:p>
      <w:pPr>
        <w:ind w:left="480" w:hanging="179"/>
        <w:spacing w:after="0" w:line="276"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37" w:lineRule="exact"/>
        <w:rPr>
          <w:sz w:val="20"/>
          <w:szCs w:val="20"/>
          <w:color w:val="auto"/>
        </w:rPr>
      </w:pPr>
    </w:p>
    <w:p>
      <w:pPr>
        <w:ind w:left="480" w:right="220" w:hanging="179"/>
        <w:spacing w:after="0" w:line="276" w:lineRule="auto"/>
        <w:rPr>
          <w:sz w:val="20"/>
          <w:szCs w:val="20"/>
          <w:color w:val="auto"/>
        </w:rPr>
      </w:pPr>
      <w:r>
        <w:rPr>
          <w:rFonts w:ascii="Arial" w:cs="Arial" w:eastAsia="Arial" w:hAnsi="Arial"/>
          <w:sz w:val="18"/>
          <w:szCs w:val="18"/>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THE OFFERING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$100,000,000 of shares of our common stock.</w:t>
      </w:r>
    </w:p>
    <w:p>
      <w:pPr>
        <w:spacing w:after="0" w:line="104" w:lineRule="exact"/>
        <w:rPr>
          <w:sz w:val="20"/>
          <w:szCs w:val="20"/>
          <w:color w:val="auto"/>
        </w:rPr>
      </w:pPr>
    </w:p>
    <w:p>
      <w:pPr>
        <w:ind w:right="520" w:firstLine="850"/>
        <w:spacing w:after="0" w:line="276" w:lineRule="auto"/>
        <w:rPr>
          <w:sz w:val="20"/>
          <w:szCs w:val="20"/>
          <w:color w:val="auto"/>
        </w:rPr>
      </w:pPr>
      <w:r>
        <w:rPr>
          <w:rFonts w:ascii="Arial" w:cs="Arial" w:eastAsia="Arial" w:hAnsi="Arial"/>
          <w:sz w:val="18"/>
          <w:szCs w:val="18"/>
          <w:color w:val="auto"/>
        </w:rPr>
        <w:t>shares, or shares if the underwriters’ option to purchase additional shares is exercised in full.</w:t>
      </w:r>
    </w:p>
    <w:p>
      <w:pPr>
        <w:spacing w:after="0" w:line="3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underwriters have the option to purchase additional shares of our common stock with an aggregate public offering price of up to $15,000,000, which they may exercise, in whole or in part, for a period of 30 days from the date of this prospectus supplement.</w:t>
      </w:r>
    </w:p>
    <w:p>
      <w:pPr>
        <w:spacing w:after="0" w:line="58" w:lineRule="exact"/>
        <w:rPr>
          <w:sz w:val="20"/>
          <w:szCs w:val="20"/>
          <w:color w:val="auto"/>
        </w:rPr>
      </w:pPr>
    </w:p>
    <w:p>
      <w:pPr>
        <w:sectPr>
          <w:pgSz w:w="11900" w:h="16838" w:orient="portrait"/>
          <w:cols w:equalWidth="0" w:num="2">
            <w:col w:w="3940" w:space="300"/>
            <w:col w:w="6660"/>
          </w:cols>
          <w:pgMar w:left="320" w:top="455" w:right="679" w:bottom="1440" w:gutter="0" w:footer="0" w:header="0"/>
          <w:type w:val="continuous"/>
        </w:sectPr>
      </w:pPr>
    </w:p>
    <w:tbl>
      <w:tblPr>
        <w:tblLayout w:type="fixed"/>
        <w:tblInd w:w="300" w:type="dxa"/>
        <w:tblCellMar>
          <w:top w:w="0" w:type="dxa"/>
          <w:left w:w="0" w:type="dxa"/>
          <w:bottom w:w="0" w:type="dxa"/>
          <w:right w:w="0" w:type="dxa"/>
        </w:tblCellMar>
      </w:tblPr>
      <w:tr>
        <w:trPr>
          <w:trHeight w:val="207"/>
        </w:trPr>
        <w:tc>
          <w:tcPr>
            <w:tcW w:w="3940" w:type="dxa"/>
            <w:vAlign w:val="bottom"/>
          </w:tcPr>
          <w:p>
            <w:pPr>
              <w:spacing w:after="0"/>
              <w:rPr>
                <w:sz w:val="20"/>
                <w:szCs w:val="20"/>
                <w:color w:val="auto"/>
              </w:rPr>
            </w:pPr>
            <w:r>
              <w:rPr>
                <w:rFonts w:ascii="Arial" w:cs="Arial" w:eastAsia="Arial" w:hAnsi="Arial"/>
                <w:sz w:val="18"/>
                <w:szCs w:val="18"/>
                <w:color w:val="auto"/>
              </w:rPr>
              <w:t>Use of proceeds</w:t>
            </w:r>
          </w:p>
        </w:tc>
        <w:tc>
          <w:tcPr>
            <w:tcW w:w="6600" w:type="dxa"/>
            <w:vAlign w:val="bottom"/>
            <w:gridSpan w:val="6"/>
          </w:tcPr>
          <w:p>
            <w:pPr>
              <w:spacing w:after="0"/>
              <w:rPr>
                <w:sz w:val="20"/>
                <w:szCs w:val="20"/>
                <w:color w:val="auto"/>
              </w:rPr>
            </w:pPr>
            <w:r>
              <w:rPr>
                <w:rFonts w:ascii="Arial" w:cs="Arial" w:eastAsia="Arial" w:hAnsi="Arial"/>
                <w:sz w:val="18"/>
                <w:szCs w:val="18"/>
                <w:color w:val="auto"/>
              </w:rPr>
              <w:t>The net proceeds from the issuance of our common stock in this offering will be</w:t>
            </w:r>
          </w:p>
        </w:tc>
      </w:tr>
      <w:tr>
        <w:trPr>
          <w:trHeight w:val="203"/>
        </w:trPr>
        <w:tc>
          <w:tcPr>
            <w:tcW w:w="3940" w:type="dxa"/>
            <w:vAlign w:val="bottom"/>
          </w:tcPr>
          <w:p>
            <w:pPr>
              <w:spacing w:after="0"/>
              <w:rPr>
                <w:sz w:val="17"/>
                <w:szCs w:val="17"/>
                <w:color w:val="auto"/>
              </w:rPr>
            </w:pPr>
          </w:p>
        </w:tc>
        <w:tc>
          <w:tcPr>
            <w:tcW w:w="1680" w:type="dxa"/>
            <w:vAlign w:val="bottom"/>
            <w:gridSpan w:val="2"/>
          </w:tcPr>
          <w:p>
            <w:pPr>
              <w:spacing w:after="0" w:line="202" w:lineRule="exact"/>
              <w:rPr>
                <w:sz w:val="20"/>
                <w:szCs w:val="20"/>
                <w:color w:val="auto"/>
              </w:rPr>
            </w:pPr>
            <w:r>
              <w:rPr>
                <w:rFonts w:ascii="Arial" w:cs="Arial" w:eastAsia="Arial" w:hAnsi="Arial"/>
                <w:sz w:val="18"/>
                <w:szCs w:val="18"/>
                <w:color w:val="auto"/>
              </w:rPr>
              <w:t>approximately $</w:t>
            </w:r>
          </w:p>
        </w:tc>
        <w:tc>
          <w:tcPr>
            <w:tcW w:w="2840" w:type="dxa"/>
            <w:vAlign w:val="bottom"/>
          </w:tcPr>
          <w:p>
            <w:pPr>
              <w:ind w:left="400"/>
              <w:spacing w:after="0" w:line="202" w:lineRule="exact"/>
              <w:rPr>
                <w:sz w:val="20"/>
                <w:szCs w:val="20"/>
                <w:color w:val="auto"/>
              </w:rPr>
            </w:pPr>
            <w:r>
              <w:rPr>
                <w:rFonts w:ascii="Arial" w:cs="Arial" w:eastAsia="Arial" w:hAnsi="Arial"/>
                <w:sz w:val="18"/>
                <w:szCs w:val="18"/>
                <w:color w:val="auto"/>
              </w:rPr>
              <w:t>million or approximately $</w:t>
            </w:r>
          </w:p>
        </w:tc>
        <w:tc>
          <w:tcPr>
            <w:tcW w:w="208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million if the</w:t>
            </w:r>
          </w:p>
        </w:tc>
      </w:tr>
      <w:tr>
        <w:trPr>
          <w:trHeight w:val="203"/>
        </w:trPr>
        <w:tc>
          <w:tcPr>
            <w:tcW w:w="3940" w:type="dxa"/>
            <w:vAlign w:val="bottom"/>
          </w:tcPr>
          <w:p>
            <w:pPr>
              <w:spacing w:after="0"/>
              <w:rPr>
                <w:sz w:val="17"/>
                <w:szCs w:val="17"/>
                <w:color w:val="auto"/>
              </w:rPr>
            </w:pPr>
          </w:p>
        </w:tc>
        <w:tc>
          <w:tcPr>
            <w:tcW w:w="6600" w:type="dxa"/>
            <w:vAlign w:val="bottom"/>
            <w:gridSpan w:val="6"/>
          </w:tcPr>
          <w:p>
            <w:pPr>
              <w:spacing w:after="0" w:line="202" w:lineRule="exact"/>
              <w:rPr>
                <w:sz w:val="20"/>
                <w:szCs w:val="20"/>
                <w:color w:val="auto"/>
              </w:rPr>
            </w:pPr>
            <w:r>
              <w:rPr>
                <w:rFonts w:ascii="Arial" w:cs="Arial" w:eastAsia="Arial" w:hAnsi="Arial"/>
                <w:sz w:val="18"/>
                <w:szCs w:val="18"/>
                <w:color w:val="auto"/>
                <w:w w:val="99"/>
              </w:rPr>
              <w:t>underwriters exercise their option in full, after deducting underwriting discounts and</w:t>
            </w:r>
          </w:p>
        </w:tc>
      </w:tr>
      <w:tr>
        <w:trPr>
          <w:trHeight w:val="203"/>
        </w:trPr>
        <w:tc>
          <w:tcPr>
            <w:tcW w:w="3940" w:type="dxa"/>
            <w:vAlign w:val="bottom"/>
          </w:tcPr>
          <w:p>
            <w:pPr>
              <w:spacing w:after="0"/>
              <w:rPr>
                <w:sz w:val="17"/>
                <w:szCs w:val="17"/>
                <w:color w:val="auto"/>
              </w:rPr>
            </w:pPr>
          </w:p>
        </w:tc>
        <w:tc>
          <w:tcPr>
            <w:tcW w:w="6600" w:type="dxa"/>
            <w:vAlign w:val="bottom"/>
            <w:gridSpan w:val="6"/>
          </w:tcPr>
          <w:p>
            <w:pPr>
              <w:spacing w:after="0" w:line="202" w:lineRule="exact"/>
              <w:rPr>
                <w:sz w:val="20"/>
                <w:szCs w:val="20"/>
                <w:color w:val="auto"/>
              </w:rPr>
            </w:pPr>
            <w:r>
              <w:rPr>
                <w:rFonts w:ascii="Arial" w:cs="Arial" w:eastAsia="Arial" w:hAnsi="Arial"/>
                <w:sz w:val="18"/>
                <w:szCs w:val="18"/>
                <w:color w:val="auto"/>
                <w:w w:val="99"/>
              </w:rPr>
              <w:t>commissions and estimated offering expenses payable by us. We intend to use the</w:t>
            </w:r>
          </w:p>
        </w:tc>
      </w:tr>
      <w:tr>
        <w:trPr>
          <w:trHeight w:val="203"/>
        </w:trPr>
        <w:tc>
          <w:tcPr>
            <w:tcW w:w="3940" w:type="dxa"/>
            <w:vAlign w:val="bottom"/>
          </w:tcPr>
          <w:p>
            <w:pPr>
              <w:spacing w:after="0"/>
              <w:rPr>
                <w:sz w:val="17"/>
                <w:szCs w:val="17"/>
                <w:color w:val="auto"/>
              </w:rPr>
            </w:pPr>
          </w:p>
        </w:tc>
        <w:tc>
          <w:tcPr>
            <w:tcW w:w="6600" w:type="dxa"/>
            <w:vAlign w:val="bottom"/>
            <w:gridSpan w:val="6"/>
          </w:tcPr>
          <w:p>
            <w:pPr>
              <w:spacing w:after="0" w:line="202" w:lineRule="exact"/>
              <w:rPr>
                <w:sz w:val="20"/>
                <w:szCs w:val="20"/>
                <w:color w:val="auto"/>
              </w:rPr>
            </w:pPr>
            <w:r>
              <w:rPr>
                <w:rFonts w:ascii="Arial" w:cs="Arial" w:eastAsia="Arial" w:hAnsi="Arial"/>
                <w:sz w:val="18"/>
                <w:szCs w:val="18"/>
                <w:color w:val="auto"/>
              </w:rPr>
              <w:t>net proceeds from this offering for working capital and other general corporate</w:t>
            </w:r>
          </w:p>
        </w:tc>
      </w:tr>
      <w:tr>
        <w:trPr>
          <w:trHeight w:val="203"/>
        </w:trPr>
        <w:tc>
          <w:tcPr>
            <w:tcW w:w="3940" w:type="dxa"/>
            <w:vAlign w:val="bottom"/>
          </w:tcPr>
          <w:p>
            <w:pPr>
              <w:spacing w:after="0"/>
              <w:rPr>
                <w:sz w:val="17"/>
                <w:szCs w:val="17"/>
                <w:color w:val="auto"/>
              </w:rPr>
            </w:pPr>
          </w:p>
        </w:tc>
        <w:tc>
          <w:tcPr>
            <w:tcW w:w="6600" w:type="dxa"/>
            <w:vAlign w:val="bottom"/>
            <w:gridSpan w:val="6"/>
          </w:tcPr>
          <w:p>
            <w:pPr>
              <w:spacing w:after="0" w:line="202" w:lineRule="exact"/>
              <w:rPr>
                <w:sz w:val="20"/>
                <w:szCs w:val="20"/>
                <w:color w:val="auto"/>
              </w:rPr>
            </w:pPr>
            <w:r>
              <w:rPr>
                <w:rFonts w:ascii="Arial" w:cs="Arial" w:eastAsia="Arial" w:hAnsi="Arial"/>
                <w:sz w:val="18"/>
                <w:szCs w:val="18"/>
                <w:color w:val="auto"/>
              </w:rPr>
              <w:t>purposes, which may include funding our pipeline of development programs,</w:t>
            </w:r>
          </w:p>
        </w:tc>
      </w:tr>
      <w:tr>
        <w:trPr>
          <w:trHeight w:val="198"/>
        </w:trPr>
        <w:tc>
          <w:tcPr>
            <w:tcW w:w="3940" w:type="dxa"/>
            <w:vAlign w:val="bottom"/>
          </w:tcPr>
          <w:p>
            <w:pPr>
              <w:spacing w:after="0"/>
              <w:rPr>
                <w:sz w:val="17"/>
                <w:szCs w:val="17"/>
                <w:color w:val="auto"/>
              </w:rPr>
            </w:pPr>
          </w:p>
        </w:tc>
        <w:tc>
          <w:tcPr>
            <w:tcW w:w="6600" w:type="dxa"/>
            <w:vAlign w:val="bottom"/>
            <w:gridSpan w:val="6"/>
          </w:tcPr>
          <w:p>
            <w:pPr>
              <w:spacing w:after="0" w:line="198" w:lineRule="exact"/>
              <w:rPr>
                <w:rFonts w:ascii="Arial" w:cs="Arial" w:eastAsia="Arial" w:hAnsi="Arial"/>
                <w:sz w:val="18"/>
                <w:szCs w:val="18"/>
                <w:color w:val="auto"/>
              </w:rPr>
            </w:pPr>
            <w:hyperlink w:anchor="page17">
              <w:r>
                <w:rPr>
                  <w:rFonts w:ascii="Arial" w:cs="Arial" w:eastAsia="Arial" w:hAnsi="Arial"/>
                  <w:sz w:val="18"/>
                  <w:szCs w:val="18"/>
                  <w:color w:val="auto"/>
                </w:rPr>
                <w:t>general and administrative activities and capital expenditures. See “</w:t>
              </w:r>
              <w:r>
                <w:rPr>
                  <w:rFonts w:ascii="Arial" w:cs="Arial" w:eastAsia="Arial" w:hAnsi="Arial"/>
                  <w:sz w:val="18"/>
                  <w:szCs w:val="18"/>
                  <w:color w:val="0000EE"/>
                </w:rPr>
                <w:t>Use of</w:t>
              </w:r>
            </w:hyperlink>
          </w:p>
        </w:tc>
      </w:tr>
      <w:tr>
        <w:trPr>
          <w:trHeight w:val="183"/>
        </w:trPr>
        <w:tc>
          <w:tcPr>
            <w:tcW w:w="3940" w:type="dxa"/>
            <w:vAlign w:val="bottom"/>
          </w:tcPr>
          <w:p>
            <w:pPr>
              <w:spacing w:after="0"/>
              <w:rPr>
                <w:sz w:val="15"/>
                <w:szCs w:val="15"/>
                <w:color w:val="auto"/>
              </w:rPr>
            </w:pPr>
          </w:p>
        </w:tc>
        <w:tc>
          <w:tcPr>
            <w:tcW w:w="4520" w:type="dxa"/>
            <w:vAlign w:val="bottom"/>
            <w:gridSpan w:val="3"/>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Proceeds</w:t>
              </w:r>
              <w:r>
                <w:rPr>
                  <w:rFonts w:ascii="Arial" w:cs="Arial" w:eastAsia="Arial" w:hAnsi="Arial"/>
                  <w:sz w:val="18"/>
                  <w:szCs w:val="18"/>
                  <w:color w:val="000000"/>
                </w:rPr>
                <w:t>” for additional information.</w:t>
              </w:r>
            </w:hyperlink>
          </w:p>
        </w:tc>
        <w:tc>
          <w:tcPr>
            <w:tcW w:w="860" w:type="dxa"/>
            <w:vAlign w:val="bottom"/>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39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40" w:type="dxa"/>
            <w:vAlign w:val="bottom"/>
            <w:gridSpan w:val="5"/>
          </w:tcPr>
          <w:p>
            <w:pPr>
              <w:spacing w:after="0" w:line="20" w:lineRule="exact"/>
              <w:rPr>
                <w:sz w:val="1"/>
                <w:szCs w:val="1"/>
                <w:color w:val="auto"/>
              </w:rPr>
            </w:pPr>
          </w:p>
        </w:tc>
      </w:tr>
      <w:tr>
        <w:trPr>
          <w:trHeight w:val="295"/>
        </w:trPr>
        <w:tc>
          <w:tcPr>
            <w:tcW w:w="3940" w:type="dxa"/>
            <w:vAlign w:val="bottom"/>
          </w:tcPr>
          <w:p>
            <w:pPr>
              <w:spacing w:after="0"/>
              <w:rPr>
                <w:sz w:val="20"/>
                <w:szCs w:val="20"/>
                <w:color w:val="auto"/>
              </w:rPr>
            </w:pPr>
            <w:r>
              <w:rPr>
                <w:rFonts w:ascii="Arial" w:cs="Arial" w:eastAsia="Arial" w:hAnsi="Arial"/>
                <w:sz w:val="18"/>
                <w:szCs w:val="18"/>
                <w:color w:val="auto"/>
              </w:rPr>
              <w:t>Risk factors</w:t>
            </w:r>
          </w:p>
        </w:tc>
        <w:tc>
          <w:tcPr>
            <w:tcW w:w="6600" w:type="dxa"/>
            <w:vAlign w:val="bottom"/>
            <w:gridSpan w:val="6"/>
          </w:tcPr>
          <w:p>
            <w:pPr>
              <w:spacing w:after="0"/>
              <w:rPr>
                <w:rFonts w:ascii="Arial" w:cs="Arial" w:eastAsia="Arial" w:hAnsi="Arial"/>
                <w:sz w:val="18"/>
                <w:szCs w:val="18"/>
                <w:color w:val="auto"/>
              </w:rPr>
            </w:pPr>
            <w:r>
              <w:rPr>
                <w:rFonts w:ascii="Arial" w:cs="Arial" w:eastAsia="Arial" w:hAnsi="Arial"/>
                <w:sz w:val="18"/>
                <w:szCs w:val="18"/>
                <w:color w:val="auto"/>
              </w:rPr>
              <w:t>See “</w:t>
            </w:r>
            <w:hyperlink w:anchor="page17">
              <w:r>
                <w:rPr>
                  <w:rFonts w:ascii="Arial" w:cs="Arial" w:eastAsia="Arial" w:hAnsi="Arial"/>
                  <w:sz w:val="18"/>
                  <w:szCs w:val="18"/>
                  <w:u w:val="single" w:color="auto"/>
                  <w:color w:val="0000EE"/>
                </w:rPr>
                <w:t>Risk Factors</w:t>
              </w:r>
            </w:hyperlink>
            <w:r>
              <w:rPr>
                <w:rFonts w:ascii="Arial" w:cs="Arial" w:eastAsia="Arial" w:hAnsi="Arial"/>
                <w:sz w:val="18"/>
                <w:szCs w:val="18"/>
                <w:color w:val="auto"/>
              </w:rPr>
              <w:t>” beginning on page S-14 of this prospectus supplement for a</w:t>
            </w:r>
          </w:p>
        </w:tc>
      </w:tr>
      <w:tr>
        <w:trPr>
          <w:trHeight w:val="202"/>
        </w:trPr>
        <w:tc>
          <w:tcPr>
            <w:tcW w:w="3940" w:type="dxa"/>
            <w:vAlign w:val="bottom"/>
          </w:tcPr>
          <w:p>
            <w:pPr>
              <w:spacing w:after="0"/>
              <w:rPr>
                <w:sz w:val="17"/>
                <w:szCs w:val="17"/>
                <w:color w:val="auto"/>
              </w:rPr>
            </w:pPr>
          </w:p>
        </w:tc>
        <w:tc>
          <w:tcPr>
            <w:tcW w:w="6600" w:type="dxa"/>
            <w:vAlign w:val="bottom"/>
            <w:gridSpan w:val="6"/>
          </w:tcPr>
          <w:p>
            <w:pPr>
              <w:spacing w:after="0" w:line="202" w:lineRule="exact"/>
              <w:rPr>
                <w:sz w:val="20"/>
                <w:szCs w:val="20"/>
                <w:color w:val="auto"/>
              </w:rPr>
            </w:pPr>
            <w:r>
              <w:rPr>
                <w:rFonts w:ascii="Arial" w:cs="Arial" w:eastAsia="Arial" w:hAnsi="Arial"/>
                <w:sz w:val="18"/>
                <w:szCs w:val="18"/>
                <w:color w:val="auto"/>
              </w:rPr>
              <w:t>discussion of factors that make an investment in our common stock speculative or</w:t>
            </w:r>
          </w:p>
        </w:tc>
      </w:tr>
      <w:tr>
        <w:trPr>
          <w:trHeight w:val="243"/>
        </w:trPr>
        <w:tc>
          <w:tcPr>
            <w:tcW w:w="394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risky.</w:t>
            </w:r>
          </w:p>
        </w:tc>
        <w:tc>
          <w:tcPr>
            <w:tcW w:w="2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Nasdaq Global Select Market symbol</w:t>
            </w:r>
          </w:p>
        </w:tc>
        <w:tc>
          <w:tcPr>
            <w:tcW w:w="6600" w:type="dxa"/>
            <w:vAlign w:val="bottom"/>
            <w:gridSpan w:val="6"/>
          </w:tcPr>
          <w:p>
            <w:pPr>
              <w:spacing w:after="0"/>
              <w:rPr>
                <w:sz w:val="20"/>
                <w:szCs w:val="20"/>
                <w:color w:val="auto"/>
              </w:rPr>
            </w:pPr>
            <w:r>
              <w:rPr>
                <w:rFonts w:ascii="Arial" w:cs="Arial" w:eastAsia="Arial" w:hAnsi="Arial"/>
                <w:sz w:val="18"/>
                <w:szCs w:val="18"/>
                <w:color w:val="auto"/>
                <w:w w:val="99"/>
              </w:rPr>
              <w:t>Our common stock is listed on The Nasdaq Global Select Market under the symbol</w:t>
            </w:r>
          </w:p>
        </w:tc>
      </w:tr>
      <w:tr>
        <w:trPr>
          <w:trHeight w:val="243"/>
        </w:trPr>
        <w:tc>
          <w:tcPr>
            <w:tcW w:w="394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“NGM.”</w:t>
            </w:r>
          </w:p>
        </w:tc>
        <w:tc>
          <w:tcPr>
            <w:tcW w:w="2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28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Outstanding Shares</w:t>
      </w:r>
    </w:p>
    <w:p>
      <w:pPr>
        <w:spacing w:after="0" w:line="214" w:lineRule="exact"/>
        <w:rPr>
          <w:sz w:val="20"/>
          <w:szCs w:val="20"/>
          <w:color w:val="auto"/>
        </w:rPr>
      </w:pPr>
    </w:p>
    <w:p>
      <w:pPr>
        <w:ind w:left="300" w:right="540" w:firstLine="532"/>
        <w:spacing w:after="0" w:line="276" w:lineRule="auto"/>
        <w:rPr>
          <w:sz w:val="20"/>
          <w:szCs w:val="20"/>
          <w:color w:val="auto"/>
        </w:rPr>
      </w:pPr>
      <w:r>
        <w:rPr>
          <w:rFonts w:ascii="Arial" w:cs="Arial" w:eastAsia="Arial" w:hAnsi="Arial"/>
          <w:sz w:val="18"/>
          <w:szCs w:val="18"/>
          <w:color w:val="auto"/>
        </w:rPr>
        <w:t>The number of shares of our common stock to be outstanding after this offering as stated above is based on 68,934,767 shares of our common stock outstanding as of September 30, 2020, and excludes as of that date:</w:t>
      </w:r>
    </w:p>
    <w:p>
      <w:pPr>
        <w:spacing w:after="0" w:line="50" w:lineRule="exact"/>
        <w:rPr>
          <w:sz w:val="20"/>
          <w:szCs w:val="20"/>
          <w:color w:val="auto"/>
        </w:rPr>
      </w:pPr>
    </w:p>
    <w:p>
      <w:pPr>
        <w:ind w:left="1020" w:right="22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10,651,475 shares of our common stock issuable upon the exercise of outstanding stock options with a weighted-average exercise price of $10.03 per share;</w:t>
      </w:r>
    </w:p>
    <w:p>
      <w:pPr>
        <w:spacing w:after="0" w:line="50" w:lineRule="exact"/>
        <w:rPr>
          <w:rFonts w:ascii="Arial" w:cs="Arial" w:eastAsia="Arial" w:hAnsi="Arial"/>
          <w:sz w:val="18"/>
          <w:szCs w:val="18"/>
          <w:color w:val="auto"/>
        </w:rPr>
      </w:pPr>
    </w:p>
    <w:p>
      <w:pPr>
        <w:ind w:left="1020" w:right="6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6,309,573 shares of our common stock available for issuance or future grant under our Amended and Restated 2018 Equity Incentive Plan, or EIP;</w:t>
      </w:r>
    </w:p>
    <w:p>
      <w:pPr>
        <w:spacing w:after="0" w:line="50"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788,120 shares of our common stock available for issuance under our 2019 Employee Stock Purchase Plan, or ESPP; and</w:t>
      </w:r>
    </w:p>
    <w:p>
      <w:pPr>
        <w:spacing w:after="0" w:line="117" w:lineRule="exact"/>
        <w:rPr>
          <w:rFonts w:ascii="Arial" w:cs="Arial" w:eastAsia="Arial" w:hAnsi="Arial"/>
          <w:sz w:val="18"/>
          <w:szCs w:val="18"/>
          <w:color w:val="auto"/>
        </w:rPr>
      </w:pPr>
    </w:p>
    <w:p>
      <w:pPr>
        <w:ind w:left="1020" w:right="8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21,930 shares of our common stock reserved for future issuance under our NGM Biopharmaceuticals Matching Plan, or the Matching Plan.</w:t>
      </w:r>
    </w:p>
    <w:p>
      <w:pPr>
        <w:spacing w:after="0" w:line="145" w:lineRule="exact"/>
        <w:rPr>
          <w:sz w:val="20"/>
          <w:szCs w:val="20"/>
          <w:color w:val="auto"/>
        </w:rPr>
      </w:pPr>
    </w:p>
    <w:p>
      <w:pPr>
        <w:ind w:left="300" w:right="20" w:firstLine="532"/>
        <w:spacing w:after="0" w:line="248" w:lineRule="auto"/>
        <w:rPr>
          <w:sz w:val="20"/>
          <w:szCs w:val="20"/>
          <w:color w:val="auto"/>
        </w:rPr>
      </w:pPr>
      <w:r>
        <w:rPr>
          <w:rFonts w:ascii="Arial" w:cs="Arial" w:eastAsia="Arial" w:hAnsi="Arial"/>
          <w:sz w:val="18"/>
          <w:szCs w:val="18"/>
          <w:color w:val="auto"/>
        </w:rPr>
        <w:t>The number of shares of common stock to be outstanding immediately following this offering does not reflect any automatic (or other) increases in the number of shares of common stock reserved for future issuance under the EIP, the ESPP or the Matching Plan, including the 2,823,565 shares of common stock automatically added to the EIP on January 1, 2021 in accordance with the terms of the EIP. In addition, the number of shares of common stock to be outstanding immediately following this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900"/>
          </w:cols>
          <w:pgMar w:left="320" w:top="455" w:right="67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452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14528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0"/>
        <w:spacing w:after="0" w:line="243" w:lineRule="auto"/>
        <w:rPr>
          <w:sz w:val="20"/>
          <w:szCs w:val="20"/>
          <w:color w:val="auto"/>
        </w:rPr>
      </w:pPr>
      <w:r>
        <w:rPr>
          <w:rFonts w:ascii="Arial" w:cs="Arial" w:eastAsia="Arial" w:hAnsi="Arial"/>
          <w:sz w:val="18"/>
          <w:szCs w:val="18"/>
          <w:color w:val="auto"/>
        </w:rPr>
        <w:t>offering as shown above also does not include up to $150.0 million of our common stock that remained available for sale at September 30, 2020 under our Open Market Sale Agreement</w:t>
      </w:r>
      <w:r>
        <w:rPr>
          <w:rFonts w:ascii="Arial" w:cs="Arial" w:eastAsia="Arial" w:hAnsi="Arial"/>
          <w:sz w:val="15"/>
          <w:szCs w:val="15"/>
          <w:color w:val="auto"/>
        </w:rPr>
        <w:t>SM</w:t>
      </w:r>
      <w:r>
        <w:rPr>
          <w:rFonts w:ascii="Arial" w:cs="Arial" w:eastAsia="Arial" w:hAnsi="Arial"/>
          <w:sz w:val="18"/>
          <w:szCs w:val="18"/>
          <w:color w:val="auto"/>
        </w:rPr>
        <w:t>, dated June 5, 2020, with Jefferies LLC, as agent, or the Sales Agreement. Between September 30, 2020 and the date of this prospectus supplement, 809,700 shares were sold under the Sales Agreement at an average price of $27.94 per share for net proceeds of $21.9 million, after deducting sales commissions. As of the date of this prospectus supplement, $127.4 million of common stock remained available to be sold under the Sales Agreement, subject to certain conditions as specified in the Sales Agreement.</w:t>
      </w:r>
    </w:p>
    <w:p>
      <w:pPr>
        <w:spacing w:after="0" w:line="174" w:lineRule="exact"/>
        <w:rPr>
          <w:sz w:val="20"/>
          <w:szCs w:val="20"/>
          <w:color w:val="auto"/>
        </w:rPr>
      </w:pPr>
    </w:p>
    <w:p>
      <w:pPr>
        <w:ind w:left="300" w:firstLine="532"/>
        <w:spacing w:after="0" w:line="276" w:lineRule="auto"/>
        <w:rPr>
          <w:sz w:val="20"/>
          <w:szCs w:val="20"/>
          <w:color w:val="auto"/>
        </w:rPr>
      </w:pPr>
      <w:r>
        <w:rPr>
          <w:rFonts w:ascii="Arial" w:cs="Arial" w:eastAsia="Arial" w:hAnsi="Arial"/>
          <w:sz w:val="18"/>
          <w:szCs w:val="18"/>
          <w:color w:val="auto"/>
        </w:rPr>
        <w:t>Unless otherwise indicated, all information in this prospectus supplement assumes no exercise of the underwriters’ option to purchase additional shares of common stock from us.</w:t>
      </w:r>
    </w:p>
    <w:p>
      <w:pPr>
        <w:spacing w:after="0" w:line="200" w:lineRule="exact"/>
        <w:rPr>
          <w:sz w:val="20"/>
          <w:szCs w:val="20"/>
          <w:color w:val="auto"/>
        </w:rPr>
      </w:pPr>
    </w:p>
    <w:p>
      <w:pPr>
        <w:spacing w:after="0" w:line="37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0680"/>
          </w:cols>
          <w:pgMar w:left="320" w:top="455" w:right="8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together with all the other information included or incorporated by reference in this prospectus supplement and the accompanying prospectus and in any free writing prospectus that we may authorize for use in connection with this offering. The risks described below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w:t>
      </w: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Financial Results and Capital Needs</w:t>
      </w:r>
    </w:p>
    <w:p>
      <w:pPr>
        <w:spacing w:after="0" w:line="214" w:lineRule="exact"/>
        <w:rPr>
          <w:sz w:val="20"/>
          <w:szCs w:val="20"/>
          <w:color w:val="auto"/>
        </w:rPr>
      </w:pPr>
    </w:p>
    <w:p>
      <w:pPr>
        <w:ind w:left="120" w:right="20"/>
        <w:spacing w:after="0" w:line="285"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expect to incur significant and increasing operating losses and may never be profitable. Our stock is a highly speculative investment.</w:t>
      </w:r>
    </w:p>
    <w:p>
      <w:pPr>
        <w:spacing w:after="0" w:line="2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are a biopharmaceutical company that was incorporated in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year since commencing operations. For the three and nine months ended September 30, 2020, our net losses were $ 29.8 million and $74.5 million, respectively, compared to net losses of $10.9 million and $26.9 million for the three and nine months ended September 30, 2019, respectively. As of September 30, 2020, we had an accumulated deficit of $270.6 million.</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will require substantial additional capital to achieve our development and commercialization goals for our aldafermin program that is being conducted outside of the Merck collaboration, for any future programs that Merck does not opt to license under the Collaboration Agreement and that we choose to develop, for any Merck-licensed programs that we opt to co-develop and for any programs that Merck chooses to license under the Collaboration Agreement and later elects to terminate. If our research and development expenses for product candidates subject to the Merck collaboration exceed the funding caps provided in our Collaboration Agreement, which happened in the fiscal year ended December 31, 2020 and could potentially happen in the future, we will be required to devote our own financial resources toward the development of such product candidates or pause or suspend such development to remain within the funding caps. We expect to incur substantial and increasing operating losses over the next several years as our research, development, manufacturing, preclinical studies, clinical trial and related activities increase. As a result, our accumulated deficit will also increase significantly. We may encounter unforeseen expenses, difficulties, complications, delays and other unknown factors that may adversely affect our business, including those resulting from the evolving effects of the COVID-19 pandemic. The size of our future net losses will depend, in part, on the rate of future growth of our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8" w:lineRule="auto"/>
        <w:rPr>
          <w:sz w:val="20"/>
          <w:szCs w:val="20"/>
          <w:color w:val="auto"/>
        </w:rPr>
      </w:pPr>
      <w:r>
        <w:rPr>
          <w:rFonts w:ascii="Arial" w:cs="Arial" w:eastAsia="Arial" w:hAnsi="Arial"/>
          <w:sz w:val="18"/>
          <w:szCs w:val="18"/>
          <w:color w:val="auto"/>
        </w:rPr>
        <w:t>expenses and our ability to continue to generate revenue under the Merck collaboration and to generate revenue outside of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 of our revenue for recent periods has been received from a single collaboration partner.</w:t>
      </w:r>
    </w:p>
    <w:p>
      <w:pPr>
        <w:spacing w:after="0" w:line="10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Since 2017, all of our revenue has been from our collaboration partner, Merck. Under the collaboration, Merck initially committed to reimburse us for research and development activities up to $50.0 million per year for at least five years. If our research and development expenses exceed $50.0 million in a given year and we are conducting IND-enabling or later-staged activities, Merck is required to elect either to reimburse up to an additional $25.0 million for use in funding IND-enabling or later-staged activities or to provide us with the equivalent value in in-kind services for preclinical and clinical development activities. In March 2019, Merck exercised its option to extend the initial five-year research and early development program, which we refer to as the research phase of the collaboration, for an additional two years through March 16, 2022. In connection with this extension, Merck agreed to continue to fund our research and development efforts during the extension at the same levels as existed during the five-year initial term and, in lieu of a $20.0 million extension fee that would have otherwise been payable to us, Merck agreed to make additional payments totaling up to $20.0 million in support of our research and development program activities under the collaboration across 2021 and the first quarter of 2022. Accordingly, the total Merck reimbursement for our research and development activities could reach up to $75.0 million per year through the current two-year extension of the research phase of the collaboration, plus up to $ 20.0 million in support of our research and development activities across 2021 and the first quarter of 2022. During the fiscal years ended December 31, 2019 and 2020, the total Merck reimbursement reached $75.0 million per year. Merck has the right to extend the research phase of the collaboration again through March 16, 2024. If our research and development expenses for product candidates subject to the Merck collaboration exceed the funding caps provided in our Collaboration Agreement, which happened in the fiscal year ended December 31, 2020 and could potentially happen in the future, we will be required to devote our own financial resources toward the development of such product candidates or pause or suspend such development to remain within the funding caps. For example, in 2020 we decided to suspend activities related to NGM386, NGM395 and NGM217 to concentrate our resources on our other Merck collaboration product candidates and aldafermin. In addition, if Merck elects not to exercise its remaining option to extend the research phase of the collaboration beyond March 16, 2022, which Merck may unilaterally elect to do at its sole discretion at any time before March 16, 2021, we would require significant additional capital in order to proceed with development and commercialization of any product candidates that had been subject to the Merck collaboration but Merck decides not to proceed with after termination of the research phase, or we will need to enter into additional collaboration or license agreements in order to fund such development and commercialization, which may not be possible, or we may be required to delay, scale back or discontinue development of such product candidates.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Our product candidates are in the early stages of development. To date, we have not generated any revenue from commercialization of our product candidates. We will not be able to generate product revenue unless and until one of our product candidates successfully completes clinical trials, receives regulatory approval and is successfully commercialized. As our product candidates are in Phase 2 trials or in earlier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455" w:right="4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Our ability to generate future product revenue from our current or future product candidates also depends on a number of additional factors, including our or our current collaborator’s and potential future collaborators’ ability to:</w:t>
      </w:r>
    </w:p>
    <w:p>
      <w:pPr>
        <w:spacing w:after="0" w:line="50" w:lineRule="exact"/>
        <w:rPr>
          <w:sz w:val="20"/>
          <w:szCs w:val="20"/>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117" w:lineRule="exact"/>
        <w:rPr>
          <w:rFonts w:ascii="Arial" w:cs="Arial" w:eastAsia="Arial" w:hAnsi="Arial"/>
          <w:sz w:val="18"/>
          <w:szCs w:val="18"/>
          <w:color w:val="auto"/>
        </w:rPr>
      </w:pPr>
    </w:p>
    <w:p>
      <w:pPr>
        <w:ind w:left="880" w:right="360" w:hanging="224"/>
        <w:spacing w:after="0" w:line="276"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scaled up and legally compliant manufacturing of bulk drug substances and drug products to maintain sufficient supply;</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marketing approval, if any, and, if launched independently by us without a collaborator, successfully establish a sales force and marketing and distribution infrastructure;</w:t>
      </w:r>
    </w:p>
    <w:p>
      <w:pPr>
        <w:spacing w:after="0" w:line="50"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demonstrate the necessary safety data (and, if accelerated approval is obtained, verify the clinical benefit) post-approval to ensure continued regulatory approval;</w:t>
      </w:r>
    </w:p>
    <w:p>
      <w:pPr>
        <w:spacing w:after="0" w:line="50"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 for any approved products;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12"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our product candidates may not advance through development or achieve applicable endpoints in clinical trials, we are unable to predict if or when we will achieve or maintain profitability. Even if we successfully complete development and regulatory processes, we anticipate incurring significant costs associated with launching and commercializing these products.</w:t>
      </w:r>
    </w:p>
    <w:p>
      <w:pPr>
        <w:spacing w:after="0" w:line="170"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Even if we generate revenue from the sale of any of our products that may be approved, we may not become profitable and may need to obtain additional funding to continue operations. If we fail to become profitable or do not sustain profitability on a continuing basis, we may be unable to continue our operations at planned levels and be forced to reduce or cease our operations.</w:t>
      </w:r>
    </w:p>
    <w:p>
      <w:pPr>
        <w:spacing w:after="0" w:line="272" w:lineRule="exact"/>
        <w:rPr>
          <w:sz w:val="20"/>
          <w:szCs w:val="20"/>
          <w:color w:val="auto"/>
        </w:rPr>
      </w:pPr>
    </w:p>
    <w:p>
      <w:pPr>
        <w:ind w:left="120" w:right="460"/>
        <w:spacing w:after="0" w:line="260" w:lineRule="auto"/>
        <w:rPr>
          <w:sz w:val="20"/>
          <w:szCs w:val="20"/>
          <w:color w:val="auto"/>
        </w:rPr>
      </w:pPr>
      <w:r>
        <w:rPr>
          <w:rFonts w:ascii="Arial" w:cs="Arial" w:eastAsia="Arial" w:hAnsi="Arial"/>
          <w:sz w:val="18"/>
          <w:szCs w:val="18"/>
          <w:b w:val="1"/>
          <w:bCs w:val="1"/>
          <w:i w:val="1"/>
          <w:iCs w:val="1"/>
          <w:color w:val="auto"/>
        </w:rPr>
        <w:t>We will require additional capital following this offering to finance our operations, which may not be available to us on acceptable terms, or at all. As a result, we may not complete the development and commercialization of our current product candidates or develop new product candidates.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As a research and development company, our operations have consumed substantial amounts of cash since inception and we will require additional capital following this offering to finance our operations and pursue our strategy, which may not be available to us on acceptable terms, or at all. We expect our research and development expenses to increase substantially in connection with our ongoing activities, particularly to the extent that product candidates whose costs are not included in the Merck collaboration, such as aldafermin, advance in clinical development. In addition, we may be required to develop and implement additional clinical study policies and procedures to mitigate the evolving effects of the COVID-19 pandemic, which could significantly increase our research and development expenses. We believe that the net proceeds from this offering, together with our existing cash, cash equivalents and short-term marketable securities, will be sufficient to fund our operations for at least the next twelve months. We plan to continue to fund our operations and pursue our strategy through the Sales Agreement or other public or private equity or debt financings, government or other</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40"/>
          </w:cols>
          <w:pgMar w:left="320" w:top="455"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48" w:lineRule="auto"/>
        <w:rPr>
          <w:sz w:val="20"/>
          <w:szCs w:val="20"/>
          <w:color w:val="auto"/>
        </w:rPr>
      </w:pPr>
      <w:r>
        <w:rPr>
          <w:rFonts w:ascii="Arial" w:cs="Arial" w:eastAsia="Arial" w:hAnsi="Arial"/>
          <w:sz w:val="18"/>
          <w:szCs w:val="18"/>
          <w:color w:val="auto"/>
        </w:rPr>
        <w:t>third-party funding, collaborations, strategic alliances, licensing arrangements or a combination of these. However,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elsewhere in this “Risk Factors” section.</w:t>
      </w:r>
    </w:p>
    <w:p>
      <w:pPr>
        <w:spacing w:after="0" w:line="170"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We have based this estimate on assumptions that may prove to be wrong, and we could utilize our available capital resources sooner than we currently expect.</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880" w:right="40" w:hanging="224"/>
        <w:spacing w:after="0" w:line="27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initiation, progress, timing, delays, costs and results of preclinical studies and clinical trials for our current product candidates and any future product candidates we may develop;</w:t>
      </w:r>
    </w:p>
    <w:p>
      <w:pPr>
        <w:spacing w:after="0" w:line="50"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our completion of proof-of-concept studies for each such candidate in humans;</w:t>
      </w:r>
    </w:p>
    <w:p>
      <w:pPr>
        <w:spacing w:after="0" w:line="50"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terminates the research phase of the collaboration under pre-specified circumstances set forth in the Collaboration Agreement or terminates a program that it has licensed (such as Merck’s termination of its license for NGM395 and NGM386);</w:t>
      </w:r>
    </w:p>
    <w:p>
      <w:pPr>
        <w:spacing w:after="0" w:line="69" w:lineRule="exact"/>
        <w:rPr>
          <w:rFonts w:ascii="Arial" w:cs="Arial" w:eastAsia="Arial" w:hAnsi="Arial"/>
          <w:sz w:val="18"/>
          <w:szCs w:val="18"/>
          <w:color w:val="auto"/>
        </w:rPr>
      </w:pPr>
    </w:p>
    <w:p>
      <w:pPr>
        <w:ind w:left="880" w:right="800" w:hanging="224"/>
        <w:spacing w:after="0" w:line="27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exercises its remaining option to extend the research phase of the collaboration, which would trigger an extension payment to us;</w:t>
      </w:r>
    </w:p>
    <w:p>
      <w:pPr>
        <w:spacing w:after="0" w:line="50" w:lineRule="exact"/>
        <w:rPr>
          <w:rFonts w:ascii="Arial" w:cs="Arial" w:eastAsia="Arial" w:hAnsi="Arial"/>
          <w:sz w:val="18"/>
          <w:szCs w:val="18"/>
          <w:color w:val="auto"/>
        </w:rPr>
      </w:pPr>
    </w:p>
    <w:p>
      <w:pPr>
        <w:ind w:left="880" w:right="360" w:hanging="224"/>
        <w:spacing w:after="0" w:line="245"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we exceed the funding caps provided in our Collaboration Agreement, which happened in the fiscal year ended December 31, 2020 and could potentially happen in the future, which would require us to devote our own financial resources toward the development of programs and product candidates subject to the Merck collaboration during the current two-year extension of the research phase (and during a second extension should Merck unilaterally determine to trigger a second extension) or delay, scale back or discontinue such development to remain within the funding caps;</w:t>
      </w:r>
    </w:p>
    <w:p>
      <w:pPr>
        <w:spacing w:after="0" w:line="77" w:lineRule="exact"/>
        <w:rPr>
          <w:rFonts w:ascii="Arial" w:cs="Arial" w:eastAsia="Arial" w:hAnsi="Arial"/>
          <w:sz w:val="18"/>
          <w:szCs w:val="18"/>
          <w:color w:val="auto"/>
        </w:rPr>
      </w:pPr>
    </w:p>
    <w:p>
      <w:pPr>
        <w:ind w:left="880" w:right="360" w:hanging="224"/>
        <w:spacing w:after="0" w:line="255"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to change their requirements on studies that had previously been agreed to;</w:t>
      </w:r>
    </w:p>
    <w:p>
      <w:pPr>
        <w:spacing w:after="0" w:line="69" w:lineRule="exact"/>
        <w:rPr>
          <w:rFonts w:ascii="Arial" w:cs="Arial" w:eastAsia="Arial" w:hAnsi="Arial"/>
          <w:sz w:val="18"/>
          <w:szCs w:val="18"/>
          <w:color w:val="auto"/>
        </w:rPr>
      </w:pPr>
    </w:p>
    <w:p>
      <w:pPr>
        <w:jc w:val="both"/>
        <w:ind w:left="880" w:right="140" w:hanging="224"/>
        <w:spacing w:after="0" w:line="255"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117"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117" w:lineRule="exact"/>
        <w:rPr>
          <w:rFonts w:ascii="Arial" w:cs="Arial" w:eastAsia="Arial" w:hAnsi="Arial"/>
          <w:sz w:val="18"/>
          <w:szCs w:val="18"/>
          <w:color w:val="auto"/>
        </w:rPr>
      </w:pPr>
    </w:p>
    <w:p>
      <w:pPr>
        <w:ind w:left="880" w:right="640" w:hanging="224"/>
        <w:spacing w:after="0" w:line="27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partners; and</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extent to which any of the foregoing costs are the responsibility of Merck.</w:t>
      </w:r>
    </w:p>
    <w:p>
      <w:pPr>
        <w:spacing w:after="0" w:line="320"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or intellectual property.</w:t>
      </w:r>
    </w:p>
    <w:p>
      <w:pPr>
        <w:spacing w:after="0" w:line="21"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color w:val="auto"/>
        </w:rPr>
        <w:t>Unless and until we can generate a sufficient amount of revenue from approved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unilaterally terminated by Merck under certain circumstances.</w:t>
      </w:r>
    </w:p>
    <w:p>
      <w:pPr>
        <w:spacing w:after="0" w:line="170"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We plan to finance our future cash needs through the Sales Agreement or other public or private equity or debt offerings, government or other third-party funding, product collaborations, strategic alliances, licensing arrangements or a combination of these. Additional capital may not be available in sufficient amounts, on reasonable terms or when we need it, if at all, including pursuant to the Sales Agreement, and our ability to raise additional capital may be adversely impacted by worsening global economic conditions and the disruptions to, and volatility in, the credit and financial markets in the United States and worldwide resulting from, among other things, the evolving effects of the COVID-19 pandemic. Our existing stockholders could suffer dilution or be negatively affected by fixed payment obligations we may incur if we raise additional funds through the issuance of additional equity securities or debt, including equity securities already sold and that may in the future be sold pursuant to the Sales Agreement.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176" w:lineRule="exact"/>
        <w:rPr>
          <w:sz w:val="20"/>
          <w:szCs w:val="20"/>
          <w:color w:val="auto"/>
        </w:rPr>
      </w:pPr>
    </w:p>
    <w:p>
      <w:pPr>
        <w:jc w:val="both"/>
        <w:ind w:left="120" w:right="40" w:firstLine="551"/>
        <w:spacing w:after="0" w:line="255" w:lineRule="auto"/>
        <w:rPr>
          <w:sz w:val="20"/>
          <w:szCs w:val="20"/>
          <w:color w:val="auto"/>
        </w:rPr>
      </w:pPr>
      <w:r>
        <w:rPr>
          <w:rFonts w:ascii="Arial" w:cs="Arial" w:eastAsia="Arial" w:hAnsi="Arial"/>
          <w:sz w:val="18"/>
          <w:szCs w:val="18"/>
          <w:color w:val="auto"/>
        </w:rPr>
        <w:t>If we are unable to raise adequate additional capital, including pursuant to the Sales Agreement, we may not be able to expand our operations or otherwise capitalize on our business opportunities, our business and financial condition will be negatively impacted, and we may need to:</w:t>
      </w:r>
    </w:p>
    <w:p>
      <w:pPr>
        <w:spacing w:after="0" w:line="69" w:lineRule="exact"/>
        <w:rPr>
          <w:sz w:val="20"/>
          <w:szCs w:val="20"/>
          <w:color w:val="auto"/>
        </w:rPr>
      </w:pPr>
    </w:p>
    <w:p>
      <w:pPr>
        <w:ind w:left="880" w:right="300" w:hanging="224"/>
        <w:spacing w:after="0" w:line="276"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operations altogether;</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at an earlier stage than we would otherwise desire or on terms less favorable than might otherwise be available; or</w:t>
      </w:r>
    </w:p>
    <w:p>
      <w:pPr>
        <w:spacing w:after="0" w:line="50" w:lineRule="exact"/>
        <w:rPr>
          <w:rFonts w:ascii="Arial" w:cs="Arial" w:eastAsia="Arial" w:hAnsi="Arial"/>
          <w:sz w:val="18"/>
          <w:szCs w:val="18"/>
          <w:color w:val="auto"/>
        </w:rPr>
      </w:pPr>
    </w:p>
    <w:p>
      <w:pPr>
        <w:ind w:left="880" w:right="340" w:hanging="224"/>
        <w:spacing w:after="0" w:line="255"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product collaborations that would generally require us to relinquish, or license on potentially unfavorable terms, our rights to intellectual property, product candidates or products that we otherwise would seek to develop or commercialize ourselves, and we may not be able to enter into such agreements on acceptable terms, if at all.</w:t>
      </w:r>
    </w:p>
    <w:p>
      <w:pPr>
        <w:spacing w:after="0" w:line="164" w:lineRule="exact"/>
        <w:rPr>
          <w:sz w:val="20"/>
          <w:szCs w:val="20"/>
          <w:color w:val="auto"/>
        </w:rPr>
      </w:pPr>
    </w:p>
    <w:p>
      <w:pPr>
        <w:ind w:left="120" w:right="940" w:firstLine="551"/>
        <w:spacing w:after="0" w:line="276" w:lineRule="auto"/>
        <w:rPr>
          <w:sz w:val="20"/>
          <w:szCs w:val="20"/>
          <w:color w:val="auto"/>
        </w:rPr>
      </w:pPr>
      <w:r>
        <w:rPr>
          <w:rFonts w:ascii="Arial" w:cs="Arial" w:eastAsia="Arial" w:hAnsi="Arial"/>
          <w:sz w:val="18"/>
          <w:szCs w:val="18"/>
          <w:color w:val="auto"/>
        </w:rPr>
        <w:t>Accordingly, if we are unable to raise adequate additional capital, we may be prevented from pursuing development and commercialization efforts, which will have a material adverse effect on our business, operating results and prospects.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net operating loss carryforwards to offset taxable income could be limited.</w:t>
      </w:r>
    </w:p>
    <w:p>
      <w:pPr>
        <w:spacing w:after="0" w:line="104" w:lineRule="exact"/>
        <w:rPr>
          <w:sz w:val="20"/>
          <w:szCs w:val="20"/>
          <w:color w:val="auto"/>
        </w:rPr>
      </w:pPr>
    </w:p>
    <w:p>
      <w:pPr>
        <w:ind w:left="120" w:right="200" w:firstLine="551"/>
        <w:spacing w:after="0" w:line="277" w:lineRule="auto"/>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including corporate collaborations. To the extent that our taxable income exceeds any current year operating losses, we plan to use our net operating loss carryforwards to offset income that would otherwise be taxable. Our net operating loss carryforwards generated in tax</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years ending on or prior to December 31, 2017 are only permitted to be carried forward for 20 years under applicable U.S. tax law. Under the Tax Cuts and Jobs Act, or the 2017 Tax Act, as modified by the Coronavirus Aid, Relief and Economic Security Act, or the CARES Act, our federal net operating losses generated in tax years beginning after December 31, 2017 may be carried forward indefinitely, but the deductibility of such federal net operating losses generated in tax years beginning after December 31, 2020, is limited to 80% of taxable income. It is uncertain if and to what extent various states will conform to the 2017 Tax Act or the CARES Act.</w:t>
      </w:r>
    </w:p>
    <w:p>
      <w:pPr>
        <w:spacing w:after="0" w:line="172" w:lineRule="exact"/>
        <w:rPr>
          <w:sz w:val="20"/>
          <w:szCs w:val="20"/>
          <w:color w:val="auto"/>
        </w:rPr>
      </w:pPr>
    </w:p>
    <w:p>
      <w:pPr>
        <w:jc w:val="both"/>
        <w:ind w:left="120" w:right="20" w:firstLine="551"/>
        <w:spacing w:after="0" w:line="257" w:lineRule="auto"/>
        <w:rPr>
          <w:sz w:val="20"/>
          <w:szCs w:val="20"/>
          <w:color w:val="auto"/>
        </w:rPr>
      </w:pPr>
      <w:r>
        <w:rPr>
          <w:rFonts w:ascii="Arial" w:cs="Arial" w:eastAsia="Arial" w:hAnsi="Arial"/>
          <w:sz w:val="17"/>
          <w:szCs w:val="17"/>
          <w:color w:val="auto"/>
        </w:rPr>
        <w:t>In addition, under Section 382 of the U.S. Internal Revenue Code of 1986, as amended, or the Code, and corresponding provisions of state law, if we experience an “ownership change,” generally defined as a greater than 50% change, by value, in equity ownership over a three-year period, our ability to use our pre-change net operating loss carryforwards to offset our post-change income may be limited.</w:t>
      </w:r>
    </w:p>
    <w:p>
      <w:pPr>
        <w:spacing w:after="0" w:line="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Due to our initial public offering, or the IPO, and subsequent shifts in our stock ownership, we have experienced ownership changes in the past and may experience ownership changes in the future as a result of this offering and other subsequent shifts in our stock ownership, some of which are outside our control. As a result, our use of federal net operating loss carryforwards could be limited. State net operating loss carryforwards may be similarly limited. In addition, at the state level, there may be periods during which the use of net operating losses is suspended or otherwise limited, which could accelerate or permanently increase state taxes owed. Any such limitations may result in greater tax liabilities than we would incur in the absence of such limitations and any increased liabilities could adversely affect our business, results of operations, financial position and cash flows.</w:t>
      </w: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4" w:lineRule="exact"/>
        <w:rPr>
          <w:sz w:val="20"/>
          <w:szCs w:val="20"/>
          <w:color w:val="auto"/>
        </w:rPr>
      </w:pPr>
    </w:p>
    <w:p>
      <w:pPr>
        <w:ind w:left="120" w:right="60"/>
        <w:spacing w:after="0" w:line="285"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before seeking regulatory approvals, which could delay or prevent commercialization of our product candidates.</w:t>
      </w:r>
    </w:p>
    <w:p>
      <w:pPr>
        <w:spacing w:after="0" w:line="21"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All of our product candidates will be subject to rigorous and extensive clinical trials before we can seek regulatory approval from the FDA and comparable foreign regulatory authorities. Clinical trials may be delayed, suspended or terminated at any time for reasons including:</w:t>
      </w:r>
    </w:p>
    <w:p>
      <w:pPr>
        <w:spacing w:after="0" w:line="69" w:lineRule="exact"/>
        <w:rPr>
          <w:sz w:val="20"/>
          <w:szCs w:val="20"/>
          <w:color w:val="auto"/>
        </w:rPr>
      </w:pPr>
    </w:p>
    <w:p>
      <w:pPr>
        <w:ind w:left="880" w:right="80" w:hanging="224"/>
        <w:spacing w:after="0" w:line="27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 including discussions with the FDA regarding initiation of our planned Phase 3 trial of aldafermin;</w:t>
      </w:r>
    </w:p>
    <w:p>
      <w:pPr>
        <w:spacing w:after="0" w:line="50"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IRBs or other governing entities at clinical trial sites selected for participation in our clinical trials;</w:t>
      </w:r>
    </w:p>
    <w:p>
      <w:pPr>
        <w:spacing w:after="0" w:line="50"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enrolling participants into clinical trials, such as the slower pace of enrollment we have experienced, from time to time, in our ALPINE 4 and CATALINA trials, including as a result of the evolving effects of the COVID-19 pandemic;</w:t>
      </w:r>
    </w:p>
    <w:p>
      <w:pPr>
        <w:spacing w:after="0" w:line="50" w:lineRule="exact"/>
        <w:rPr>
          <w:rFonts w:ascii="Arial" w:cs="Arial" w:eastAsia="Arial" w:hAnsi="Arial"/>
          <w:sz w:val="18"/>
          <w:szCs w:val="18"/>
          <w:color w:val="auto"/>
        </w:rPr>
      </w:pPr>
    </w:p>
    <w:p>
      <w:pPr>
        <w:ind w:left="880" w:right="200" w:hanging="224"/>
        <w:spacing w:after="0" w:line="306"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delays in key trial activities and patient enrollment or diversion of healthcare resources as a result of the evolving effects of the COVID-19 pandemic, such as the slower pace of clinical trial site initiation in our ALPINE 4, CATALINA and NGM120 trials;</w:t>
      </w:r>
    </w:p>
    <w:p>
      <w:pPr>
        <w:spacing w:after="0" w:line="28" w:lineRule="exact"/>
        <w:rPr>
          <w:rFonts w:ascii="Arial" w:cs="Arial" w:eastAsia="Arial" w:hAnsi="Arial"/>
          <w:sz w:val="17"/>
          <w:szCs w:val="17"/>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w:t>
      </w:r>
    </w:p>
    <w:p>
      <w:pPr>
        <w:spacing w:after="0" w:line="117" w:lineRule="exact"/>
        <w:rPr>
          <w:rFonts w:ascii="Arial" w:cs="Arial" w:eastAsia="Arial" w:hAnsi="Arial"/>
          <w:sz w:val="18"/>
          <w:szCs w:val="18"/>
          <w:color w:val="auto"/>
        </w:rPr>
      </w:pPr>
    </w:p>
    <w:p>
      <w:pPr>
        <w:ind w:left="880" w:hanging="224"/>
        <w:spacing w:after="0" w:line="248"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authorities with respect to approval pathways for product candidates we are pursuing, such as draft guidance documents from the FDA for the development of products for the treatment of NASH that issued in 2018 and 2019 and from the European Medicines Agency, or EMA, that issued in 2018;</w:t>
      </w:r>
    </w:p>
    <w:p>
      <w:pPr>
        <w:spacing w:after="0" w:line="75" w:lineRule="exact"/>
        <w:rPr>
          <w:rFonts w:ascii="Arial" w:cs="Arial" w:eastAsia="Arial" w:hAnsi="Arial"/>
          <w:sz w:val="18"/>
          <w:szCs w:val="18"/>
          <w:color w:val="auto"/>
        </w:rPr>
      </w:pPr>
    </w:p>
    <w:p>
      <w:pPr>
        <w:ind w:left="880" w:right="320" w:hanging="224"/>
        <w:spacing w:after="0" w:line="27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 by the FDA or comparable foreign authorities;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00"/>
          </w:cols>
          <w:pgMar w:left="320" w:top="455"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360" w:hanging="224"/>
        <w:spacing w:after="0" w:line="27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supply or deficient quality of drug substance, drug product or other clinical trial material necessary to conduct our clinical trials;</w:t>
      </w:r>
    </w:p>
    <w:p>
      <w:pPr>
        <w:spacing w:after="0" w:line="50"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FDA or comparable foreign authority inspection and review of a clinical trial site or records of any clinical or preclinical investigation;</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serious and unexpected drug-related adverse effects experienced by participants in our clinical trials;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12"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limited experience in conducting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 will be safe or effective. Additional clinical trials may be required if clinical trial results are negative or inconclusive, which will require us to incur additional costs and significant delays. If we do not successfully conduct clinical trials supporting the necessary regulatory approvals, we will not be able to generate product revenue and may not become profitable.</w:t>
      </w:r>
    </w:p>
    <w:p>
      <w:pPr>
        <w:spacing w:after="0" w:line="282" w:lineRule="exact"/>
        <w:rPr>
          <w:sz w:val="20"/>
          <w:szCs w:val="20"/>
          <w:color w:val="auto"/>
        </w:rPr>
      </w:pPr>
    </w:p>
    <w:p>
      <w:pPr>
        <w:jc w:val="both"/>
        <w:ind w:left="120" w:right="200"/>
        <w:spacing w:after="0" w:line="260"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43"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or our collaborators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A failure of one or more clinical trials can occur at any stage of testing.</w:t>
      </w:r>
    </w:p>
    <w:p>
      <w:pPr>
        <w:spacing w:after="0" w:line="170" w:lineRule="exact"/>
        <w:rPr>
          <w:sz w:val="20"/>
          <w:szCs w:val="20"/>
          <w:color w:val="auto"/>
        </w:rPr>
      </w:pPr>
    </w:p>
    <w:p>
      <w:pPr>
        <w:ind w:left="120" w:right="60" w:firstLine="551"/>
        <w:spacing w:after="0" w:line="256" w:lineRule="auto"/>
        <w:rPr>
          <w:sz w:val="20"/>
          <w:szCs w:val="20"/>
          <w:color w:val="auto"/>
        </w:rPr>
      </w:pPr>
      <w:r>
        <w:rPr>
          <w:rFonts w:ascii="Arial" w:cs="Arial" w:eastAsia="Arial" w:hAnsi="Arial"/>
          <w:sz w:val="17"/>
          <w:szCs w:val="17"/>
          <w:color w:val="auto"/>
        </w:rPr>
        <w:t>To date, the data supporting our drug discovery and development programs are derived from laboratory and preclinical studies and earlier-stage clinical trials. Despite the results reported in our Phase 1 and 2 clinical trials for aldafermin, in Phase 1 clinical trials for MK-3655 (NGM313), NGM621 and NGM120 and in preclinical studies for our other product candidates, including NGM707 and NGM438, future clinical trials in humans may show that one or more of our product candidates are not safe and effective, in which event we may need to abandon development of such product candidates. It is impossible to predict when or if any of our product candidates will prove safe and effective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168"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45" w:lineRule="auto"/>
        <w:rPr>
          <w:sz w:val="20"/>
          <w:szCs w:val="20"/>
          <w:color w:val="auto"/>
        </w:rPr>
      </w:pPr>
      <w:r>
        <w:rPr>
          <w:rFonts w:ascii="Arial" w:cs="Arial" w:eastAsia="Arial" w:hAnsi="Arial"/>
          <w:sz w:val="18"/>
          <w:szCs w:val="18"/>
          <w:color w:val="auto"/>
        </w:rPr>
        <w:t>comply, we may not be able to generate clinical data in our trials acceptable to the FDA or foreign regulatory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172" w:lineRule="exact"/>
        <w:rPr>
          <w:sz w:val="20"/>
          <w:szCs w:val="20"/>
          <w:color w:val="auto"/>
        </w:rPr>
      </w:pPr>
    </w:p>
    <w:p>
      <w:pPr>
        <w:ind w:left="120" w:right="620" w:firstLine="551"/>
        <w:spacing w:after="0" w:line="276" w:lineRule="auto"/>
        <w:rPr>
          <w:sz w:val="20"/>
          <w:szCs w:val="20"/>
          <w:color w:val="auto"/>
        </w:rPr>
      </w:pPr>
      <w:r>
        <w:rPr>
          <w:rFonts w:ascii="Arial" w:cs="Arial" w:eastAsia="Arial" w:hAnsi="Arial"/>
          <w:sz w:val="18"/>
          <w:szCs w:val="18"/>
          <w:color w:val="auto"/>
        </w:rPr>
        <w:t>If we are unable to successfully discover, develop or enable our collaborators to develop drugs that are effective and safe in humans, we will not have a viable business.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Success in preclinical studies and earlier-stage clinical trials does not ensure that later clinical trials will generate the same results or otherwise provide adequate data to demonstrate the effectiveness and safety of our product candidates. Similarly, preliminary data and interim results from clinical trials may not be predictive of final results. Frequently, product candidates that have shown promising results in early clinical trials have subsequently suffered significant setbacks in later clinical trials. For example, the results we obtained in our Phase 1 trials of aldafermin and in our completed Phase 2 trial, including the data from the fourth and final 24-week expansion cohort of that trial in patients with fibrosis stage F2 or F3 NASH, may not be indicative of the future results we obtain from our ongoing ALPINE 2/3 and ALPINE 4 trials and any Phase 3 trial.</w:t>
      </w:r>
    </w:p>
    <w:p>
      <w:pPr>
        <w:spacing w:after="0" w:line="179"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Some of our clinical trials involve small patient populations, sometimes at single sites, and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spacing w:after="0" w:line="172"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 studies and earlier-stage clinical trials. Similarly, the outcome of preclinical studies may not predict the success of clinical trials. Moreover, data obtained from preclinical and clinical activities are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87" w:lineRule="exact"/>
        <w:rPr>
          <w:sz w:val="20"/>
          <w:szCs w:val="20"/>
          <w:color w:val="auto"/>
        </w:rPr>
      </w:pPr>
    </w:p>
    <w:p>
      <w:pPr>
        <w:ind w:left="120" w:right="160"/>
        <w:spacing w:after="0" w:line="285" w:lineRule="auto"/>
        <w:rPr>
          <w:sz w:val="20"/>
          <w:szCs w:val="20"/>
          <w:color w:val="auto"/>
        </w:rPr>
      </w:pPr>
      <w:r>
        <w:rPr>
          <w:rFonts w:ascii="Arial" w:cs="Arial" w:eastAsia="Arial" w:hAnsi="Arial"/>
          <w:sz w:val="18"/>
          <w:szCs w:val="18"/>
          <w:b w:val="1"/>
          <w:bCs w:val="1"/>
          <w:i w:val="1"/>
          <w:iCs w:val="1"/>
          <w:color w:val="auto"/>
        </w:rPr>
        <w:t>If we continue to experience delays in clinical testing, we will be delayed in commercializing our product candidates, our costs may increase and our business may be harmed.</w:t>
      </w:r>
    </w:p>
    <w:p>
      <w:pPr>
        <w:spacing w:after="0" w:line="21"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Conducting clinical trials for any of our product candidates for approval in the United States requires filing an IND application and reaching agreement with the FDA on clinical protocols, finding appropriate clinical trial sites and clinical investigators, securing approvals for such studies from the IRB for each such site, manufacturing clinical quantities of product candidates and supplying drug product to clinical trial sites. Currently, we have regulatory approval to conduct clinical trials in the United States for aldafermin for the treatment of NASH and primary biliary cholangitis, or PBC, for NGM621 for the treatment of GA secondary to AMD and for systemic administration and for NGM120</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00"/>
          </w:cols>
          <w:pgMar w:left="320" w:top="455" w:right="4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77" w:lineRule="auto"/>
        <w:rPr>
          <w:sz w:val="20"/>
          <w:szCs w:val="20"/>
          <w:color w:val="auto"/>
        </w:rPr>
      </w:pPr>
      <w:r>
        <w:rPr>
          <w:rFonts w:ascii="Arial" w:cs="Arial" w:eastAsia="Arial" w:hAnsi="Arial"/>
          <w:sz w:val="17"/>
          <w:szCs w:val="17"/>
          <w:color w:val="auto"/>
        </w:rPr>
        <w:t>for treatment of solid tumors and pancreatic cancer. We also have regulatory approval to conduct clinical trials in Australia for aldafermin for the treatment of NASH and for NGM395 for the treatment of metabolic syndrome. More recently, we obtained regulatory approval to conduct clinical trials in Germany, Spain, France, the United Kingdom, Belgium and Poland for aldafermin for the treatment of NASH.</w:t>
      </w:r>
    </w:p>
    <w:p>
      <w:pPr>
        <w:spacing w:after="0" w:line="14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For example, we have experienced, from time to time, a slower pace of clinical trial site initiation and enrollment than originally anticipated in certain of our clinical trials, including the ALPINE 4, CATALINA and NGM120 trials, as a result of the evolving effects of the COVID-19 pandemic, and if the evolving effects of the COVID-19 pandemic become more severe, we could experience significant disruptions to our clinical development timelines, which would adversely affect our business, financial condition, results of operations and growth prospects. In any event, we do not know whether any of our clinical trials will begin as planned, will need to be restructured or will be completed on schedule, or at all. 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Events that may result in a delay or failure to successfully complete clinical development include:</w:t>
      </w:r>
    </w:p>
    <w:p>
      <w:pPr>
        <w:spacing w:after="0" w:line="86" w:lineRule="exact"/>
        <w:rPr>
          <w:sz w:val="20"/>
          <w:szCs w:val="20"/>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17" w:lineRule="exact"/>
        <w:rPr>
          <w:rFonts w:ascii="Arial" w:cs="Arial" w:eastAsia="Arial" w:hAnsi="Arial"/>
          <w:sz w:val="18"/>
          <w:szCs w:val="18"/>
          <w:color w:val="auto"/>
        </w:rPr>
      </w:pPr>
    </w:p>
    <w:p>
      <w:pPr>
        <w:ind w:left="880" w:right="92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comments on ongoing clinical trials and potential regulatory holds imposed if such comments are not adequately addressed;</w:t>
      </w:r>
    </w:p>
    <w:p>
      <w:pPr>
        <w:spacing w:after="0" w:line="50"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117" w:lineRule="exact"/>
        <w:rPr>
          <w:rFonts w:ascii="Arial" w:cs="Arial" w:eastAsia="Arial" w:hAnsi="Arial"/>
          <w:sz w:val="18"/>
          <w:szCs w:val="18"/>
          <w:color w:val="auto"/>
        </w:rPr>
      </w:pPr>
    </w:p>
    <w:p>
      <w:pPr>
        <w:ind w:left="880" w:right="76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to clinical trial sites of the product candidates or other study materials;</w:t>
      </w:r>
    </w:p>
    <w:p>
      <w:pPr>
        <w:spacing w:after="0" w:line="50" w:lineRule="exact"/>
        <w:rPr>
          <w:rFonts w:ascii="Arial" w:cs="Arial" w:eastAsia="Arial" w:hAnsi="Arial"/>
          <w:sz w:val="18"/>
          <w:szCs w:val="18"/>
          <w:color w:val="auto"/>
        </w:rPr>
      </w:pPr>
    </w:p>
    <w:p>
      <w:pPr>
        <w:ind w:left="880" w:right="28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key trial activities, clinical trial site initiation and patient enrollment or diversion of healthcare resources as a result of the evolving effects of the COVID-19 pandemic;</w:t>
      </w:r>
    </w:p>
    <w:p>
      <w:pPr>
        <w:spacing w:after="0" w:line="50"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patient enrollment, such as the slower pace of enrollment we have experienced, from time to time, in our ALPINE 4 and CATALINA trials, including as a result of the evolving effects of the COVID-19 pandemic;</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117" w:lineRule="exact"/>
        <w:rPr>
          <w:rFonts w:ascii="Arial" w:cs="Arial" w:eastAsia="Arial" w:hAnsi="Arial"/>
          <w:sz w:val="18"/>
          <w:szCs w:val="18"/>
          <w:color w:val="auto"/>
        </w:rPr>
      </w:pPr>
    </w:p>
    <w:p>
      <w:pPr>
        <w:ind w:left="880" w:right="62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including due to side effects, disease progression or concerns about the COVID-19 pandemic;</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demonstration of a significant adverse safety or tolerability signal limiting the utility of the product candidate;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80" w:hanging="224"/>
        <w:spacing w:after="0" w:line="255"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authority recommendations or guidance regarding development of drugs for a particular indication that we are pursuing, such as draft guidance documents from the FDA for the development of NASH that issued in 2018 and 2019 and from the EMA that issued in 2018;</w:t>
      </w:r>
    </w:p>
    <w:p>
      <w:pPr>
        <w:spacing w:after="0" w:line="69"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12" w:lineRule="exact"/>
        <w:rPr>
          <w:sz w:val="20"/>
          <w:szCs w:val="20"/>
          <w:color w:val="auto"/>
        </w:rPr>
      </w:pPr>
    </w:p>
    <w:p>
      <w:pPr>
        <w:ind w:left="120" w:right="40" w:firstLine="551"/>
        <w:spacing w:after="0" w:line="276" w:lineRule="auto"/>
        <w:rPr>
          <w:sz w:val="20"/>
          <w:szCs w:val="20"/>
          <w:color w:val="auto"/>
        </w:rPr>
      </w:pPr>
      <w:r>
        <w:rPr>
          <w:rFonts w:ascii="Arial" w:cs="Arial" w:eastAsia="Arial" w:hAnsi="Arial"/>
          <w:sz w:val="18"/>
          <w:szCs w:val="18"/>
          <w:color w:val="auto"/>
        </w:rPr>
        <w:t>Our or our collaborators’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or our partners are unable to enroll patients in clinical trials, we will be unable to complete these trials on a timely basis.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and nature of the patient population we enroll;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location of clinical trial sites;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enrollment due to travel or quarantine policies, behaviors or other factors related to COVID-19;</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with other companies for clinical trial sites or patients;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117" w:lineRule="exact"/>
        <w:rPr>
          <w:rFonts w:ascii="Arial" w:cs="Arial" w:eastAsia="Arial" w:hAnsi="Arial"/>
          <w:sz w:val="18"/>
          <w:szCs w:val="18"/>
          <w:color w:val="auto"/>
        </w:rPr>
      </w:pPr>
    </w:p>
    <w:p>
      <w:pPr>
        <w:jc w:val="both"/>
        <w:ind w:left="880" w:right="480" w:hanging="224"/>
        <w:spacing w:after="0" w:line="306"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23"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In particular, there is significant competition for recruiting NASH patients in clinical trials. In the first quarter of 2020, we announced that enrollment in our ALPINE 2/3 clinical trial of aldafermin had been delayed beyond our initial projections. In addition, clinical trial enrollment generally continues to be affected by the effects of the COVID-19 pandemic, including in our ongoing ALPINE 4 and CATALINA trials, including due to delays in additional clinical trial site initiation, suspension of enrollment at clinical trial sites or patient reluctance to participate in a clinical trial during quarantines or shelter-in-place orders or otherwise, particularly in medically vulnerable patient populations. We or our partners may be unable to enroll the patients we need to complete clinical trials on a timely basis, or at all.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successfully identify, develop or commercialize our product candidates.</w:t>
      </w:r>
    </w:p>
    <w:p>
      <w:pPr>
        <w:spacing w:after="0" w:line="104"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Our research efforts may initially show promise in discovering potential new protein and antibody therapeutics, yet fail to yield product candidates for clinical development for a number of reasons, including:</w:t>
      </w:r>
    </w:p>
    <w:p>
      <w:pPr>
        <w:spacing w:after="0" w:line="69" w:lineRule="exact"/>
        <w:rPr>
          <w:sz w:val="20"/>
          <w:szCs w:val="20"/>
          <w:color w:val="auto"/>
        </w:rPr>
      </w:pPr>
    </w:p>
    <w:p>
      <w:pPr>
        <w:ind w:left="880" w:right="160" w:hanging="224"/>
        <w:spacing w:after="0" w:line="27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research methodology may not successfully identify medically relevant protein or antibody therapeutics or potential product candidates;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drug discovery efforts tend to identify and select novel, untested proteins in the particular disease indication we are pursuing, which we may fail to validate after further research work;</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need to rely on third parties to generate protein or antibody candidates for some of our product candidate programs;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cause adverse effects in patients or subjects, even after successful initial toxicology studies, which may make the product candidates unmarketable;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not demonstrate a meaningful benefit to patients or subjects; and</w:t>
      </w:r>
    </w:p>
    <w:p>
      <w:pPr>
        <w:spacing w:after="0" w:line="117" w:lineRule="exact"/>
        <w:rPr>
          <w:rFonts w:ascii="Arial" w:cs="Arial" w:eastAsia="Arial" w:hAnsi="Arial"/>
          <w:sz w:val="18"/>
          <w:szCs w:val="18"/>
          <w:color w:val="auto"/>
        </w:rPr>
      </w:pPr>
    </w:p>
    <w:p>
      <w:pPr>
        <w:ind w:left="880" w:right="780" w:hanging="224"/>
        <w:spacing w:after="0" w:line="27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partners may change their development profiles or plans for product candidates or abandon a therapeutic area, the development of a partnered product or the commercialization of any future approved partnered product.</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programs, which could have a material adverse effect on our business, operating results and prospects and could potentially cause us to cease operations. For example, we have suspended activities related to NGM386 and NGM217, and will be suspending activities related to NGM395 after the ongoing Phase 1 trial is completed, in all cases to concentrate our resources on our other product candidates. We may focus our efforts and resources on potential programs or product candidates that ultimately prove to be unsuccessful.</w:t>
      </w:r>
    </w:p>
    <w:p>
      <w:pPr>
        <w:spacing w:after="0" w:line="280"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 candidates and any future products.</w:t>
      </w:r>
    </w:p>
    <w:p>
      <w:pPr>
        <w:spacing w:after="0" w:line="21"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To date, aldafermin and our other product candidates have been manufactured by third-party manufacturers solely for preclinical studies and relatively small clinical trials. These manufacturers may not be able to scale production to the larger quantities required for large clinical trials and for commercialization. The process of manufacturing aldafermin and our other product candidates is complex, highly regulated and subject to several risks, including:</w:t>
      </w:r>
    </w:p>
    <w:p>
      <w:pPr>
        <w:spacing w:after="0" w:line="76" w:lineRule="exact"/>
        <w:rPr>
          <w:sz w:val="20"/>
          <w:szCs w:val="20"/>
          <w:color w:val="auto"/>
        </w:rPr>
      </w:pPr>
    </w:p>
    <w:p>
      <w:pPr>
        <w:ind w:left="880" w:right="40" w:hanging="224"/>
        <w:spacing w:after="0" w:line="24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79"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third-party manufacturer of a product candidate subject to our collaboration with Merck may fail to qualify upon an audit by Merck;</w:t>
      </w:r>
    </w:p>
    <w:p>
      <w:pPr>
        <w:spacing w:after="0" w:line="50"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financial difficulties of our contract</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5" w:right="4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300"/>
        <w:spacing w:after="0" w:line="276" w:lineRule="auto"/>
        <w:rPr>
          <w:sz w:val="20"/>
          <w:szCs w:val="20"/>
          <w:color w:val="auto"/>
        </w:rPr>
      </w:pPr>
      <w:r>
        <w:rPr>
          <w:rFonts w:ascii="Arial" w:cs="Arial" w:eastAsia="Arial" w:hAnsi="Arial"/>
          <w:sz w:val="18"/>
          <w:szCs w:val="18"/>
          <w:color w:val="auto"/>
        </w:rPr>
        <w:t>manufacturers, including as a result of the evolving effects of the COVID-19 pandemic, natural disasters, power failures, local political unrest and numerous other factors; and</w:t>
      </w:r>
    </w:p>
    <w:p>
      <w:pPr>
        <w:spacing w:after="0" w:line="50" w:lineRule="exact"/>
        <w:rPr>
          <w:sz w:val="20"/>
          <w:szCs w:val="20"/>
          <w:color w:val="auto"/>
        </w:rPr>
      </w:pPr>
    </w:p>
    <w:p>
      <w:pPr>
        <w:ind w:left="880" w:hanging="224"/>
        <w:spacing w:after="0" w:line="245"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or the scale up of manufacturing operations for our products may result in shipment delays, inventory shortages, lot failures, product withdrawals or recalls or other interruptions in the supply of our product candidates. We may also have to record inventory write-offs and incur other charges and expenses for product candidates or drug substances that fail to meet specifications, undertake costly remediation efforts or seek costlier manufacturing alternatives.</w:t>
      </w:r>
    </w:p>
    <w:p>
      <w:pPr>
        <w:spacing w:after="0" w:line="172"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also have a single source of supply for most of our product candidates, including the drug substances used in manufacturing them. Single sourcing minimizes our leverage with our contract manufacturers, who may take advantage of our reliance on them to increase the pricing of their manufacturing services. Single sourcing also imposes a risk of interruption in supply in the event of manufacturing, quality or compliance difficulties. If one of our suppliers fails or refuses to supply us for any reason, it would take a significant amount of time and cost to implement and execute the necessary technology transfer to, and to qualify, a new supplier. The FDA or comparable foreign regulatory authority must approve manufacturers of drug substance and drug product. If there are any delays in qualifying new suppliers or facilities or a new supplier is unable to meet the requirements of the FDA or comparable foreign regulatory authority for approval, there could be a shortage of drug substance or drug product for use in clinical trials with respect to the affected product candidates.</w:t>
      </w:r>
    </w:p>
    <w:p>
      <w:pPr>
        <w:spacing w:after="0" w:line="176"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addition, the operations of our third-party manufacturers may be requisitioned, diverted or allocated by U.S. or foreign government orders such as under emergency, disaster and civil defense declarations in connection with the COVID-19 pandemic or otherwise. As an example, President Trump has invoked the Defense Production Act pursuant to which the U.S. government may, among other things, require domestic industries to provide essential goods and services needed for the national defense, such as drug material or other supplies needed to treat COVID-19 patients or to produce or distribute vaccines, which could require our third-party manufacturers to allocate manufacturing capacity in a way that delays or interrupts our supply of clinical trial material.</w:t>
      </w:r>
    </w:p>
    <w:p>
      <w:pPr>
        <w:spacing w:after="0" w:line="174"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Specifically, we have entered into a Development and Manufacturing Services Agreement with Lonza Sales AG, or Lonza, for the production of Phase 3 and commercial supplies of the aldafermin drug substance. If Lonza or our drug product manufacturer are not able to provide us with sufficient quantities of aldafermin for our clinical trials on a timely basis, or at all, whether due to production shortages or other supply delays or interruptions resulting from the ongoing COVID-19 pandemic or otherwise, our clinical trials or regulatory approval may be delayed. In this regard, although significant portions of our research and development resources are focused, and will continue to be focused, on activities required to prepare aldafermin for potential regulatory approval for the treatment of NASH, including manufacturing of clinical trial material and preparation for potential Phase 3 testing, if Lonza and/or our drug product manufacturer experience difficulties in scaling production or experience product loss due to contamination, equipment failure, improper installation or operation of equipment, vendor or operator error or improper storage conditions, the potential Phase 3 testing of aldafermin would be delayed, perhaps substantially, which could materially and adversely affect our business. Moreover, our aldafermin drug product manufacturer has advised us that it could be required under orders of the U.S. government to allocate manufacturing capacity to the manufacture or distribution of COVID-19 vaccines. If Lonza Sales AG and/or our aldafermin drug product manufacturer become subject to acts or orders of U.S. or foreign government entities to allocate manufacturing capacity to the manufacture or distribution of COVID-19 vaccines or medical supplies needed to treat COVID-19 patients, this could also delay, perhaps substantially, the potential Phase 3 testing of aldafermin which could materially and adversely affect our business. Refer also to the risk factor entitled “Our business is currently adversely affected and could be materially and adversely affected in the future by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effects of disease outbreaks, epidemics and pandemics, including by the evolving effects of the COVID-19 pandemic. The COVID-19 pandemic continues to adversely impact our business and could materially and adversely affect our operations, as well as the businesses or operations of our manufacturers, CROs or other third parties with whom we conduct business.”</w:t>
      </w:r>
    </w:p>
    <w:p>
      <w:pPr>
        <w:spacing w:after="0" w:line="164"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Each of our product candidates uses certain raw materials for its manufacture, such as reagents that support cell growth. Some of these materials only have a single supplier and are purchased as necessary without a long-term supply agreement in place.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pacing w:after="0" w:line="170"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ensure that any stability or other issues relating to the manufacture of our product candidates will not occur in the future.</w:t>
      </w:r>
    </w:p>
    <w:p>
      <w:pPr>
        <w:spacing w:after="0" w:line="174"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clinical trials or commercialization. Any delay or interruption in the supply of clinical trial material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280"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Additional clinical trials may be required to evaluate the safety profile of our product candidates. Serious adverse events that were reported in the aldafermin treatment arms from our completed Phase 1 and Phase 2 clinical trials of aldafermin include: moderate dizziness, community acquired pneumonia, iron deficiency anemia, fractured finger, pneumonitis/alveolitis, acute pancreatitis, pneumonia, pleurisy, non-myocardial infarction cardiac arrest, chest pain, vertigo, headache, accelerated hypertension, kidney mass, bowel obstruction, bilirubin increase, cholangitis, progression of primary sclerosing cholangitis, or PSC, intervertebral discitis, rectal bleeding and post-biopsy bleeding. SAEs reported in our ongoing Phase 2 trials with aldafermin include gallbladder injury due to biopsy, suicide attempt and bronchogenic cyst, and no SAEs were deemed by investigators to be related to the treatment with aldafermin. In our completed Phase 1 and Phase 1b clinical trials of MK-3655 (NGM313), there were two reported SAEs in the MK-3655 (NGM313) treatment arms: cholecystitis and rectal bleeding due to hemorrhoids, both of which were deemed by the investigators to be unrelated to treatment with MK-3655 (NGM313). In our completed Phase 1 clinical trial of NGM120, there were two reported SAEs in the NGM120 treatment arms: renal colic and bipolar disorder, both of which were deemed by the investigators to be unrelated to treatment with NGM120. In our ongoing Phase 1a/1b trial of NGM120 evaluating NGM120 as a monotherapy in patients with</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5" w:right="4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45" w:lineRule="auto"/>
        <w:rPr>
          <w:sz w:val="20"/>
          <w:szCs w:val="20"/>
          <w:color w:val="auto"/>
        </w:rPr>
      </w:pPr>
      <w:r>
        <w:rPr>
          <w:rFonts w:ascii="Arial" w:cs="Arial" w:eastAsia="Arial" w:hAnsi="Arial"/>
          <w:sz w:val="18"/>
          <w:szCs w:val="18"/>
          <w:color w:val="auto"/>
        </w:rPr>
        <w:t>select advanced tumors and in combination with two chemotherapeutic agents in patients with metastatic pancreatic cancer, there have been a number of SAEs, including sepsis, neutropenia, pulmonary embolism, pleural effusion, non -cardiac chest pain, renal failure, acute kidney injury and encephalopathy, none of which were deemed related to treatment with NGM120 after medical safety review. In our completed Phase 1 and ongoing Phase 2 clinical trials of NGM621, there have been no reported SAEs deemed related to treatment with NGM621.</w:t>
      </w:r>
    </w:p>
    <w:p>
      <w:pPr>
        <w:spacing w:after="0" w:line="17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Significant increases in serum levels of low-density lipoprotein, or LDL, cholesterol were observed in clinical trials of aldafermin in NASH and type 2 diabetes. The drug-induced changes in LDL cholesterol were brought back to baseline levels with concomitant statin use in NASH patients, however, sustained LDL cholesterol elevations in untreated patients can be associated with cardiovascular disease. We have not observed any significant changes in LDL cholesterol with aldafermin in trials we have conducted in patients with cholestatic liver disease, such as PBC and PSC.</w:t>
      </w:r>
    </w:p>
    <w:p>
      <w:pPr>
        <w:spacing w:after="0" w:line="17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Protein and antibody therapeutics can sometimes induce host immune responses that can cause the production of anti-drug - antibodies, or ADA. Our product candidates, including aldafermin, which is an engineered variant of the human FGF19 protein, are protein and antibody therapeutics. In some instances, certain ADA called neutralizing antibodies can neutralize the therapeutic effects of the treatment. ADA can also sometimes cross react with substances naturally occurring in a subject’s body (in the case of aldafermin, FGF19), which can cause unintended effects, including potential impacts on efficacy and, in rare cases, even adverse events. One subject in a Phase 2 clinical trial investigating aldafermin as an intervention for type 2 diabetes developed ADA against aldafermin; however, this patient did not demonstrate any biochemical or clinically relevant safety concerns while in the study, and we have not identified any safety concerns while monitoring the subject following the study. In the Phase 2 PBC extension clinical trial of aldafermin, 18 of the 36 subjects tested positive for aldafermin-specific ADA at one or more time points using a preliminary assay. Six of these 36 subjects tested positive for neutralizing antibodies using an assay that was subsequently validated, of which two subjects developed antibodies that appeared to cross-react with their naturally occurring FGF19. These subjects have not demonstrated any biochemical or clinically relevant safety signals that were different from observations in subjects that did not generate ADA against aldafermin. We are developing an assay to measure the presence of ADA against aldafermin for our ongoing NASH program, which will need to be evaluated by regulatory agencies. The subjects who were found to develop ADA in both the type 2 diabetic and PBC populations may not be predictive of future test results in NASH patients due to differences in disease setting, study design, dose regimen and the use of a different ADA assay. If we are required to do substantial additional testing as a result of the detection of high amounts of ADA in subjects using aldafermin or any other product candidate, the costs of our clinical trials may increase.</w:t>
      </w:r>
    </w:p>
    <w:p>
      <w:pPr>
        <w:spacing w:after="0" w:line="18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Future results of our trials could reveal a high and unacceptable severity and prevalence of side effects or ADAs that have negative effects or other unexpected characteristics. In such an event, we may need to suspend or terminate our trials or the FDA or comparable foreign regulatory authorities could order us to cease clinical trials or deny approval of our product candidates for any or all targeted indications. Drug-related side effects could affect patient recruitment, the ability of enrolled subjects to complete the trial or result in potential product liability claims. Any of these occurrences could materially and adversely affect our business, financial condition and prospects.</w:t>
      </w:r>
    </w:p>
    <w:p>
      <w:pPr>
        <w:spacing w:after="0" w:line="282" w:lineRule="exact"/>
        <w:rPr>
          <w:sz w:val="20"/>
          <w:szCs w:val="20"/>
          <w:color w:val="auto"/>
        </w:rPr>
      </w:pPr>
    </w:p>
    <w:p>
      <w:pPr>
        <w:ind w:left="120" w:right="560"/>
        <w:spacing w:after="0" w:line="285" w:lineRule="auto"/>
        <w:rPr>
          <w:sz w:val="20"/>
          <w:szCs w:val="20"/>
          <w:color w:val="auto"/>
        </w:rPr>
      </w:pPr>
      <w:r>
        <w:rPr>
          <w:rFonts w:ascii="Arial" w:cs="Arial" w:eastAsia="Arial" w:hAnsi="Arial"/>
          <w:sz w:val="18"/>
          <w:szCs w:val="18"/>
          <w:b w:val="1"/>
          <w:bCs w:val="1"/>
          <w:i w:val="1"/>
          <w:iCs w:val="1"/>
          <w:color w:val="auto"/>
        </w:rPr>
        <w:t>Our most advanced clinical-stage product candidate, aldafermin, is a modified version of a human hormone that has been associated with liver cancer in rodent testing.</w:t>
      </w:r>
    </w:p>
    <w:p>
      <w:pPr>
        <w:spacing w:after="0" w:line="21"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Aldafermin is an engineered variant of the human hormone FGF19 that has been associated with liver cancer in rodent testing. The IND that we filed in February 2014 for type 2 diabetes was placed on</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455" w:right="4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Hepatology and Nutrition, which is responsible for the NASH indication, has not requested any additional information regarding the potential for aldafermin to induce hepatocellular proliferation. We have received feedback 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We believe we have identified a modified version of FGF19 that does not exhibit the cancer-causing effects of native human FGF19 in rodents. We believe that aldafermin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aldafermin.</w:t>
      </w:r>
    </w:p>
    <w:p>
      <w:pPr>
        <w:spacing w:after="0" w:line="292" w:lineRule="exact"/>
        <w:rPr>
          <w:sz w:val="20"/>
          <w:szCs w:val="20"/>
          <w:color w:val="auto"/>
        </w:rPr>
      </w:pPr>
    </w:p>
    <w:p>
      <w:pPr>
        <w:ind w:left="120" w:right="100"/>
        <w:spacing w:after="0" w:line="285"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21"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which will be expensive and time-consuming,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291" w:lineRule="exact"/>
        <w:rPr>
          <w:sz w:val="20"/>
          <w:szCs w:val="20"/>
          <w:color w:val="auto"/>
        </w:rPr>
      </w:pPr>
    </w:p>
    <w:p>
      <w:pPr>
        <w:ind w:left="120" w:right="780"/>
        <w:spacing w:after="0" w:line="285"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21"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 therapeutic areas may not lead to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48" w:lineRule="auto"/>
        <w:rPr>
          <w:sz w:val="20"/>
          <w:szCs w:val="20"/>
          <w:color w:val="auto"/>
        </w:rPr>
      </w:pPr>
      <w:r>
        <w:rPr>
          <w:rFonts w:ascii="Arial" w:cs="Arial" w:eastAsia="Arial" w:hAnsi="Arial"/>
          <w:sz w:val="18"/>
          <w:szCs w:val="18"/>
          <w:color w:val="auto"/>
        </w:rPr>
        <w:t>development of viable commercial products and may divert resources from better opportunities. Similarly, our decisions to delay or terminate drug development programs, such as our decision to suspend activities related to NGM386, NGM395, NGM621 administered systemically and NGM217 to concentrate our resources on our other product candidates, may also be incorrect and could cause us to miss valuable opportunities.</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284"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or continue to attract and retain qualified scientific, technical and business personnel, our business will suffer.</w:t>
      </w:r>
    </w:p>
    <w:p>
      <w:pPr>
        <w:spacing w:after="0" w:line="43"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An important element of our strategy is to take advantage of the research and development expertise of our current management. The loss of any one of our executive officers,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w:t>
      </w:r>
    </w:p>
    <w:p>
      <w:pPr>
        <w:spacing w:after="0" w:line="179"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personnel. There is intense competition for qualified personnel, including management, in the technical fields in which we operate, and we may not be able to attract and retain qualified personnel necessary for the successful research, development and future commercialization, if any, of our product candidates. In particular, the hiring environment in the San Francisco Bay Area, where we are headquartered,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88" w:lineRule="exact"/>
        <w:rPr>
          <w:sz w:val="20"/>
          <w:szCs w:val="20"/>
          <w:color w:val="auto"/>
        </w:rPr>
      </w:pPr>
    </w:p>
    <w:p>
      <w:pPr>
        <w:ind w:left="120" w:right="620"/>
        <w:spacing w:after="0" w:line="285" w:lineRule="auto"/>
        <w:rPr>
          <w:sz w:val="20"/>
          <w:szCs w:val="20"/>
          <w:color w:val="auto"/>
        </w:rPr>
      </w:pPr>
      <w:r>
        <w:rPr>
          <w:rFonts w:ascii="Arial" w:cs="Arial" w:eastAsia="Arial" w:hAnsi="Arial"/>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21" w:lineRule="exact"/>
        <w:rPr>
          <w:sz w:val="20"/>
          <w:szCs w:val="20"/>
          <w:color w:val="auto"/>
        </w:rPr>
      </w:pPr>
    </w:p>
    <w:p>
      <w:pPr>
        <w:ind w:left="120" w:right="300" w:firstLine="551"/>
        <w:spacing w:after="0" w:line="276" w:lineRule="auto"/>
        <w:rPr>
          <w:sz w:val="20"/>
          <w:szCs w:val="20"/>
          <w:color w:val="auto"/>
        </w:rPr>
      </w:pPr>
      <w:r>
        <w:rPr>
          <w:rFonts w:ascii="Arial" w:cs="Arial" w:eastAsia="Arial" w:hAnsi="Arial"/>
          <w:sz w:val="18"/>
          <w:szCs w:val="18"/>
          <w:color w:val="auto"/>
        </w:rPr>
        <w:t>Any agreements we have or may enter into with third parties, such as collaboration, license, supplier, manufacturing, sponsored research, CRO or clinical trial agreements, may give rise to</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00"/>
          </w:cols>
          <w:pgMar w:left="320" w:top="455" w:right="4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179"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Since executing the Collaboration Agreement in 2015, we have significantly increased our headcount and advanced our pipeline and the complexity of our operations, which has placed a strain on our administrative and operational infrastructure. We expect this strain to continue as we seek to maintain our growth and seek to obtain and manage relationships with third parties. Our ability to manage our operations and growth effectively depends upon the continual improvement of our procedures, remote work policies, reporting systems and operational, financial and management controls, particularly in light of the evolving effects of the COVID-19 pandemic.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176" w:lineRule="exact"/>
        <w:rPr>
          <w:sz w:val="20"/>
          <w:szCs w:val="20"/>
          <w:color w:val="auto"/>
        </w:rPr>
      </w:pPr>
    </w:p>
    <w:p>
      <w:pPr>
        <w:ind w:left="120" w:right="240" w:firstLine="551"/>
        <w:spacing w:after="0" w:line="248" w:lineRule="auto"/>
        <w:rPr>
          <w:sz w:val="20"/>
          <w:szCs w:val="20"/>
          <w:color w:val="auto"/>
        </w:rPr>
      </w:pPr>
      <w:r>
        <w:rPr>
          <w:rFonts w:ascii="Arial" w:cs="Arial" w:eastAsia="Arial" w:hAnsi="Arial"/>
          <w:sz w:val="18"/>
          <w:szCs w:val="18"/>
          <w:color w:val="auto"/>
        </w:rPr>
        <w:t>We may acquire additional assets, intellectual property and complementary businesses in the future. Acquisitions involve many risks, any of which could materially harm our business, including the diversion of management’s attention from core business concerns, failure to effectively exploit acquired assets or intellectual property, failure to successfully integrate the acquired business or realize expected synergies or the loss of key employees from either our business or the acquired businesses.</w:t>
      </w:r>
    </w:p>
    <w:p>
      <w:pPr>
        <w:spacing w:after="0" w:line="278" w:lineRule="exact"/>
        <w:rPr>
          <w:sz w:val="20"/>
          <w:szCs w:val="20"/>
          <w:color w:val="auto"/>
        </w:rPr>
      </w:pPr>
    </w:p>
    <w:p>
      <w:pPr>
        <w:ind w:left="120" w:right="420"/>
        <w:spacing w:after="0" w:line="28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 Bayer, Boerhinger Ingelheim, Bristol-Myers Squibb, Eisai, Eli Lilly, GlaxoSmithKline, Johnson &amp; Johnson, Merck, Novartis, Novo Nordisk, Pfizer, Roche, Sanofi and Takeda, as well as large and small biotechnology companies such as 89Bio, Akero, Albireo, Alentis, Amgen Inc., or Amgen, Apellis, Ascletis, Axcella, Bird Rock, Can-Fite, Cirius, Enanta, Galectin, Galmed, Gilead, Glympse, Immuron, Intercept, Inventiva, Iveric, Madrigal, MannKind,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00"/>
          </w:cols>
          <w:pgMar w:left="320" w:top="455"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MediciNova, Metacrine, Mirum, North Sea, Promethera, Salix, Scholar Rock, Seal Rock, Terns, Tiziana, Viking and Vivus, are pursuing the development or marketing of pharmaceuticals that target the same diseases that are targeted by our most advanced product candidates. It is probable that the number of companies seeking to develop products and therapies for the treatment of liver and metabolic diseases, retinal diseases and cancer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8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0" w:lineRule="exact"/>
        <w:rPr>
          <w:sz w:val="20"/>
          <w:szCs w:val="20"/>
          <w:color w:val="auto"/>
        </w:rPr>
      </w:pPr>
    </w:p>
    <w:p>
      <w:pPr>
        <w:ind w:left="120" w:right="140" w:firstLine="551"/>
        <w:spacing w:after="0" w:line="239" w:lineRule="auto"/>
        <w:rPr>
          <w:sz w:val="20"/>
          <w:szCs w:val="20"/>
          <w:color w:val="auto"/>
        </w:rPr>
      </w:pPr>
      <w:r>
        <w:rPr>
          <w:rFonts w:ascii="Arial" w:cs="Arial" w:eastAsia="Arial" w:hAnsi="Arial"/>
          <w:sz w:val="18"/>
          <w:szCs w:val="18"/>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pacing w:after="0" w:line="176" w:lineRule="exact"/>
        <w:rPr>
          <w:sz w:val="20"/>
          <w:szCs w:val="20"/>
          <w:color w:val="auto"/>
        </w:rPr>
      </w:pPr>
    </w:p>
    <w:p>
      <w:pPr>
        <w:ind w:left="120" w:right="100" w:firstLine="551"/>
        <w:spacing w:after="0" w:line="260" w:lineRule="auto"/>
        <w:rPr>
          <w:sz w:val="20"/>
          <w:szCs w:val="20"/>
          <w:color w:val="auto"/>
        </w:rPr>
      </w:pPr>
      <w:r>
        <w:rPr>
          <w:rFonts w:ascii="Arial" w:cs="Arial" w:eastAsia="Arial" w:hAnsi="Arial"/>
          <w:sz w:val="17"/>
          <w:szCs w:val="17"/>
          <w:color w:val="auto"/>
        </w:rPr>
        <w:t>If aldafermin or MK-3655 (NGM313) were approved for the treatment of NASH, future competition could also arise from products currently in development, including: cenicriviroc, an immunomodulator that blocks CCR2 and CCR5, from Allergan; firsocostat, an ACC inhibitor, and cilofexor, an FXR agonist, both from Gilead; OCA, an FXR agonist, from Intercept; resmetirom, a beta-thyroid hormone receptor agonist, from Madrigal; pegbelfermin, a PEGylated FGF21 analog, from Bristol-Myers Squibb; AKR-001, an Fc conjugated FGF21 analog, from Akero; FXR agonists from Metacrine; FXR agonists from Novartis; a beta-thyroid hormone receptor agonist from Viking; semaglutide, a GLP-1 analog, from Novo Nordisk; and lanifibranor, a pan-PPAR agonist from Inventiva. The foregoing competitive</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76" w:lineRule="auto"/>
        <w:rPr>
          <w:sz w:val="20"/>
          <w:szCs w:val="20"/>
          <w:color w:val="auto"/>
        </w:rPr>
      </w:pPr>
      <w:r>
        <w:rPr>
          <w:rFonts w:ascii="Arial" w:cs="Arial" w:eastAsia="Arial" w:hAnsi="Arial"/>
          <w:sz w:val="18"/>
          <w:szCs w:val="18"/>
          <w:color w:val="auto"/>
        </w:rPr>
        <w:t>risks apply to aldafermin, any variants of aldafermin, including the second-generation, half-life extended version of FGF19 we are currently developing, and MK-3655 (NGM313).</w:t>
      </w:r>
    </w:p>
    <w:p>
      <w:pPr>
        <w:spacing w:after="0" w:line="253"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21" w:lineRule="exact"/>
        <w:rPr>
          <w:sz w:val="20"/>
          <w:szCs w:val="20"/>
          <w:color w:val="auto"/>
        </w:rPr>
      </w:pPr>
    </w:p>
    <w:p>
      <w:pPr>
        <w:ind w:left="120" w:right="340" w:firstLine="551"/>
        <w:spacing w:after="0" w:line="248"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Demonstrating the safety and efficacy of our product candidates and obtaining regulatory approvals will not guarantee future revenue. The degree of market acceptance of any of our approved product candidates will depend on a number of factors, including:</w:t>
      </w:r>
    </w:p>
    <w:p>
      <w:pPr>
        <w:spacing w:after="0" w:line="76" w:lineRule="exact"/>
        <w:rPr>
          <w:sz w:val="20"/>
          <w:szCs w:val="20"/>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117" w:lineRule="exact"/>
        <w:rPr>
          <w:rFonts w:ascii="Arial" w:cs="Arial" w:eastAsia="Arial" w:hAnsi="Arial"/>
          <w:sz w:val="18"/>
          <w:szCs w:val="18"/>
          <w:color w:val="auto"/>
        </w:rPr>
      </w:pPr>
    </w:p>
    <w:p>
      <w:pPr>
        <w:ind w:left="880" w:right="58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 as described below;</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12"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287" w:lineRule="exact"/>
        <w:rPr>
          <w:sz w:val="20"/>
          <w:szCs w:val="20"/>
          <w:color w:val="auto"/>
        </w:rPr>
      </w:pPr>
    </w:p>
    <w:p>
      <w:pPr>
        <w:jc w:val="both"/>
        <w:ind w:left="120" w:right="460"/>
        <w:spacing w:after="0" w:line="260"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43"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Europe, Japan and Canada, the pricing of prescription drugs is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controlled by the government. Some countries require approval of the sale price of a drug before it can be marketed. In many countries, the pricing review period begins after marketing or product licensing approval is granted. Regulatory agencies in those countries could determine that the pricing for our products should be based on prices of other commercially available drugs for the same disease, rather than allowing us to market our products at a premium as new drugs.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17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183"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8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104" w:lineRule="exact"/>
        <w:rPr>
          <w:sz w:val="20"/>
          <w:szCs w:val="20"/>
          <w:color w:val="auto"/>
        </w:rPr>
      </w:pPr>
    </w:p>
    <w:p>
      <w:pPr>
        <w:ind w:left="120" w:right="560" w:firstLine="551"/>
        <w:spacing w:after="0" w:line="255"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00"/>
          </w:cols>
          <w:pgMar w:left="320" w:top="455" w:right="4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system that could prevent or delay marketing approval of our product candidates, restrict or regulate post-approval activities and affect our ability to profitably sell any product for which we obtain marketing approval.</w:t>
      </w:r>
    </w:p>
    <w:p>
      <w:pPr>
        <w:spacing w:after="0" w:line="145"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or, collectively, the ACA, was enacted, which includes measures that have significantly changed the way health care is financed by both governmental and private insurers. There remain executive, judicial and congressional challenges to certain aspects of the ACA.</w:t>
      </w:r>
    </w:p>
    <w:p>
      <w:pPr>
        <w:spacing w:after="0" w:line="16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while Congress has not passed comprehensive legislation repealing the ACA, it has introduced legislation to modify certain provisions. Congress will likely consider other legislation to modify or replace additional elements of the ACA. It is unclear how these efforts to repeal and replace the ACA, or other appeals, will impact the ACA and our business. For example, the 2017 Tax Act repealed the tax-based shared responsibility payment imposed by the ACA on certain individuals who fail to maintain qualifying health coverage that is commonly referred to as the “individual mandate.” In December 2019, a U.S. District Court upheld a ruling that the ACA is unconstitutional in its entirety because the “individual mandate” was repealed by Congress. The Supreme Court of the United States is currently reviewing this case, although it is unclear when a decision will be made. It is also unclear how such litigation and other efforts to challenge, repeal, or replace the ACA will impact the ACA or our business.</w:t>
      </w:r>
    </w:p>
    <w:p>
      <w:pPr>
        <w:spacing w:after="0" w:line="180"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Other legislative changes that have affected or may affect our industry include the Budget Control Act of 2011 which has triggered automatic reduction to several government programs. This includes aggregate reductions to Medicare payments to providers of, on average, 2% per fiscal year through 2030 unless Congress takes additional action.</w:t>
      </w:r>
    </w:p>
    <w:p>
      <w:pPr>
        <w:spacing w:after="0" w:line="16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Recently, there has also been increasing executive, legislative and enforcement interest in the United States with respect to drug pricing practices. There have been several recent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6"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It is also possible that additional governmental action is taken in response to the COVID-19 pandemic.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72"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We cannot predict the likelihood, nature or extent of healthcare reform initiatives that may arise from future legislation or administrative action, particularly as a result of the recent presidential election.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00"/>
          </w:cols>
          <w:pgMar w:left="320" w:top="455"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European Union, or the EU, and other jurisdictions in 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pacing w:after="0" w:line="79" w:lineRule="exact"/>
        <w:rPr>
          <w:sz w:val="20"/>
          <w:szCs w:val="20"/>
          <w:color w:val="auto"/>
        </w:rPr>
      </w:pPr>
    </w:p>
    <w:p>
      <w:pPr>
        <w:ind w:left="880" w:right="420" w:hanging="224"/>
        <w:spacing w:after="0" w:line="27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17" w:lineRule="exact"/>
        <w:rPr>
          <w:rFonts w:ascii="Arial" w:cs="Arial" w:eastAsia="Arial" w:hAnsi="Arial"/>
          <w:sz w:val="18"/>
          <w:szCs w:val="18"/>
          <w:color w:val="auto"/>
        </w:rPr>
      </w:pPr>
    </w:p>
    <w:p>
      <w:pPr>
        <w:ind w:left="880" w:right="1000" w:hanging="224"/>
        <w:spacing w:after="0" w:line="27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interruptions in the supply of clinical trial material resulting from any events affecting raw material supply or manufacturing capabilities abroad, including those that may result from the ongoing COVID-19 pandemic;</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117"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50"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including COVID-19 and related shelter-in-place orders, travel, social distancing and quarantine policies, boycotts, curtailment of trade and other business restrictions;</w:t>
      </w:r>
    </w:p>
    <w:p>
      <w:pPr>
        <w:spacing w:after="0" w:line="69" w:lineRule="exact"/>
        <w:rPr>
          <w:rFonts w:ascii="Arial" w:cs="Arial" w:eastAsia="Arial" w:hAnsi="Arial"/>
          <w:sz w:val="18"/>
          <w:szCs w:val="18"/>
          <w:color w:val="auto"/>
        </w:rPr>
      </w:pPr>
    </w:p>
    <w:p>
      <w:pPr>
        <w:jc w:val="both"/>
        <w:ind w:left="880" w:right="200" w:hanging="224"/>
        <w:spacing w:after="0" w:line="255"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164"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21"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78"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288" w:lineRule="exact"/>
        <w:rPr>
          <w:sz w:val="20"/>
          <w:szCs w:val="20"/>
          <w:color w:val="auto"/>
        </w:rPr>
      </w:pPr>
    </w:p>
    <w:p>
      <w:pPr>
        <w:ind w:left="120" w:right="140"/>
        <w:spacing w:after="0" w:line="282" w:lineRule="auto"/>
        <w:rPr>
          <w:sz w:val="20"/>
          <w:szCs w:val="20"/>
          <w:color w:val="auto"/>
        </w:rPr>
      </w:pPr>
      <w:r>
        <w:rPr>
          <w:rFonts w:ascii="Arial" w:cs="Arial" w:eastAsia="Arial" w:hAnsi="Arial"/>
          <w:sz w:val="17"/>
          <w:szCs w:val="17"/>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26"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Healthcare providers, including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76" w:lineRule="auto"/>
        <w:rPr>
          <w:sz w:val="20"/>
          <w:szCs w:val="20"/>
          <w:color w:val="auto"/>
        </w:rPr>
      </w:pPr>
      <w:r>
        <w:rPr>
          <w:rFonts w:ascii="Arial" w:cs="Arial" w:eastAsia="Arial" w:hAnsi="Arial"/>
          <w:sz w:val="18"/>
          <w:szCs w:val="18"/>
          <w:color w:val="auto"/>
        </w:rPr>
        <w:t>market, sell and distribute our products for which we or our collaborator obtains marketing approval. Restrictions under applicable federal and state healthcare laws and regulations, include the following:</w:t>
      </w:r>
    </w:p>
    <w:p>
      <w:pPr>
        <w:spacing w:after="0" w:line="50" w:lineRule="exact"/>
        <w:rPr>
          <w:sz w:val="20"/>
          <w:szCs w:val="20"/>
          <w:color w:val="auto"/>
        </w:rPr>
      </w:pPr>
    </w:p>
    <w:p>
      <w:pPr>
        <w:ind w:left="880" w:right="40" w:hanging="224"/>
        <w:spacing w:after="0" w:line="245"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77" w:lineRule="exact"/>
        <w:rPr>
          <w:rFonts w:ascii="Arial" w:cs="Arial" w:eastAsia="Arial" w:hAnsi="Arial"/>
          <w:sz w:val="18"/>
          <w:szCs w:val="18"/>
          <w:color w:val="auto"/>
        </w:rPr>
      </w:pPr>
    </w:p>
    <w:p>
      <w:pPr>
        <w:ind w:left="880" w:right="40" w:hanging="224"/>
        <w:spacing w:after="0" w:line="248"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5" w:lineRule="exact"/>
        <w:rPr>
          <w:rFonts w:ascii="Arial" w:cs="Arial" w:eastAsia="Arial" w:hAnsi="Arial"/>
          <w:sz w:val="18"/>
          <w:szCs w:val="18"/>
          <w:color w:val="auto"/>
        </w:rPr>
      </w:pPr>
    </w:p>
    <w:p>
      <w:pPr>
        <w:ind w:left="880" w:right="100" w:hanging="224"/>
        <w:spacing w:after="0" w:line="248"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75" w:lineRule="exact"/>
        <w:rPr>
          <w:rFonts w:ascii="Arial" w:cs="Arial" w:eastAsia="Arial" w:hAnsi="Arial"/>
          <w:sz w:val="18"/>
          <w:szCs w:val="18"/>
          <w:color w:val="auto"/>
        </w:rPr>
      </w:pPr>
    </w:p>
    <w:p>
      <w:pPr>
        <w:ind w:left="880" w:hanging="224"/>
        <w:spacing w:after="0" w:line="245"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w:t>
      </w:r>
    </w:p>
    <w:p>
      <w:pPr>
        <w:spacing w:after="0" w:line="77" w:lineRule="exact"/>
        <w:rPr>
          <w:rFonts w:ascii="Arial" w:cs="Arial" w:eastAsia="Arial" w:hAnsi="Arial"/>
          <w:sz w:val="18"/>
          <w:szCs w:val="18"/>
          <w:color w:val="auto"/>
        </w:rPr>
      </w:pPr>
    </w:p>
    <w:p>
      <w:pPr>
        <w:ind w:left="880" w:right="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ACA and its implementing regulations, requires manufacturers of drugs, devices, biologics and medical supplies for which payment is 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HHS ownership and investment interests held by physicians (as defined above) and their immediate family members. Beginning in 2022, applicable manufacturers also will be required to report such information regarding its relationships with physician assistants, nurse practitioners, anesthesiologist assistants, clinical nurse specialists, certified registered nurse anesthetists and certified nurse midwives during the previous year; and</w:t>
      </w:r>
    </w:p>
    <w:p>
      <w:pPr>
        <w:spacing w:after="0" w:line="81" w:lineRule="exact"/>
        <w:rPr>
          <w:rFonts w:ascii="Arial" w:cs="Arial" w:eastAsia="Arial" w:hAnsi="Arial"/>
          <w:sz w:val="18"/>
          <w:szCs w:val="18"/>
          <w:color w:val="auto"/>
        </w:rPr>
      </w:pPr>
    </w:p>
    <w:p>
      <w:pPr>
        <w:ind w:left="880" w:right="2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of health information in certain circumstances, many of which differ from each</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other in significant ways and often are not preempted by HIPAA, thus complicating compliance efforts.</w:t>
      </w:r>
    </w:p>
    <w:p>
      <w:pPr>
        <w:spacing w:after="0" w:line="21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284" w:lineRule="exact"/>
        <w:rPr>
          <w:sz w:val="20"/>
          <w:szCs w:val="20"/>
          <w:color w:val="auto"/>
        </w:rPr>
      </w:pPr>
    </w:p>
    <w:p>
      <w:pPr>
        <w:ind w:left="120" w:right="220"/>
        <w:spacing w:after="0" w:line="285"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21"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Our former facility was subject to electrical blackouts as a result of a shortage of available electrical power. Future blackouts, which may be implemented by the local electricity provider in the face of high winds and dry conditions, could disrupt the operations of our current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 and any losses or damages incurred by us could harm our business. Our sole supplier of clinical drug substance for MK-3655 (NGM313), NGM120, NGM621, NGM707 and NGM438 is located in a region that has experienced recent political unrest.</w:t>
      </w:r>
    </w:p>
    <w:p>
      <w:pPr>
        <w:spacing w:after="0" w:line="288" w:lineRule="exact"/>
        <w:rPr>
          <w:sz w:val="20"/>
          <w:szCs w:val="20"/>
          <w:color w:val="auto"/>
        </w:rPr>
      </w:pPr>
    </w:p>
    <w:p>
      <w:pPr>
        <w:ind w:left="120" w:right="220"/>
        <w:spacing w:after="0" w:line="251" w:lineRule="auto"/>
        <w:rPr>
          <w:sz w:val="20"/>
          <w:szCs w:val="20"/>
          <w:color w:val="auto"/>
        </w:rPr>
      </w:pPr>
      <w:r>
        <w:rPr>
          <w:rFonts w:ascii="Arial" w:cs="Arial" w:eastAsia="Arial" w:hAnsi="Arial"/>
          <w:sz w:val="18"/>
          <w:szCs w:val="18"/>
          <w:b w:val="1"/>
          <w:bCs w:val="1"/>
          <w:i w:val="1"/>
          <w:iCs w:val="1"/>
          <w:color w:val="auto"/>
        </w:rPr>
        <w:t>Our business is currently adversely affected and could be materially and adversely affected in the future by the effects of disease outbreaks, epidemics and pandemics, including by the evolving effects of the COVID-19 pandemic. The COVID-19 pandemic continues to adversely impact our business and could materially and adversely affect our operations, as well as the businesses or operations of our manufacturers, CROs or other third parties with whom we conduct business.</w:t>
      </w:r>
    </w:p>
    <w:p>
      <w:pPr>
        <w:spacing w:after="0" w:line="5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Disease outbreaks and epidemics in regions where we have concentrations of clinical trial sites or other business operations or pandemics such as the COVID-19 pandemic could adversely affect our business, including by causing significant disruptions in our operations and/or in the operations of third-party manufacturers and CROs upon whom we rely. For example, the COVID-19 pandemic has presented a substantial public health and economic challenge around the world and is affecting employees, patients, communities and business operations, as well as the United States and international economy and financial markets. In this regard, the COVID-19 pandemic and government measures taken in response have had a significant impact, both direct and indirect, on businesses and commerce, as significant reductions in business-related activities have occurred, supply chains have been disrupted and manufacturing and clinical development activities have been curtailed or suspended.</w:t>
      </w:r>
    </w:p>
    <w:p>
      <w:pPr>
        <w:spacing w:after="0" w:line="180"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could</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materially and adversely affect our operations. Based on guidance issued by federal, state and local authorities, we transitioned to a remote work environment for a vast majority of our employees in March 2020, while maintaining essential in-person laboratory functions in order to advance key research and development initiatives, supported by the implementation of updated onsite safety procedures. In June 2020, following updated guidance issued by federal, state and local authorities, we re-opened our laboratory facilities for research activities that cannot be conducted remotely with heightened safety measures designed to minimize occupational exposure and reduce transmission of COVID-19 within our workplace. Although we have re-opened our laboratory facilities under these heightened safety measures, we may be forced to, or determine that we should, resume a more restrictive remote work model. In connection with these measures, we may be subject to claims based upon, arising out of, or related to COVID-19 and our actions and responses thereto, including any determinations that we have made and may make in the future with respect to our onsite operations. Further, the effects of current and future governmental shelter-in-place orders and our remote work policies may materially and adversely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materially and adversely impact our business, financial condition, results of operations and growth prospects.</w:t>
      </w:r>
    </w:p>
    <w:p>
      <w:pPr>
        <w:spacing w:after="0" w:line="17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As the pandemic continues, there may be continuing negative impacts on our ability to initiate new clinical trial sites, maintain enrollment of existing patients and enroll new patients, which may impact timelines in the future. Our ability to attract additional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continue to prohibit or discourage patients from enrolling in, or continuing to participate in, our clinical trials. Principal investigators and clinical trial site staff, as healthcare providers, may have heightened exposure to COVID-19 and if their health is impacted by COVID-19 it could adversely impact the conduct of our clinical trials at their sites. Similarly, potential participants in our clinical trials, many of whom are particularly vulnerable, may be unwilling to enroll in, and enrolled patients may be unwilling to continue to participate in, our clinical trials due to concerns about traveling to sites for required screening and clinical trial visits and procedures. In this regard, we have experienced, from to time, a slower pace of clinical site initiation and enrollment than anticipated in certain of our clinical trials, including the ALPINE 4, CATALINA and NGM120 trials, and may experience higher dropout rates than normal, due to factors such as the vulnerability of our studied patient populations, clinical trial site suspensions, reallocation of medical resources and the challenges of working remotely due to shelter-in-place and similar government orders, among other factors. Enrolled patients may be unable to comply with clinical trial protocols if quarantines, shelter-in-place and similar restrictions continue to impede patient movement or interrupt healthcare services. Accordingly, we have developed and implemented additional clinical study policies and procedures designed to help protect patients from COVID-19 exposure as a result of their trial participation, which include the use of telemedicine visits, remote monitoring of patients and clinical trial sites, and other measures designed to ensure that data from clinical trials that may be disrupted as result of the pandemic are collected pursuant to the study protocol and consistent with current Good Clinical Practices, or cGCPs, with any material protocol deviation reviewed and approved by the clinical trial site IRB. If any of the foregoing efforts to mitigate the impact of the COVID-19 pandemic are not successful, or if the effects of the COVID-19 pandemic become more severe, it could materially and adversely affect our clinical development timelines and our ability to obtain regulatory approvals of our product candidates and could significantly increase our costs.</w:t>
      </w:r>
    </w:p>
    <w:p>
      <w:pPr>
        <w:spacing w:after="0" w:line="193" w:lineRule="exact"/>
        <w:rPr>
          <w:sz w:val="20"/>
          <w:szCs w:val="20"/>
          <w:color w:val="auto"/>
        </w:rPr>
      </w:pPr>
    </w:p>
    <w:p>
      <w:pPr>
        <w:ind w:left="120" w:right="660" w:firstLine="551"/>
        <w:spacing w:after="0" w:line="276" w:lineRule="auto"/>
        <w:rPr>
          <w:sz w:val="20"/>
          <w:szCs w:val="20"/>
          <w:color w:val="auto"/>
        </w:rPr>
      </w:pPr>
      <w:r>
        <w:rPr>
          <w:rFonts w:ascii="Arial" w:cs="Arial" w:eastAsia="Arial" w:hAnsi="Arial"/>
          <w:sz w:val="18"/>
          <w:szCs w:val="18"/>
          <w:color w:val="auto"/>
        </w:rPr>
        <w:t>We could also see an adverse impact on our ability to report clinical trial results, or interact with regulators, IRBs and ethics committees or other important agencies due to limitations in regulatory</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00"/>
          </w:cols>
          <w:pgMar w:left="320" w:top="455" w:right="4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440"/>
        <w:spacing w:after="0" w:line="255" w:lineRule="auto"/>
        <w:rPr>
          <w:sz w:val="20"/>
          <w:szCs w:val="20"/>
          <w:color w:val="auto"/>
        </w:rPr>
      </w:pPr>
      <w:r>
        <w:rPr>
          <w:rFonts w:ascii="Arial" w:cs="Arial" w:eastAsia="Arial" w:hAnsi="Arial"/>
          <w:sz w:val="18"/>
          <w:szCs w:val="18"/>
          <w:color w:val="auto"/>
        </w:rPr>
        <w:t>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16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addition, quarantines, shelter-in-place and similar government orders could impact personnel at third-party manufacturing facilities in the United States and other countries, or the availability or cost of materials, which would disrupt our supply chain. Likewise, the operations of our third-party manufacturers may be requisitioned, diverted or allocated by U.S. or foreign government orders such as under emergency, disaster and civil defense declarations in connection with the COVID-19 pandemic or otherwise. In particular, some of our suppliers of certain materials used in the production of our drug products are located in Europe. In this regard, any manufacturing supply interruption of aldafermin, which is currently manufactured by Lonza at facilities in Switzerland, or our other product candidates, which are currently manufactured at a facility in Lithuania, could adversely affect our ability to conduct ongoing and future clinical trials of aldafermin and our other product candidates. For example, although significant portions of our research and development resources are focused, and will continue to be focused, on activities required to prepare aldafermin for potential regulatory approval for the treatment of NASH, including manufacturing of clinical trial material and preparation for potential Phase 3 testing, if Lonza and/or our drug product manufacturer experience difficulties in scaling production or experience product loss due to contamination, equipment failure, improper installation or operation of equipment, vendor or operator error or improper storage conditions, the potential Phase 3 testing of aldafermin would be delayed, perhaps substantially, which could materially and adversely affect our business. Moreover, our aldafermin drug product manufacturer has advised us that it could be required under orders of the U.S. government to allocate manufacturing capacity to the manufacture or distribution of COVID-19 vaccines. If Lonza Sales AG and/or our aldafermin drug product manufacturer become subject to acts or orders of U.S. or foreign government entities to allocate manufacturing capacity to the manufacture or distribution of COVID-19 vaccines or medical supplies needed to treat COVID-19 patients, this could also delay, perhaps substantially, the potential Phase 3 testing of aldafermin which could materially and adversely affect our business. In any event, if the evolving effects of the COVID-19 pandemic become more severe or more acutely impact geographies with particular relevance to our business, we could experience significant disruptions to our current and potential future clinical development timelines, impacts on our ability to obtain regulatory approvals of our product candidates and increases in our costs, all or any of which would adversely affect our business, financial condition, results of operations and growth prospects.</w:t>
      </w:r>
    </w:p>
    <w:p>
      <w:pPr>
        <w:spacing w:after="0" w:line="193"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In addition, while the potential economic impact brought by, and the duration of, the COVID-19 pandemic may be difficult to assess or predict, the pandemic could result in significant and prolonged disruption of global financial markets, reducing our ability to access capital, which could in the future negatively affect the financial resources available to us. In addition, the current recession or additional market corrections resulting from, among other things, the spread of COVID-19 could materially affect our business and the value of our common stock. We also cannot predict how the evolving effects of the COVID-19 pandemic may influence the future decisions of Merck to license any programs available to it under the Collaboration Agreement or to exercise its remaining option to extend the research phase of the collaboration beyond March 16, 2022.</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While we expect the COVID-19 pandemic to continue to affect our business operations, the extent of the impact on our clinical development and regulatory efforts, our ability to raise sufficient additional capital on acceptable terms, if at all, the decisions of Merck and the value of and market for our common stock will depend on future developments that are highly uncertain and cannot be predicted with confidence at this time. Such developments include the ultimate duration and severity of the pandemic, travel restrictions, quarantines, social distancing and business closure requirements in the United States and in other countries, and the effectiveness of actions taken globally to contain and</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00"/>
          </w:cols>
          <w:pgMar w:left="320" w:top="455" w:right="4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treat COVID-19. In addition, to the extent the evolving effects of the COVID-19 pandemic adversely affects our business and results of operations, it may also have the effect of heightening many of the other risks and uncertainties described elsewhere in this ‘‘Risk Factors’’ section.</w:t>
      </w:r>
    </w:p>
    <w:p>
      <w:pPr>
        <w:spacing w:after="0" w:line="272" w:lineRule="exact"/>
        <w:rPr>
          <w:sz w:val="20"/>
          <w:szCs w:val="20"/>
          <w:color w:val="auto"/>
        </w:rPr>
      </w:pPr>
    </w:p>
    <w:p>
      <w:pPr>
        <w:ind w:left="120" w:right="560"/>
        <w:spacing w:after="0" w:line="285" w:lineRule="auto"/>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2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Similar to other companies in our industry, we face substantial cybersecurity risk. Despite the implementation of security measures, our internal computer systems and those of our current and future CROs and other contractors, collaborators and consultants may fail and are vulnerable to damage from computer viruses and unauthorized access. While we have not, to our knowledge, experienced any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similar events relating to their computer systems could also have a material adverse effect on our business.</w:t>
      </w:r>
    </w:p>
    <w:p>
      <w:pPr>
        <w:spacing w:after="0" w:line="180" w:lineRule="exact"/>
        <w:rPr>
          <w:sz w:val="20"/>
          <w:szCs w:val="20"/>
          <w:color w:val="auto"/>
        </w:rPr>
      </w:pPr>
    </w:p>
    <w:p>
      <w:pPr>
        <w:ind w:left="120" w:right="300" w:firstLine="551"/>
        <w:spacing w:after="0"/>
        <w:rPr>
          <w:sz w:val="20"/>
          <w:szCs w:val="20"/>
          <w:color w:val="auto"/>
        </w:rPr>
      </w:pPr>
      <w:r>
        <w:rPr>
          <w:rFonts w:ascii="Arial" w:cs="Arial" w:eastAsia="Arial" w:hAnsi="Arial"/>
          <w:sz w:val="18"/>
          <w:szCs w:val="18"/>
          <w:color w:val="auto"/>
        </w:rPr>
        <w:t>As a result of the ongoing COVID-19 pandemic, certain functional areas of our workforce remain in a remote work environment, which imposes additional risks to our business, including increased risk associated with working outside our corporate network security protection boundaries, increased risk of industrial espionage, phishing and other cybersecurity attacks and the increased risk of unauthorized dissemination of sensitive personal information or proprietary confidential information, any of which could have a material adverse effect on our business. Despite our efforts to increase security and authentication measures, we have experienced an overall increase in cybersecurity incidents, none of which have caused disruption to our business or resulted in a material security breach. However, if such an event were to occur and cause interruptions in our operations, it could result in a material disruption of our development programs and our business operations.</w:t>
      </w:r>
    </w:p>
    <w:p>
      <w:pPr>
        <w:spacing w:after="0" w:line="180"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In 2017, a security breach of the internal computer systems of our collaborator, Merck, caused material damage to its operations, but did not affect our internal operations. In June 2019, a vendor that conducted bioanalytical services for some of our aldafermin clinical trials was affected by a ransomware attack that resulted in a significant disruption to its IT systems. This cybersecurity incident at our vendor did not result in an integrity loss of certain clinical sample data for aldafermin, as verified by independent vendors. More recently, an attacker gained access to a single system on our network and attempted to use that access to stage a broader attack against us. We detected the suspicious activity on the night of December 15, 2020 and believe we fully contained the incident the next day. The event had minimal impact on our operations and we have no evidence suggesting any ongoing threat or data exfiltration. However, to the extent that any disruption or security breach were to result in a loss of, or damage to, our data or applications, or inappropriate disclosure of confidential or proprietary information, we could incur material costs, be exposed to liability, our competitive position could be harmed and the further development and commercialization of our product candidates could be hindered or delayed.</w:t>
      </w:r>
    </w:p>
    <w:p>
      <w:pPr>
        <w:spacing w:after="0" w:line="288" w:lineRule="exact"/>
        <w:rPr>
          <w:sz w:val="20"/>
          <w:szCs w:val="20"/>
          <w:color w:val="auto"/>
        </w:rPr>
      </w:pPr>
    </w:p>
    <w:p>
      <w:pPr>
        <w:ind w:left="120" w:right="480"/>
        <w:spacing w:after="0" w:line="285"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collection, use, processing and cross-border transfer of personal information.</w:t>
      </w:r>
    </w:p>
    <w:p>
      <w:pPr>
        <w:spacing w:after="0" w:line="21"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We may collect, process, use or transfer personal information from individuals located in the EU in connection with our business, including in connection with conducting clinical trials in the EU. Additionally, if any of our product candidates are approved, we may seek to commercialize those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products in the EU. The collection and use of personal health data in the EU are governed by the provisions of the General Data Protection Regulation ((EU) 2016/679), or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 may result in substantial fines, other administrative penalties and civil claims being brought against us, which could have a material adverse effect on our business, financial condition and results of operations.</w:t>
      </w:r>
    </w:p>
    <w:p>
      <w:pPr>
        <w:spacing w:after="0" w:line="18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European data protection laws, including the GDPR, generally restrict the transfer of personal information from Europe, including the European Economic Area, United Kingdom and Switzerland, to the United States and most other countries unless the parties to the transfer have implemented specific safeguards to protect the transferred personal information. One of the primary safeguards allowing United States companies to import personal information from Europe has been certification to the EU-U.S. Privacy Shield and Swiss-U.S. Privacy Shield frameworks administered by the United States Department of Commerce. However, the Court of Justice of the EU recently invalidated the EU-U.S. Privacy Shield. The same decision also raised questions about whether one of the primary alternatives to the EU-U.S. Privacy Shield, namely, the European Commission’s Standard Contractual Clauses, can lawfully be used for personal information transfers from Europe to the United States or most other countries. At present, there are few, if any, viable alternatives to the EU-U.S. Privacy Shield and the Standard Contractual Clauses. Although we rely primarily on individuals’ explicit consent to transfer their personal information from Europe to the United States and other countries, in certain cases we have relied or may rely on the Standard Contractual Clauses. Authorities in the United Kingdom and Switzerland, whose data protection laws are similar to those of the EU, may similarly invalidate use of the EU-U.S. Privacy Shield and Swiss-U.S. Privacy Shield, respectively, as mechanisms for lawful personal information transfers from those countries to the United States. As such, if we are unable to rely on explicit consent to transfer individuals’ personal information from Europe, which can be revoked, or implement another valid compliance solution, we will face increased exposure to substantial fines under European data protection laws as well as injunctions against processing personal information from Europe. Inability to import personal information from the European Economic Area, United Kingdom or Switzerland may also restrict our clinical trial activities in Europe; limit our ability to collaborate with CROs, service providers, contractors and other companies subject to European data protection laws; and require us to increase our data processing capabilities in Europe at significant expense.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0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40"/>
          </w:cols>
          <w:pgMar w:left="32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214"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b w:val="1"/>
          <w:bCs w:val="1"/>
          <w:i w:val="1"/>
          <w:iCs w:val="1"/>
          <w:color w:val="auto"/>
        </w:rPr>
        <w:t>We depend on our collaboration with Merck and may depend in the future on collaborations with additional third parties for the development and commercialization of our product candidates. If those collaborations are not successful, we may not be able to capitalize on the market potential of our product candidates.</w:t>
      </w:r>
    </w:p>
    <w:p>
      <w:pPr>
        <w:spacing w:after="0" w:line="43"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In February 2015, we entered into a collaboration with Merck focused on the discovery, development and commercialization of biologics, excluding aldafermin, and including a license to our GDF15 receptor agonist program product candidates, NGM386 and NGM395. In November 2018, Merck exercised its option to license MK-3655 (NGM313). In 2019, Merck exercised its option to extend the research phase of the collaboration for an additional two years, from March 17, 2020 through March 16, 2022, and terminated its license to the GDF15 receptor agonist program in May 2019.</w:t>
      </w:r>
    </w:p>
    <w:p>
      <w:pPr>
        <w:spacing w:after="0" w:line="17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Merck collaboration involves a complex allocation of rights, provides for substantial research and development support, provides for additional payments upon Merck’s election, if exercised in its unilateral discretion, to further extend the term of the research program for an additional two years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that we would provide sales representatives to co-detail the product candidates that Merck elects to advance in the United States. We cannot predict the success of the collaboration, whether Merck will exercise its remaining option to extend the research phase of the collaboration or whether Merck will exercise its option to license additional product candidates or whether Merck will terminate its license to a licensed program.</w:t>
      </w:r>
    </w:p>
    <w:p>
      <w:pPr>
        <w:spacing w:after="0" w:line="180"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aldafermin, NGM395 and NGM386.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17" w:lineRule="exact"/>
        <w:rPr>
          <w:sz w:val="20"/>
          <w:szCs w:val="20"/>
          <w:color w:val="auto"/>
        </w:rPr>
      </w:pPr>
    </w:p>
    <w:p>
      <w:pPr>
        <w:ind w:left="880" w:right="80" w:hanging="224"/>
        <w:spacing w:after="0" w:line="248"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our collaboration with Merck, once proof-of-concept data in humans has been generated and Merck has exercised its option to acquire an exclusive license for a product candidate, our ability to influence the resources Merck devotes to such product candidate are substantially reduced until such time, if any, that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00"/>
          </w:cols>
          <w:pgMar w:left="32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40"/>
        <w:spacing w:after="0" w:line="276" w:lineRule="auto"/>
        <w:rPr>
          <w:sz w:val="20"/>
          <w:szCs w:val="20"/>
          <w:color w:val="auto"/>
        </w:rPr>
      </w:pPr>
      <w:r>
        <w:rPr>
          <w:rFonts w:ascii="Arial" w:cs="Arial" w:eastAsia="Arial" w:hAnsi="Arial"/>
          <w:sz w:val="18"/>
          <w:szCs w:val="18"/>
          <w:color w:val="auto"/>
        </w:rPr>
        <w:t>we exercise our right to participate in a cost and profit-sharing arrangement. Even after we exercise that right to participate in a cost and profit-sharing arrangement, our ability to influence Merck will be limited.</w:t>
      </w:r>
    </w:p>
    <w:p>
      <w:pPr>
        <w:spacing w:after="0" w:line="50" w:lineRule="exact"/>
        <w:rPr>
          <w:sz w:val="20"/>
          <w:szCs w:val="20"/>
          <w:color w:val="auto"/>
        </w:rPr>
      </w:pPr>
    </w:p>
    <w:p>
      <w:pPr>
        <w:ind w:left="880" w:hanging="224"/>
        <w:spacing w:after="0" w:line="241"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under our agreement with Merck, it is possible for Merck to unilaterally terminate the MK-3655 (NGM313) program and any other program (whether or not we have exercised our cost and profit-sharing option) upon prior written notice, such as it did for NGM386 and NGM395, without triggering a termination of the remainder of the collaboration arrangement. In addition, Merck might opt not to exercise its option to acquire a license to a product candidate that has generated proof-of-concept data.</w:t>
      </w:r>
    </w:p>
    <w:p>
      <w:pPr>
        <w:spacing w:after="0" w:line="84" w:lineRule="exact"/>
        <w:rPr>
          <w:rFonts w:ascii="Arial" w:cs="Arial" w:eastAsia="Arial" w:hAnsi="Arial"/>
          <w:sz w:val="18"/>
          <w:szCs w:val="18"/>
          <w:color w:val="auto"/>
        </w:rPr>
      </w:pPr>
    </w:p>
    <w:p>
      <w:pPr>
        <w:jc w:val="both"/>
        <w:ind w:left="880" w:right="300" w:hanging="224"/>
        <w:spacing w:after="0" w:line="306"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8" w:lineRule="exact"/>
        <w:rPr>
          <w:rFonts w:ascii="Arial" w:cs="Arial" w:eastAsia="Arial" w:hAnsi="Arial"/>
          <w:sz w:val="17"/>
          <w:szCs w:val="17"/>
          <w:color w:val="auto"/>
        </w:rPr>
      </w:pPr>
    </w:p>
    <w:p>
      <w:pPr>
        <w:ind w:left="880" w:right="380" w:hanging="224"/>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69"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medicines might not commit sufficient resources to the marketing and distribution of our product candidates.</w:t>
      </w:r>
    </w:p>
    <w:p>
      <w:pPr>
        <w:spacing w:after="0" w:line="50" w:lineRule="exact"/>
        <w:rPr>
          <w:rFonts w:ascii="Arial" w:cs="Arial" w:eastAsia="Arial" w:hAnsi="Arial"/>
          <w:sz w:val="18"/>
          <w:szCs w:val="18"/>
          <w:color w:val="auto"/>
        </w:rPr>
      </w:pPr>
    </w:p>
    <w:p>
      <w:pPr>
        <w:ind w:left="880" w:hanging="224"/>
        <w:spacing w:after="0" w:line="24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the Collaboration Agreement with respect to certain licensed programs and, although we may have the right to assume the maintenance and defense of our intellectual property rights if Merck does not, our ability to do so may be compromised by Merck’s actions.</w:t>
      </w:r>
    </w:p>
    <w:p>
      <w:pPr>
        <w:spacing w:after="0" w:line="77" w:lineRule="exact"/>
        <w:rPr>
          <w:rFonts w:ascii="Arial" w:cs="Arial" w:eastAsia="Arial" w:hAnsi="Arial"/>
          <w:sz w:val="18"/>
          <w:szCs w:val="18"/>
          <w:color w:val="auto"/>
        </w:rPr>
      </w:pPr>
    </w:p>
    <w:p>
      <w:pPr>
        <w:ind w:left="880" w:right="80" w:hanging="224"/>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69"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 with Merck, if we undergo a change in control.</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50" w:lineRule="exact"/>
        <w:rPr>
          <w:rFonts w:ascii="Arial" w:cs="Arial" w:eastAsia="Arial" w:hAnsi="Arial"/>
          <w:sz w:val="18"/>
          <w:szCs w:val="18"/>
          <w:color w:val="auto"/>
        </w:rPr>
      </w:pPr>
    </w:p>
    <w:p>
      <w:pPr>
        <w:ind w:left="880" w:right="20" w:hanging="224"/>
        <w:spacing w:after="0" w:line="248"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278"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b w:val="1"/>
          <w:bCs w:val="1"/>
          <w:i w:val="1"/>
          <w:iCs w:val="1"/>
          <w:color w:val="auto"/>
        </w:rPr>
        <w:t>Under certain circumstances, Merck may unilaterally terminate its annual funding of our research and development program, or terminate or shift the focus of its research and development funding, any of which would materially and adversely affect our business.</w:t>
      </w:r>
    </w:p>
    <w:p>
      <w:pPr>
        <w:spacing w:after="0" w:line="43" w:lineRule="exact"/>
        <w:rPr>
          <w:sz w:val="20"/>
          <w:szCs w:val="20"/>
          <w:color w:val="auto"/>
        </w:rPr>
      </w:pPr>
    </w:p>
    <w:p>
      <w:pPr>
        <w:ind w:left="120" w:right="360" w:firstLine="551"/>
        <w:spacing w:after="0" w:line="276" w:lineRule="auto"/>
        <w:rPr>
          <w:sz w:val="20"/>
          <w:szCs w:val="20"/>
          <w:color w:val="auto"/>
        </w:rPr>
      </w:pPr>
      <w:r>
        <w:rPr>
          <w:rFonts w:ascii="Arial" w:cs="Arial" w:eastAsia="Arial" w:hAnsi="Arial"/>
          <w:sz w:val="18"/>
          <w:szCs w:val="18"/>
          <w:color w:val="auto"/>
        </w:rPr>
        <w:t>Under the Collaboration Agreement, Merck has the unilateral right to terminate all or part of the agreement at certain times and under certain circumstances. Merck may unilaterally terminate the</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00"/>
          </w:cols>
          <w:pgMar w:left="320" w:top="455" w:right="4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45" w:lineRule="auto"/>
        <w:rPr>
          <w:sz w:val="20"/>
          <w:szCs w:val="20"/>
          <w:color w:val="auto"/>
        </w:rPr>
      </w:pPr>
      <w:r>
        <w:rPr>
          <w:rFonts w:ascii="Arial" w:cs="Arial" w:eastAsia="Arial" w:hAnsi="Arial"/>
          <w:sz w:val="18"/>
          <w:szCs w:val="18"/>
          <w:color w:val="auto"/>
        </w:rPr>
        <w:t>research phase of the collaboration program effective March 17, 2022 by providing notice to us prior to March 17, 2021. Merck may also unilaterally terminate its annual funding of the research program prior to March 17, 2022 if we are acquired by a third party or if we are in material uncured breach of our obligations under the research and early development program. After the current research phase of the collaboration or, if Merck again exercises its option to extend the research phase of the collaboration, after such extension period, Merck may unilaterally terminate the overall agreement for convenience upon written notice and subject to certain limitations.</w:t>
      </w:r>
    </w:p>
    <w:p>
      <w:pPr>
        <w:spacing w:after="0" w:line="172"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Subject to certain limitations, Merck may partially terminate the Collaboration Agreement for convenience as it relates to MK-3655 (NGM313) or any future licensed program. For example, Merck terminated its license to our GDF15 receptor agonist program, including NGM395 and NGM386, in May 2019. Merck may also unilaterally terminate the agreement as it relates to its rights to research and develop small molecule compounds. It may also unilaterally terminate the agreement with respect to a specific licensed program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licensed program.</w:t>
      </w:r>
    </w:p>
    <w:p>
      <w:pPr>
        <w:spacing w:after="0" w:line="179"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If Merck terminates funding, terminates the Collaboration Agreement, decides not to further extend the research phase of the collaboration or shifts the focus of its research and development funding, it would delay or preclude our ability complete our research and development programs, which would materially and adversely affect our business. For example, if Merck elects not to exercise its remaining option to extend the research phase of the collaboration beyond March 16, 2022, which Merck may unilaterally elect to do at its sole discretion, we would require significant additional capital in order to proceed with development and commercialization of any product candidates that had been subject to the Merck collaboration but Merck decides not to proceed with after termination of the research phase, or we will need to enter into additional collaboration or license agreements in order to fund such development and commercialization, which may not be possible, or we may be required to delay, scale back or discontinue development of such product candidates.</w:t>
      </w:r>
    </w:p>
    <w:p>
      <w:pPr>
        <w:spacing w:after="0" w:line="284" w:lineRule="exact"/>
        <w:rPr>
          <w:sz w:val="20"/>
          <w:szCs w:val="20"/>
          <w:color w:val="auto"/>
        </w:rPr>
      </w:pPr>
    </w:p>
    <w:p>
      <w:pPr>
        <w:ind w:left="120" w:right="60"/>
        <w:spacing w:after="0" w:line="285" w:lineRule="auto"/>
        <w:rPr>
          <w:sz w:val="20"/>
          <w:szCs w:val="20"/>
          <w:color w:val="auto"/>
        </w:rPr>
      </w:pPr>
      <w:r>
        <w:rPr>
          <w:rFonts w:ascii="Arial" w:cs="Arial" w:eastAsia="Arial" w:hAnsi="Arial"/>
          <w:sz w:val="18"/>
          <w:szCs w:val="18"/>
          <w:b w:val="1"/>
          <w:bCs w:val="1"/>
          <w:i w:val="1"/>
          <w:iCs w:val="1"/>
          <w:color w:val="auto"/>
        </w:rPr>
        <w:t>We may not be able to obtain and maintain the relationships with third parties that are necessary to develop, commercialize and manufacture some or all of our product candidates.</w:t>
      </w:r>
    </w:p>
    <w:p>
      <w:pPr>
        <w:spacing w:after="0" w:line="21"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CROs, clinical investigators, manufacturers and other third parties to support our discovery efforts, to formulate product candidates, to conduct clinical trials for some or all of our product candidates, to manufacture clinical and commercial 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commercialization and manufacturing of our products or product candidates, which could harm our results of operations.</w:t>
      </w:r>
    </w:p>
    <w:p>
      <w:pPr>
        <w:spacing w:after="0" w:line="17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or products ourselves, including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172"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If any of our product candidates are approved by the FDA or other regulatory agencies for commercial sale, we or our collaborator may need to manufacture it in larger quantities. We intend to use third-party manufacturers for commercial quantities of aldafermin, NGM120, NGM621, NGM707</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00"/>
          </w:cols>
          <w:pgMar w:left="320" w:top="455" w:right="4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NGM438, to the extent we advance these product candidates, and will rely on Merck to determine whether to utilize a third-party manufacturer or internal manufacturing capacity for MK-3655 (NGM313) and other licensed product candidates. Our or our collaborator’s manufacturers may not be able to successfully increase the manufacturing capacity for any of our product candidates in a timely or efficient manner, or at all. If we or our collaborator are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current Good Manufacturing Practices, or cGMP, and to pass inspections of the manufacturing facilities by the FDA or other regulatory agencies could seriously harm our business.</w:t>
      </w:r>
    </w:p>
    <w:p>
      <w:pPr>
        <w:spacing w:after="0" w:line="180"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We cannot guarantee that we or, as applicable, our collaborator will be able to successfully negotiate agreements for, or maintain relationships with, collaborators, partners, licensees, CROs, clinical investigators, manufacturers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w:t>
      </w:r>
    </w:p>
    <w:p>
      <w:pPr>
        <w:spacing w:after="0" w:line="172" w:lineRule="exact"/>
        <w:rPr>
          <w:sz w:val="20"/>
          <w:szCs w:val="20"/>
          <w:color w:val="auto"/>
        </w:rPr>
      </w:pPr>
    </w:p>
    <w:p>
      <w:pPr>
        <w:ind w:left="120" w:right="140" w:firstLine="551"/>
        <w:spacing w:after="0" w:line="258" w:lineRule="auto"/>
        <w:rPr>
          <w:sz w:val="20"/>
          <w:szCs w:val="20"/>
          <w:color w:val="auto"/>
        </w:rPr>
      </w:pPr>
      <w:r>
        <w:rPr>
          <w:rFonts w:ascii="Arial" w:cs="Arial" w:eastAsia="Arial" w:hAnsi="Arial"/>
          <w:sz w:val="17"/>
          <w:szCs w:val="17"/>
          <w:color w:val="auto"/>
        </w:rPr>
        <w:t>We expect to expend substantial management time and effort to enter into relationships with third parties and, if we successfully enter into such relationships, to manage these relationships. In addition, substantial capital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spacing w:after="0" w:line="271" w:lineRule="exact"/>
        <w:rPr>
          <w:sz w:val="20"/>
          <w:szCs w:val="20"/>
          <w:color w:val="auto"/>
        </w:rPr>
      </w:pPr>
    </w:p>
    <w:p>
      <w:pPr>
        <w:ind w:left="120" w:right="20"/>
        <w:spacing w:after="0" w:line="285"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21"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aldafermin, NGM395 and NGM386, we may decide to collaborate with other pharmaceutical and biotechnology companies for their development and potential commercialization.</w:t>
      </w:r>
    </w:p>
    <w:p>
      <w:pPr>
        <w:spacing w:after="0" w:line="16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and the existence of uncertainty with respect to our ownership of intellectual property, which can exist if there is a challenge to such ownership without regard to the merits of the challenge and industry and market conditions generally. Potential collaborators may also consider alternative product candidates or intellectual property for similar indications that may be available for collaboration and whether such an alternative collaboration could be more attractive than the one with us for our product candidate.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060"/>
          </w:cols>
          <w:pgMar w:left="320" w:top="455" w:right="51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58"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Collaboration Agreement, any medicine or product candidate that modulates a target then subject to the collaboration with specified activity. The FGF19 program, including aldafermin, is excluded from this provision, notwithstanding that both aldafermin and MK-3655 (NGM313) signal, in part, through the FGFR1c pathway. During the tail period following the research term of the collaboration, we may not directly or indirectly research, develop or commercialize, outside of the collaboration, any medicine or product candidate with specified activity against any collaboration target that has been designated a tail target.</w:t>
      </w:r>
    </w:p>
    <w:p>
      <w:pPr>
        <w:spacing w:after="0" w:line="163" w:lineRule="exact"/>
        <w:rPr>
          <w:sz w:val="20"/>
          <w:szCs w:val="20"/>
          <w:color w:val="auto"/>
        </w:rPr>
      </w:pPr>
    </w:p>
    <w:p>
      <w:pPr>
        <w:jc w:val="both"/>
        <w:ind w:left="120" w:right="180" w:firstLine="551"/>
        <w:spacing w:after="0" w:line="306" w:lineRule="auto"/>
        <w:rPr>
          <w:sz w:val="20"/>
          <w:szCs w:val="20"/>
          <w:color w:val="auto"/>
        </w:rPr>
      </w:pPr>
      <w:r>
        <w:rPr>
          <w:rFonts w:ascii="Arial" w:cs="Arial" w:eastAsia="Arial" w:hAnsi="Arial"/>
          <w:sz w:val="17"/>
          <w:szCs w:val="17"/>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23"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delay, scale back or discontinue the development of any product candidate for which we are seeking a collaboration,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7" w:lineRule="exact"/>
        <w:rPr>
          <w:sz w:val="20"/>
          <w:szCs w:val="20"/>
          <w:color w:val="auto"/>
        </w:rPr>
      </w:pPr>
    </w:p>
    <w:p>
      <w:pPr>
        <w:jc w:val="both"/>
        <w:ind w:left="120" w:right="160"/>
        <w:spacing w:after="0" w:line="314"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some aspects of our research and preclinical studies, and those third parties may not perform satisfactorily, including failing to meet deadlines for the completion of such trials, research or testing.</w:t>
      </w:r>
    </w:p>
    <w:p>
      <w:pPr>
        <w:spacing w:after="0" w:line="2" w:lineRule="exact"/>
        <w:rPr>
          <w:sz w:val="20"/>
          <w:szCs w:val="20"/>
          <w:color w:val="auto"/>
        </w:rPr>
      </w:pPr>
    </w:p>
    <w:p>
      <w:pPr>
        <w:ind w:left="120" w:right="40" w:firstLine="551"/>
        <w:spacing w:after="0" w:line="268" w:lineRule="auto"/>
        <w:rPr>
          <w:sz w:val="20"/>
          <w:szCs w:val="20"/>
          <w:color w:val="auto"/>
        </w:rPr>
      </w:pPr>
      <w:r>
        <w:rPr>
          <w:rFonts w:ascii="Arial" w:cs="Arial" w:eastAsia="Arial" w:hAnsi="Arial"/>
          <w:sz w:val="17"/>
          <w:szCs w:val="17"/>
          <w:color w:val="auto"/>
        </w:rPr>
        <w:t>We currently rely on, and expect to continue to rely on, third parties, such as CROs, clinical data management organizations, medical institutions, consultants and clinical investigators, to conduct our clinical trials and certain aspects of our research and preclinical studies.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153"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7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100"/>
          </w:cols>
          <w:pgMar w:left="320" w:top="455" w:right="4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76" w:lineRule="auto"/>
        <w:rPr>
          <w:sz w:val="20"/>
          <w:szCs w:val="20"/>
          <w:color w:val="auto"/>
        </w:rPr>
      </w:pPr>
      <w:r>
        <w:rPr>
          <w:rFonts w:ascii="Arial" w:cs="Arial" w:eastAsia="Arial" w:hAnsi="Arial"/>
          <w:sz w:val="18"/>
          <w:szCs w:val="18"/>
          <w:color w:val="auto"/>
        </w:rPr>
        <w:t>commercialize our medicines. In this regard, we cannot guarantee that these third parties will continue to perform their contractual duties in a timely and satisfactory manner as a result of the COVID-19 pandemic or otherwise.</w:t>
      </w:r>
    </w:p>
    <w:p>
      <w:pPr>
        <w:spacing w:after="0" w:line="145"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8"/>
          <w:szCs w:val="18"/>
          <w:color w:val="auto"/>
        </w:rPr>
        <w:t>We also expect to rely on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164" w:lineRule="exact"/>
        <w:rPr>
          <w:sz w:val="20"/>
          <w:szCs w:val="20"/>
          <w:color w:val="auto"/>
        </w:rPr>
      </w:pPr>
    </w:p>
    <w:p>
      <w:pPr>
        <w:ind w:left="120" w:right="480" w:firstLine="551"/>
        <w:spacing w:after="0" w:line="255" w:lineRule="auto"/>
        <w:rPr>
          <w:sz w:val="20"/>
          <w:szCs w:val="20"/>
          <w:color w:val="auto"/>
        </w:rPr>
      </w:pPr>
      <w:r>
        <w:rPr>
          <w:rFonts w:ascii="Arial" w:cs="Arial" w:eastAsia="Arial" w:hAnsi="Arial"/>
          <w:sz w:val="18"/>
          <w:szCs w:val="18"/>
          <w:color w:val="auto"/>
        </w:rPr>
        <w:t>In addition, we rely on these third parties to provide accurate financial information related to our research and development activities and if any inaccurate financial information were provided by these third parties, our results of operations could be adversely impacted.</w:t>
      </w:r>
    </w:p>
    <w:p>
      <w:pPr>
        <w:spacing w:after="0" w:line="272"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and clinical studies and expect to continue to do so for commercialization. This reliance on third parties increases the risk that we will not have sufficient quantities of our product candidates or that such supply will not be available to us on our requested timeline or at an acceptable cost, which could delay, prevent or impair our development or commercialization efforts.</w:t>
      </w:r>
    </w:p>
    <w:p>
      <w:pPr>
        <w:spacing w:after="0" w:line="52"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studies and for commercial supply of any of these product candidates for which we or our collaborator obtains marketing approval. To date, we have obtained aldafermin, MK-3655 (NGM313), NGM120, NGM621, NGM707 and NGM438 for preclinical and clinical studies from third-party manufacturers. Other than our supply agreement with Lonza for aldafermin drug substance, we do not have a long-term supply agreement with any third-party manufacturer.</w:t>
      </w:r>
    </w:p>
    <w:p>
      <w:pPr>
        <w:spacing w:after="0" w:line="172"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We may be unable to establish any agreements with third-party manufacturers on acceptable terms or at all. Even if we are able to establish agreements with third-party manufacturers, reliance on third-party manufacturers entails additional risks, including:</w:t>
      </w:r>
    </w:p>
    <w:p>
      <w:pPr>
        <w:spacing w:after="0" w:line="50" w:lineRule="exact"/>
        <w:rPr>
          <w:sz w:val="20"/>
          <w:szCs w:val="20"/>
          <w:color w:val="auto"/>
        </w:rPr>
      </w:pPr>
    </w:p>
    <w:p>
      <w:pPr>
        <w:ind w:left="880" w:right="60" w:hanging="224"/>
        <w:spacing w:after="0" w:line="27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the failure to supply product on the timelines and at the cost agreed to;</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12"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Third-party manufacturers may not be able to comply with cGMP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172"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our product candidates.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In this regard, remote work policies and quarantines, shelter-in-place and similar government orders related to the COVID-19 pandemic could impact personnel at third-party manufacturing facilities in the United States and other countries, or the availability or cost of materials, which would disrupt our supply chain and delay our clinical development efforts. In particular, some of our suppliers of certain materials used in the production of our drug products are located in Europe. For example, any manufacturing supply interruption of aldafermin, which is currently manufactured by Lonza at facilities in Switzerland, or our other product candidates, which are currently manufactured at a facility in Lithuania, could adversely affect our ability to conduct ongoing and future clinical trials of aldafermin and our other product candidates. We do not currently have arrangements in place for redundant supply for bulk drug substances or drug product. If any one of our current contract manufacturers cannot perform as agreed, we may be required to replace that manufacturer, if possible. Although there may be potential alternative manufacturers who could manufacture our product candidates, we would incur additional costs and experience delays in identifying and qualifying any such replacement.</w:t>
      </w:r>
    </w:p>
    <w:p>
      <w:pPr>
        <w:spacing w:after="0" w:line="176"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any future products may adversely affect our future profit margins and our ability to commercialize any products that receive marketing approval on a timely and competitive basis. Refer also to the risk factor entitled “We are subject to many manufacturing risks, any of which could substantially increase our costs and limit supply of our product candidates and any future products.”</w:t>
      </w: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14"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None of our product candidates has received regulatory approval. If we are unable to obtain regulatory approvals to market one or more of our product candidates, our business will be adversely affected.</w:t>
      </w:r>
    </w:p>
    <w:p>
      <w:pPr>
        <w:spacing w:after="0" w:line="21"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The approval process is typically lengthy and expensive, and approval is never certain. We do not know whether regulatory agencies will grant approval for any of our product candidates.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 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291"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43"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preclinical and clinical data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100"/>
          </w:cols>
          <w:pgMar w:left="320" w:top="455" w:right="4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76" w:lineRule="auto"/>
        <w:rPr>
          <w:sz w:val="20"/>
          <w:szCs w:val="20"/>
          <w:color w:val="auto"/>
        </w:rPr>
      </w:pPr>
      <w:r>
        <w:rPr>
          <w:rFonts w:ascii="Arial" w:cs="Arial" w:eastAsia="Arial" w:hAnsi="Arial"/>
          <w:sz w:val="18"/>
          <w:szCs w:val="18"/>
          <w:color w:val="auto"/>
        </w:rPr>
        <w:t>necessary to gain approval may change during the course of a product candidate’s development and may vary among jurisdictions. It is possible that none of our existing or future product candidates will ever obtain regulatory approval.</w:t>
      </w:r>
    </w:p>
    <w:p>
      <w:pPr>
        <w:spacing w:after="0" w:line="145"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50"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results of clinical trials to meet the level of statistical significance required for approval;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 BLA or other submission or to obtain regulatory approval;</w:t>
      </w:r>
    </w:p>
    <w:p>
      <w:pPr>
        <w:spacing w:after="0" w:line="50"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1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7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Fast Track designation applies to the combination of the product and the specific indication for which it is being studied. Unique to a Fast Track product, the FDA may consider sections of the BLA for review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pacing w:after="0" w:line="176" w:lineRule="exact"/>
        <w:rPr>
          <w:sz w:val="20"/>
          <w:szCs w:val="20"/>
          <w:color w:val="auto"/>
        </w:rPr>
      </w:pPr>
    </w:p>
    <w:p>
      <w:pPr>
        <w:ind w:left="120" w:right="80" w:firstLine="551"/>
        <w:spacing w:after="0" w:line="260" w:lineRule="auto"/>
        <w:rPr>
          <w:sz w:val="20"/>
          <w:szCs w:val="20"/>
          <w:color w:val="auto"/>
        </w:rPr>
      </w:pPr>
      <w:r>
        <w:rPr>
          <w:rFonts w:ascii="Arial" w:cs="Arial" w:eastAsia="Arial" w:hAnsi="Arial"/>
          <w:sz w:val="17"/>
          <w:szCs w:val="17"/>
          <w:color w:val="auto"/>
        </w:rPr>
        <w:t>Although aldafermin has received Fast Track designation from the FDA for NASH and PBC, we may not necessarily experience faster development timelines or achieve faster review or approval compared to conventional FDA procedures. Many agents in development for NASH have, or are expected to, opt for an accelerated approval pathway and rely on surrogate endpoints for initial approval. If we seek accelerated approval for one of our product candidates, including aldafermin for NASH, based on a surrogate endpoint, the FDA may not accept such endpoint, may require additional studies or analysis or may not approve our product candidate on an accelerated basis, or at all. For example, in June 2020, Intercept announced that it had received a complete response letter regarding</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its New Drug Application for OCA for the treatment of NASH, in which the FDA indicated that it had determined that the predicted benefit of OCA based on a surrogate histopathologic endpoint was uncertain and did not sufficiently outweigh the potential risks to support accelerated approval for the treatment of patients with liver fibrosis due to NASH. The FDA recommended that Intercept submit additional post-interim analysis efficacy and safety data from its ongoing Phase 3 study in support of potential accelerated approval and that the long-term outcomes phase of the study should continue.</w:t>
      </w:r>
    </w:p>
    <w:p>
      <w:pPr>
        <w:spacing w:after="0" w:line="172" w:lineRule="exact"/>
        <w:rPr>
          <w:sz w:val="20"/>
          <w:szCs w:val="20"/>
          <w:color w:val="auto"/>
        </w:rPr>
      </w:pPr>
    </w:p>
    <w:p>
      <w:pPr>
        <w:ind w:left="120" w:right="200" w:firstLine="551"/>
        <w:spacing w:after="0" w:line="277" w:lineRule="auto"/>
        <w:rPr>
          <w:sz w:val="20"/>
          <w:szCs w:val="20"/>
          <w:color w:val="auto"/>
        </w:rPr>
      </w:pPr>
      <w:r>
        <w:rPr>
          <w:rFonts w:ascii="Arial" w:cs="Arial" w:eastAsia="Arial" w:hAnsi="Arial"/>
          <w:sz w:val="17"/>
          <w:szCs w:val="17"/>
          <w:color w:val="auto"/>
        </w:rPr>
        <w:t>Further,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aldafermin or any other product candidate that we are developing or may develop.</w:t>
      </w:r>
    </w:p>
    <w:p>
      <w:pPr>
        <w:spacing w:after="0" w:line="255" w:lineRule="exact"/>
        <w:rPr>
          <w:sz w:val="20"/>
          <w:szCs w:val="20"/>
          <w:color w:val="auto"/>
        </w:rPr>
      </w:pPr>
    </w:p>
    <w:p>
      <w:pPr>
        <w:ind w:left="120" w:right="160"/>
        <w:spacing w:after="0" w:line="285"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2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If we or our collaborators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04" w:lineRule="exact"/>
        <w:rPr>
          <w:sz w:val="20"/>
          <w:szCs w:val="20"/>
          <w:color w:val="auto"/>
        </w:rPr>
      </w:pPr>
    </w:p>
    <w:p>
      <w:pPr>
        <w:ind w:left="120" w:right="140" w:firstLine="551"/>
        <w:spacing w:after="0" w:line="243" w:lineRule="auto"/>
        <w:rPr>
          <w:sz w:val="20"/>
          <w:szCs w:val="20"/>
          <w:color w:val="auto"/>
        </w:rPr>
      </w:pPr>
      <w:r>
        <w:rPr>
          <w:rFonts w:ascii="Arial" w:cs="Arial" w:eastAsia="Arial" w:hAnsi="Arial"/>
          <w:sz w:val="18"/>
          <w:szCs w:val="18"/>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16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84" w:lineRule="exact"/>
        <w:rPr>
          <w:sz w:val="20"/>
          <w:szCs w:val="20"/>
          <w:color w:val="auto"/>
        </w:rPr>
      </w:pPr>
    </w:p>
    <w:p>
      <w:pPr>
        <w:ind w:left="880" w:right="260" w:hanging="224"/>
        <w:spacing w:after="0" w:line="27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117" w:lineRule="exact"/>
        <w:rPr>
          <w:rFonts w:ascii="Arial" w:cs="Arial" w:eastAsia="Arial" w:hAnsi="Arial"/>
          <w:sz w:val="18"/>
          <w:szCs w:val="18"/>
          <w:color w:val="auto"/>
        </w:rPr>
      </w:pPr>
    </w:p>
    <w:p>
      <w:pPr>
        <w:ind w:left="880" w:right="320" w:hanging="224"/>
        <w:spacing w:after="0" w:line="27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initiate a recall of such product;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12" w:lineRule="exact"/>
        <w:rPr>
          <w:sz w:val="20"/>
          <w:szCs w:val="20"/>
          <w:color w:val="auto"/>
        </w:rPr>
      </w:pPr>
    </w:p>
    <w:p>
      <w:pPr>
        <w:ind w:left="120" w:right="660" w:firstLine="551"/>
        <w:spacing w:after="0" w:line="276"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145"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72"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3" w:lineRule="auto"/>
        <w:rPr>
          <w:sz w:val="20"/>
          <w:szCs w:val="20"/>
          <w:color w:val="auto"/>
        </w:rPr>
      </w:pPr>
      <w:r>
        <w:rPr>
          <w:rFonts w:ascii="Arial" w:cs="Arial" w:eastAsia="Arial" w:hAnsi="Arial"/>
          <w:sz w:val="18"/>
          <w:szCs w:val="18"/>
          <w:color w:val="auto"/>
        </w:rPr>
        <w:t>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17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78"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43" w:lineRule="exact"/>
        <w:rPr>
          <w:sz w:val="20"/>
          <w:szCs w:val="20"/>
          <w:color w:val="auto"/>
        </w:rPr>
      </w:pPr>
    </w:p>
    <w:p>
      <w:pPr>
        <w:ind w:left="120" w:right="180" w:firstLine="551"/>
        <w:spacing w:after="0" w:line="239" w:lineRule="auto"/>
        <w:rPr>
          <w:sz w:val="20"/>
          <w:szCs w:val="20"/>
          <w:color w:val="auto"/>
        </w:rPr>
      </w:pPr>
      <w:r>
        <w:rPr>
          <w:rFonts w:ascii="Arial" w:cs="Arial" w:eastAsia="Arial" w:hAnsi="Arial"/>
          <w:sz w:val="18"/>
          <w:szCs w:val="18"/>
          <w:color w:val="auto"/>
        </w:rPr>
        <w:t>Even if we receive regulatory approval for aldafermin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aldafermin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success depends in significant part on our ability and the ability of our current or future licensors, licensees or collaborators to establish and maintain adequate intellectual property covering the product candidates that we plan to develop. In addition to taking other steps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100"/>
          </w:cols>
          <w:pgMar w:left="320" w:top="455" w:right="4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before it is too late to obtain patent protection for them. Pending and future patent applications filed by us or our current or future licensors’, licensees’ or collaborators’ may not result in patents being issued that protect our technology or product candidates, or products resulting therefrom, in whole or in part, or that effectively prevent others from commercializing competitive technologies and products.</w:t>
      </w:r>
    </w:p>
    <w:p>
      <w:pPr>
        <w:spacing w:after="0" w:line="147"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color w:val="auto"/>
        </w:rPr>
        <w:t>We have filed numerous patent applications both in the United States and in certain foreign jurisdictions to obtain patent rights to our inventions, with claims directed to compositions of matter, methods of use, formulations, combination therapy and other technologies relating to our product candidates. However,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spacing w:after="0" w:line="18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The patent examination process may require us or our current or future licensors, licensees or collaborators to narrow the scope of the claims of pending and future patent applications, which would limit the scope of patent protection that is obtained, if any.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patent rights and those of our current or future licensors, licensees or collaborators are highly uncertain and may not effectively prevent others from commercializing competitive technologies and products.</w:t>
      </w:r>
    </w:p>
    <w:p>
      <w:pPr>
        <w:spacing w:after="0" w:line="18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Success in obtaining and maintaining patents and other intellectual property rights may depend upon being the first to make a particular invention or being the first inventor to file a patent application on that invention. However, the publication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an invention, or the first inventors to file a patent application claiming an invention in our owned or licensed patents or pending patent applications.</w:t>
      </w:r>
    </w:p>
    <w:p>
      <w:pPr>
        <w:spacing w:after="0" w:line="17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179" w:lineRule="exact"/>
        <w:rPr>
          <w:sz w:val="20"/>
          <w:szCs w:val="20"/>
          <w:color w:val="auto"/>
        </w:rPr>
      </w:pPr>
    </w:p>
    <w:p>
      <w:pPr>
        <w:ind w:left="120" w:right="40" w:firstLine="551"/>
        <w:spacing w:after="0" w:line="276" w:lineRule="auto"/>
        <w:rPr>
          <w:sz w:val="20"/>
          <w:szCs w:val="20"/>
          <w:color w:val="auto"/>
        </w:rPr>
      </w:pPr>
      <w:r>
        <w:rPr>
          <w:rFonts w:ascii="Arial" w:cs="Arial" w:eastAsia="Arial" w:hAnsi="Arial"/>
          <w:sz w:val="18"/>
          <w:szCs w:val="18"/>
          <w:color w:val="auto"/>
        </w:rPr>
        <w:t>We do not currently own or have a license to any issued patents that cover our NGM621 product candidate, although it is disclosed and claimed in our pending U.S. non-provisional and/or national</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stage applications in particular foreign countries. Likewise, we do not currently own or have a license to any issued patents that cover our NGM707 and NGM438 product candidates, although these product candidates are disclosed and claimed in our pending U.S. provisional applications. The patent landscape surrounding NGM621, NGM707 and NGM438 are crowded, and there can be no assurance that we will be able to secure patent protection that would adequately cover such product candidates, nor can there be any assurance that we would obtain sufficiently broad claims to be able to prevent others from selling competing products.</w:t>
      </w:r>
    </w:p>
    <w:p>
      <w:pPr>
        <w:spacing w:after="0" w:line="172"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color w:val="auto"/>
        </w:rPr>
        <w:t>Any changes we make to our product candidates, including aldafermin, MK-3655 (NGM313), NGM120, NGM621, NGM707 and NGM 438,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aldafermin molecule, including half-life extending formulation enhancements or the half-life extended variants of FGF19 that we are developing, MK-3655 (NGM313), NGM120, NGM621, NGM707 and NGM438 or any of our other product candidates.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Thus, our existing patents and any future patents we obtain may not be sufficiently broad to prevent others from practicing our inventions or technologies, or from developing or commercializing competing products.</w:t>
      </w:r>
    </w:p>
    <w:p>
      <w:pPr>
        <w:spacing w:after="0" w:line="172"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is prohibitively expensive, and our intellectual property rights in some countries outside the United States are less extensive than those in the United States. Competitors may use our technology and that of our current or future licensors, licensees or collaborators in jurisdictions where we have not obtained patent protection to develop their own products and, in some cases, may export otherwise infringing products to territories where we and our collaborator have patent protection, but enforcement is not as strong as that in the United States. These products may compete with our products and product candidates, and our patents or other intellectual property rights may not be effective or sufficient to prevent that competition.</w:t>
      </w:r>
    </w:p>
    <w:p>
      <w:pPr>
        <w:spacing w:after="0" w:line="17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Europe and other countries impose limitations on inventions related to methods for treating the human body. Differences in national law and practice may limit the breadth and strength of any patents obtained by us or our current or future licensors, licensees or collaborators.</w:t>
      </w:r>
    </w:p>
    <w:p>
      <w:pPr>
        <w:spacing w:after="0" w:line="170"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India, certain countries in Europe, and certain developing countries, including Thailand, have compulsory licensing laws under which a patent owner may be compelled to grant licenses to third parties. Additionally, many countries limit the enforceability of patents against government agencies or government contractors. We or our licensors, licensees or collaborators may have limited remedies if patents are infringed or if compelled to grant a license to a third party, which could materially diminish the value of those patents and could limit our potential revenue opportunities. Accordingly, our efforts, and those of our licensors, licensees or collaborators, to enforce intellectual property rights around the world may be inadequate to obtain a significant commercial advantage from the intellectual property that we own or license.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Patent applications, issued patents and/or parts thereof must be translated into the native language in many foreign countries. If our patent applications or issued patents are translated incorrectly, they may not adequately cover our products, product candidates, or other technologies and it may not be possible to rectify an incorrect translation.</w:t>
      </w:r>
    </w:p>
    <w:p>
      <w:pPr>
        <w:spacing w:after="0" w:line="16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or our current or future licensors, licensees or collaborators to stop the infringement of the patents or the marketing of competing products in violation of the patent or other proprietary rights. Proceedings to enforce patent rights in foreign jurisdictions could result in substantial costs and divert the attention of us or our current or future licensors, licensees or collaborators from other aspects of our business, could put the patents at risk of being invalidated or interpreted narrowly, could place the patent applications at risk of not issuing, and/or could provoke third parties to assert claims against us or our current or future licensors, licensees or collaborators. We or our current or future licensors, licensees or collaborators may not prevail in any lawsuits that are initiated and the damages or other remedies awarded, if any, may not be commercially meaningful.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duration of our intellectual property rights is limited.</w:t>
      </w:r>
    </w:p>
    <w:p>
      <w:pPr>
        <w:spacing w:after="0" w:line="104"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Patents generally have a term of 20 years from the earliest effective filing date of the application that first discloses the claimed invention or an obvious variant thereof.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and we may need to rely solely on regulatory or similar protections, if they are available.</w:t>
      </w:r>
    </w:p>
    <w:p>
      <w:pPr>
        <w:spacing w:after="0" w:line="17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expect to seek extensions of patent terms for our issued patents, where available. In the United States, this includes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the patent are not enforceable over their full scope, but instead are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291" w:lineRule="exact"/>
        <w:rPr>
          <w:sz w:val="20"/>
          <w:szCs w:val="20"/>
          <w:color w:val="auto"/>
        </w:rPr>
      </w:pPr>
    </w:p>
    <w:p>
      <w:pPr>
        <w:ind w:left="120" w:right="20"/>
        <w:spacing w:after="0" w:line="285" w:lineRule="auto"/>
        <w:rPr>
          <w:sz w:val="20"/>
          <w:szCs w:val="20"/>
          <w:color w:val="auto"/>
        </w:rPr>
      </w:pPr>
      <w:r>
        <w:rPr>
          <w:rFonts w:ascii="Arial" w:cs="Arial" w:eastAsia="Arial" w:hAnsi="Arial"/>
          <w:sz w:val="18"/>
          <w:szCs w:val="18"/>
          <w:b w:val="1"/>
          <w:bCs w:val="1"/>
          <w:i w:val="1"/>
          <w:iCs w:val="1"/>
          <w:color w:val="auto"/>
        </w:rPr>
        <w:t>Non-compliance with various procedural, document submission, fee payment and other requirements imposed by governmental patent agencies could adversely affect our patent protection.</w:t>
      </w:r>
    </w:p>
    <w:p>
      <w:pPr>
        <w:spacing w:after="0" w:line="21"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Periodic maintenance and annuity fees on issued United States patents and most foreign patent applications and patents must be paid to the U.S. Patent and Trademark Office, or USPTO, and</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be cured, in some cases,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current or future licensors, licensees or collaborators fail to maintain the patents and patent applications covering our product candidates, our competitors might be able to enter the market with similar or identical products or technologies, which would have a material adverse effect on our business, financial condition and results of operations.</w:t>
      </w:r>
    </w:p>
    <w:p>
      <w:pPr>
        <w:spacing w:after="0" w:line="288"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 and product candidates.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and the United States Court of Appeals for the Federal Circuit have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could weaken the ability of us and our current or future licensors, licensees or collaborators to obtain new patents or to enforce existing patents and patents we may obtain in the future.</w:t>
      </w:r>
    </w:p>
    <w:p>
      <w:pPr>
        <w:spacing w:after="0" w:line="288" w:lineRule="exact"/>
        <w:rPr>
          <w:sz w:val="20"/>
          <w:szCs w:val="20"/>
          <w:color w:val="auto"/>
        </w:rPr>
      </w:pPr>
    </w:p>
    <w:p>
      <w:pPr>
        <w:ind w:left="120" w:right="220"/>
        <w:spacing w:after="0" w:line="285"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21"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Several third parties are actively researching and seeking and obtaining patent protection in the liver and metabolic diseases, retinal diseases and cancer fields, and there are issued third-party patents and published third-party patent applications in these fields. The patent landscape around our aldafermin, MK-3655 (NGM313), NGM120, NGM621, NGM707 and NGM438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spacing w:after="0" w:line="179"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020"/>
          </w:cols>
          <w:pgMar w:left="320" w:top="455" w:right="5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60"/>
        <w:spacing w:after="0" w:line="306" w:lineRule="auto"/>
        <w:rPr>
          <w:sz w:val="20"/>
          <w:szCs w:val="20"/>
          <w:color w:val="auto"/>
        </w:rPr>
      </w:pPr>
      <w:r>
        <w:rPr>
          <w:rFonts w:ascii="Arial" w:cs="Arial" w:eastAsia="Arial" w:hAnsi="Arial"/>
          <w:sz w:val="17"/>
          <w:szCs w:val="17"/>
          <w:color w:val="auto"/>
        </w:rPr>
        <w:t>Moreover, even if we obtain licenses to such intellectual property, but subsequently fail to meet our obligations under our license agreements, or such license agreements are terminated for any other reason, we may lose our rights to in-licensed technologies.</w:t>
      </w:r>
    </w:p>
    <w:p>
      <w:pPr>
        <w:spacing w:after="0" w:line="12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8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could lose the ability to continue the development and commercialization of our products or product candidates if we breach any license agreement related to those products or product candidates.</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commercial success depends upon our ability, and the ability of our current and future licensors, licensees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under which we license cell lines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 -licenses to third parties, which could affect our ability or Merck’s ability to use certain desired manufacturers in order to manufacture our product candidates.</w:t>
      </w:r>
    </w:p>
    <w:p>
      <w:pPr>
        <w:spacing w:after="0" w:line="180" w:lineRule="exact"/>
        <w:rPr>
          <w:sz w:val="20"/>
          <w:szCs w:val="20"/>
          <w:color w:val="auto"/>
        </w:rPr>
      </w:pPr>
    </w:p>
    <w:p>
      <w:pPr>
        <w:ind w:left="120" w:right="80" w:firstLine="551"/>
        <w:spacing w:after="0" w:line="268" w:lineRule="auto"/>
        <w:rPr>
          <w:sz w:val="20"/>
          <w:szCs w:val="20"/>
          <w:color w:val="auto"/>
        </w:rPr>
      </w:pPr>
      <w:r>
        <w:rPr>
          <w:rFonts w:ascii="Arial" w:cs="Arial" w:eastAsia="Arial" w:hAnsi="Arial"/>
          <w:sz w:val="17"/>
          <w:szCs w:val="17"/>
          <w:color w:val="auto"/>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261" w:lineRule="exact"/>
        <w:rPr>
          <w:sz w:val="20"/>
          <w:szCs w:val="20"/>
          <w:color w:val="auto"/>
        </w:rPr>
      </w:pPr>
    </w:p>
    <w:p>
      <w:pPr>
        <w:ind w:left="120" w:right="680"/>
        <w:spacing w:after="0" w:line="285"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21"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Third parties may infringe patents or misappropriate or otherwise violate intellectual property rights owned or controlled by us or our current or future licensors, licensees or collaborators. In the future, it may be necessary to initiate legal proceedings to enforce or defend these intellectual property</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40"/>
        <w:spacing w:after="0" w:line="255" w:lineRule="auto"/>
        <w:rPr>
          <w:sz w:val="20"/>
          <w:szCs w:val="20"/>
          <w:color w:val="auto"/>
        </w:rPr>
      </w:pPr>
      <w:r>
        <w:rPr>
          <w:rFonts w:ascii="Arial" w:cs="Arial" w:eastAsia="Arial" w:hAnsi="Arial"/>
          <w:sz w:val="18"/>
          <w:szCs w:val="18"/>
          <w:color w:val="auto"/>
        </w:rPr>
        <w:t>rights, to protect trade secrets or to determine the validity or scope of intellectual property rights that are owned or controlled by us or our current or future licensors, licensees or collaborators. Litigation could result in substantial costs and diversion of management resources, which could harm our business and financial results.</w:t>
      </w:r>
    </w:p>
    <w:p>
      <w:pPr>
        <w:spacing w:after="0" w:line="164"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If we or our current or future licensors, licensees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or our current or future licensors, licensees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or collaborators. These proceedings can be expensive, lengthy and time-consuming, and many of our adversaries may have the ability to dedicate substantially greater resources to prosecuting these legal actions than us. Accordingly, despite our efforts, we or our current or future licensors, licensees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spacing w:after="0" w:line="18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7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Third-party pre -issuance submission of prior art to the USPTO, opposition, derivation, revocation, reexamination, inter partes 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spacing w:after="0" w:line="4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Our commercial success depends upon our ability and that of our current or future licensors, licensees or collaborators to develop, manufacture, market and sell any product candidates that we may develop and use our proprietary technologies without infringing, misappropriating or otherwise violating the intellectual property and proprietary rights of third parties. Third parties may initiate legal proceedings against us or our current or future licensors, licensees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inter partes review or derivation proceedings before the USPTO or its counterparts in other jurisdictions. These proceedings can be expensive, lengthy and time-consuming, and many of our adversaries may have the ability to dedicate substantially greater resources to prosecuting these legal actions than us.</w:t>
      </w:r>
    </w:p>
    <w:p>
      <w:pPr>
        <w:spacing w:after="0" w:line="18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 party patent. This is a high burden, requiring us to present clear and convincing evidence as to the invalidity of any such U.S. patent claim.</w:t>
      </w:r>
    </w:p>
    <w:p>
      <w:pPr>
        <w:spacing w:after="0" w:line="170"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An unfavorable outcome in any such proceeding could require us and our current or future licensors, licensees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perform searches of patent and scientific databases in order to identify documents that may be of potential relevance to the freedom-to-operate of our product candidates. Such searches generally are conducted based on keywords, amino acid and nucleic acid sequences, inventors/authors and assignees/entities to capture U.S. and European patents and patent applications, PCT publications and scientific journal articles. There can be no assurance that these searches will identify all potentially relevant patents or patent applications, and the failure to identify any such patents or patent applications could have a material adverse effect on the commercialization of our product candidates.</w:t>
      </w:r>
    </w:p>
    <w:p>
      <w:pPr>
        <w:spacing w:after="0" w:line="17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are aware of several third-party patents and patent applications containing claims directed to compositions of matter, methods of use and related subject matter, some of which pertain, at least in part, to subject matter that might be relevant to our aldafermin, MK-3655 (NGM313), NGM120, NGM621 NGM707 and NGM438 product candidates. We are not aware of any facts that would lead us to conclude that the valid and enforceable claims of any third-party patents would reasonably be interpreted to encompass our product candidates, unless we are unsuccessful in our opposition of any of the granted European patents that are discussed below, or any appeals stemming therefrom. As to pending third-party applications, we cannot predict with any certainty the claims that will issue, if any, or the scope of such issued claims.</w:t>
      </w:r>
    </w:p>
    <w:p>
      <w:pPr>
        <w:spacing w:after="0" w:line="179"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We filed an opposition in the European Patent Office, or EPO, against a patent, granted to St. Vincent’s Hospital Sydney Limited, or St. Vincent’s, claiming the use of MIC-1, also known as GDF15, for the treatment of obesity. The Opposition Division of the EPO upheld the patent as granted in the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45" w:lineRule="auto"/>
        <w:rPr>
          <w:sz w:val="20"/>
          <w:szCs w:val="20"/>
          <w:color w:val="auto"/>
        </w:rPr>
      </w:pPr>
      <w:r>
        <w:rPr>
          <w:rFonts w:ascii="Arial" w:cs="Arial" w:eastAsia="Arial" w:hAnsi="Arial"/>
          <w:sz w:val="18"/>
          <w:szCs w:val="18"/>
          <w:color w:val="auto"/>
        </w:rPr>
        <w:t>first instance proceedings. We appealed this decision to the Board of Appeals but subsequently withdrew from the opposition. The opposition proceedings were terminated with the patent being maintained. If we were to decide to continue development of NGM395, we may not be able to commercially launch NGM395 in Europe for the treatment of obesity without a license from St. Vincent’s or until after the patent’s expiration, which is currently scheduled for April 2025. There is no assurance that such a license, if necessary, can be obtained from St. Vincent’s on commercially reasonable terms, or at all.</w:t>
      </w:r>
    </w:p>
    <w:p>
      <w:pPr>
        <w:spacing w:after="0" w:line="17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filed an opposition in the EPO against a patent, granted to Amgen, claiming the use of GDF15 polypeptides for the treatment of several metabolic disorders, including obesity. At the first instance proceedings, the Opposition Division of the EPO maintained the patent in view of amendments to the patent and statements by Amgen disclaiming the treatment of obesity. We appealed to the Board of Appeals at the EPO the Opposition Division’s decision to maintain the Amgen patent. If we were to decide to continue development of NGM395 and should the patent be upheld on appeal or should we decide not to pursue the appeal, we may not be able to commercially launch NGM395 in Europe for the treatment of any metabolic orders encompassed by the claims without a license from Amgen or until after the patent’s expiration, which is currently scheduled for April 2032. There is no assurance that such a license, if necessary, can be obtained from Amgen on commercially reasonable terms, or at all.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addition to seeking patents for some of our technology and products, we also rely substantially on trade secrets in our activities,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91"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or our employees have misappropriated their intellectual property or claiming ownership of what we regard as our own intellectual property.</w:t>
      </w:r>
    </w:p>
    <w:p>
      <w:pPr>
        <w:spacing w:after="0" w:line="21"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Most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100"/>
          </w:cols>
          <w:pgMar w:left="320" w:top="455" w:right="4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8" w:lineRule="auto"/>
        <w:rPr>
          <w:sz w:val="20"/>
          <w:szCs w:val="20"/>
          <w:color w:val="auto"/>
        </w:rPr>
      </w:pPr>
      <w:r>
        <w:rPr>
          <w:rFonts w:ascii="Arial" w:cs="Arial" w:eastAsia="Arial" w:hAnsi="Arial"/>
          <w:sz w:val="18"/>
          <w:szCs w:val="18"/>
          <w:color w:val="auto"/>
        </w:rPr>
        <w:t>such claims, we may lose valuable intellectual property rights or personnel, pay monetary damages and/or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78" w:lineRule="exact"/>
        <w:rPr>
          <w:sz w:val="20"/>
          <w:szCs w:val="20"/>
          <w:color w:val="auto"/>
        </w:rPr>
      </w:pPr>
    </w:p>
    <w:p>
      <w:pPr>
        <w:ind w:left="120" w:right="100"/>
        <w:spacing w:after="0" w:line="285" w:lineRule="auto"/>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 or otherwise be unable to secure ownership of our intellectual property.</w:t>
      </w:r>
    </w:p>
    <w:p>
      <w:pPr>
        <w:spacing w:after="0" w:line="21"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We and our current or future licensors, licensees or collaborators may be subject to claims that former employees, collaborators or other third parties have an interest in our owned or in-licensed patents, trade secrets, or other intellectual property as an inventor or co-inventor. Litigation may be necessary to defend against these and other claims. If we fail in defending any such claims, in addition to paying monetary damages, we may lose valuable intellectual property rights, such as exclusive ownership of, or right to use, intellectual property that is important to our products and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79" w:lineRule="exact"/>
        <w:rPr>
          <w:sz w:val="20"/>
          <w:szCs w:val="20"/>
          <w:color w:val="auto"/>
        </w:rPr>
      </w:pPr>
    </w:p>
    <w:p>
      <w:pPr>
        <w:ind w:left="120" w:right="300" w:firstLine="551"/>
        <w:spacing w:after="0" w:line="241" w:lineRule="auto"/>
        <w:rPr>
          <w:sz w:val="20"/>
          <w:szCs w:val="20"/>
          <w:color w:val="auto"/>
        </w:rPr>
      </w:pPr>
      <w:r>
        <w:rPr>
          <w:rFonts w:ascii="Arial" w:cs="Arial" w:eastAsia="Arial" w:hAnsi="Arial"/>
          <w:sz w:val="18"/>
          <w:szCs w:val="18"/>
          <w:color w:val="auto"/>
        </w:rPr>
        <w:t>It is our policy to require our employees and contractors who may be involved in the conception or development of intellectual property to execute agreements assigning such intellectual property to us. However,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0" w:lineRule="exact"/>
        <w:rPr>
          <w:sz w:val="20"/>
          <w:szCs w:val="20"/>
          <w:color w:val="auto"/>
        </w:rPr>
      </w:pPr>
    </w:p>
    <w:p>
      <w:pPr>
        <w:ind w:left="880" w:right="18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technologies that are not covered by the claims of the patents that we license or may own in the future;</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current or future licensors, licensees or collaborators, might not have been the first to make the inventions covered by the issued patents and pending patent applications that we license or may own in the future;</w:t>
      </w:r>
    </w:p>
    <w:p>
      <w:pPr>
        <w:spacing w:after="0" w:line="50"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current or future licensors, licensees or collaborators, might not have been the first to file patent applications covering certain of our or their inventions;</w:t>
      </w:r>
    </w:p>
    <w:p>
      <w:pPr>
        <w:spacing w:after="0" w:line="50"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patents to which we hold rights may be held invalid or unenforceable, including as a result of legal challenges by our competitors;</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060"/>
          </w:cols>
          <w:pgMar w:left="320" w:top="455" w:right="51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145" w:lineRule="exact"/>
        <w:rPr>
          <w:sz w:val="20"/>
          <w:szCs w:val="20"/>
          <w:color w:val="auto"/>
        </w:rPr>
      </w:pPr>
    </w:p>
    <w:p>
      <w:pPr>
        <w:ind w:left="120" w:right="740" w:firstLine="551"/>
        <w:spacing w:after="0" w:line="276"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14" w:lineRule="exact"/>
        <w:rPr>
          <w:sz w:val="20"/>
          <w:szCs w:val="20"/>
          <w:color w:val="auto"/>
        </w:rPr>
      </w:pPr>
    </w:p>
    <w:p>
      <w:pPr>
        <w:ind w:left="120" w:right="860"/>
        <w:spacing w:after="0" w:line="285" w:lineRule="auto"/>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and you could lose all or part of your investment.</w:t>
      </w:r>
    </w:p>
    <w:p>
      <w:pPr>
        <w:spacing w:after="0" w:line="21"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market price for our common stock has fluctuated significantly from time to time, for example, varying between a high of $32.05 on December 30, 2020 and a low of $8.81 on October 7, 2019. The trading price of our common stock has been and may continue to be highly volatile and subject to wide fluctuations in response to various factors, some of which we cannot control. In addition to the factors discussed in this “Risk Factors” section, these factors include:</w:t>
      </w:r>
    </w:p>
    <w:p>
      <w:pPr>
        <w:spacing w:after="0" w:line="76" w:lineRule="exact"/>
        <w:rPr>
          <w:sz w:val="20"/>
          <w:szCs w:val="20"/>
          <w:color w:val="auto"/>
        </w:rPr>
      </w:pPr>
    </w:p>
    <w:p>
      <w:pPr>
        <w:ind w:left="880" w:right="40" w:hanging="224"/>
        <w:spacing w:after="0" w:line="255"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Merck’s failure to exercise its remaining unilateral option to extend the research phase of the collaboration, any termination of the collaboration or other change in our relationship with Merck;</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including disclosure of interim data by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880" w:right="500" w:hanging="224"/>
        <w:spacing w:after="0" w:line="27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evolving effects of the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288" w:lineRule="exact"/>
        <w:rPr>
          <w:sz w:val="20"/>
          <w:szCs w:val="20"/>
          <w:color w:val="auto"/>
        </w:rPr>
      </w:pPr>
    </w:p>
    <w:p>
      <w:pPr>
        <w:ind w:left="120" w:right="820"/>
        <w:spacing w:after="0" w:line="285"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21"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also to the risk factor entitled “Sales of a substantial number of shares of our common stock in the public market could cause our stock price to fall.”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0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spacing w:after="0" w:line="272" w:lineRule="exact"/>
        <w:rPr>
          <w:sz w:val="20"/>
          <w:szCs w:val="20"/>
          <w:color w:val="auto"/>
        </w:rPr>
      </w:pPr>
    </w:p>
    <w:p>
      <w:pPr>
        <w:ind w:left="120" w:right="540"/>
        <w:spacing w:after="0" w:line="285"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yield a return.</w:t>
      </w:r>
    </w:p>
    <w:p>
      <w:pPr>
        <w:spacing w:after="0" w:line="21"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We will have broad discretion over the use of proceeds from this offering. You may not agree with our decisions, and our use of the proceeds may not yield any return on your investment in us. Our failure to apply the net proceeds of this offering effectively could result in financial losses that could materially impair our ability to pursue our growth strategy, cause the price of our common stock to decline, delay development of our product candidates or require us to raise additional capital.</w:t>
      </w:r>
    </w:p>
    <w:p>
      <w:pPr>
        <w:spacing w:after="0" w:line="278" w:lineRule="exact"/>
        <w:rPr>
          <w:sz w:val="20"/>
          <w:szCs w:val="20"/>
          <w:color w:val="auto"/>
        </w:rPr>
      </w:pPr>
    </w:p>
    <w:p>
      <w:pPr>
        <w:ind w:left="120" w:right="500"/>
        <w:spacing w:after="0" w:line="314" w:lineRule="auto"/>
        <w:rPr>
          <w:sz w:val="20"/>
          <w:szCs w:val="20"/>
          <w:color w:val="auto"/>
        </w:rPr>
      </w:pPr>
      <w:r>
        <w:rPr>
          <w:rFonts w:ascii="Arial" w:cs="Arial" w:eastAsia="Arial" w:hAnsi="Arial"/>
          <w:sz w:val="17"/>
          <w:szCs w:val="17"/>
          <w:b w:val="1"/>
          <w:bCs w:val="1"/>
          <w:i w:val="1"/>
          <w:iCs w:val="1"/>
          <w:color w:val="auto"/>
        </w:rPr>
        <w:t>Our principal stockholders, including entities affiliated with The Column Group, Merck and management, own a substantial percentage of our stock and will be able to exert significant control over matters subject to stockholder approval.</w:t>
      </w:r>
    </w:p>
    <w:p>
      <w:pPr>
        <w:spacing w:after="0" w:line="2" w:lineRule="exact"/>
        <w:rPr>
          <w:sz w:val="20"/>
          <w:szCs w:val="20"/>
          <w:color w:val="auto"/>
        </w:rPr>
      </w:pPr>
    </w:p>
    <w:p>
      <w:pPr>
        <w:ind w:left="120" w:right="180" w:firstLine="551"/>
        <w:spacing w:after="0" w:line="276" w:lineRule="auto"/>
        <w:rPr>
          <w:sz w:val="20"/>
          <w:szCs w:val="20"/>
          <w:color w:val="auto"/>
        </w:rPr>
      </w:pPr>
      <w:r>
        <w:rPr>
          <w:rFonts w:ascii="Arial" w:cs="Arial" w:eastAsia="Arial" w:hAnsi="Arial"/>
          <w:sz w:val="18"/>
          <w:szCs w:val="18"/>
          <w:color w:val="auto"/>
        </w:rPr>
        <w:t>Our executive officers, directors, significant stockholders, including entities affiliated with The Column Group and Merck, and their respective affiliates beneficially own a substantial amount of our</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45" w:lineRule="auto"/>
        <w:rPr>
          <w:sz w:val="20"/>
          <w:szCs w:val="20"/>
          <w:color w:val="auto"/>
        </w:rPr>
      </w:pPr>
      <w:r>
        <w:rPr>
          <w:rFonts w:ascii="Arial" w:cs="Arial" w:eastAsia="Arial" w:hAnsi="Arial"/>
          <w:sz w:val="18"/>
          <w:szCs w:val="18"/>
          <w:color w:val="auto"/>
        </w:rPr>
        <w:t>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such stocks, our stock price could fall.</w:t>
      </w:r>
    </w:p>
    <w:p>
      <w:pPr>
        <w:spacing w:after="0" w:line="280"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43" w:lineRule="exact"/>
        <w:rPr>
          <w:sz w:val="20"/>
          <w:szCs w:val="20"/>
          <w:color w:val="auto"/>
        </w:rPr>
      </w:pPr>
    </w:p>
    <w:p>
      <w:pPr>
        <w:ind w:left="120" w:right="900" w:firstLine="551"/>
        <w:spacing w:after="0" w:line="306" w:lineRule="auto"/>
        <w:rPr>
          <w:sz w:val="20"/>
          <w:szCs w:val="20"/>
          <w:color w:val="auto"/>
        </w:rPr>
      </w:pPr>
      <w:r>
        <w:rPr>
          <w:rFonts w:ascii="Arial" w:cs="Arial" w:eastAsia="Arial" w:hAnsi="Arial"/>
          <w:sz w:val="17"/>
          <w:szCs w:val="17"/>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28" w:lineRule="exact"/>
        <w:rPr>
          <w:sz w:val="20"/>
          <w:szCs w:val="20"/>
          <w:color w:val="auto"/>
        </w:rPr>
      </w:pPr>
    </w:p>
    <w:p>
      <w:pPr>
        <w:ind w:left="880" w:right="48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requiring that our independent registered public accounting firm provide an attestation report on the effectiveness of our internal control over financial reporting;</w:t>
      </w:r>
    </w:p>
    <w:p>
      <w:pPr>
        <w:spacing w:after="0" w:line="50" w:lineRule="exact"/>
        <w:rPr>
          <w:rFonts w:ascii="Arial" w:cs="Arial" w:eastAsia="Arial" w:hAnsi="Arial"/>
          <w:sz w:val="18"/>
          <w:szCs w:val="18"/>
          <w:color w:val="auto"/>
        </w:rPr>
      </w:pPr>
    </w:p>
    <w:p>
      <w:pPr>
        <w:ind w:left="880" w:right="60" w:hanging="224"/>
        <w:spacing w:after="0" w:line="245"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Protection Act, or the Dodd-Frank Act, and some of the disclosure requirements of the Dodd-Frank Act relating to compensation of our chief executive officer; and</w:t>
      </w:r>
    </w:p>
    <w:p>
      <w:pPr>
        <w:spacing w:after="0" w:line="77" w:lineRule="exact"/>
        <w:rPr>
          <w:rFonts w:ascii="Arial" w:cs="Arial" w:eastAsia="Arial" w:hAnsi="Arial"/>
          <w:sz w:val="18"/>
          <w:szCs w:val="18"/>
          <w:color w:val="auto"/>
        </w:rPr>
      </w:pPr>
    </w:p>
    <w:p>
      <w:pPr>
        <w:ind w:left="880" w:right="60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Exchange Act, and instead provide a reduced level of disclosure concerning executive compensation.</w:t>
      </w:r>
    </w:p>
    <w:p>
      <w:pPr>
        <w:spacing w:after="0" w:line="14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Because our independent registered public accounting firm is not required to provide an attestation report on the effectiveness of our internal control over financial reporting so long as we qualify as an “emerging growth company,” the risk that material weaknesses or significant deficiencies in our internal control over financial reporting go undetected may be increased. Likewise, our election not to provide certain information, including certain financial information and certain information regarding compensation of our executive officers, that we would otherwise have been required to provide in filings we make with the SEC, may make it more difficult for investors and securities analysts to evaluate our company.</w:t>
      </w:r>
    </w:p>
    <w:p>
      <w:pPr>
        <w:spacing w:after="0" w:line="174" w:lineRule="exact"/>
        <w:rPr>
          <w:sz w:val="20"/>
          <w:szCs w:val="20"/>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 “emerging growth company” upon the earliest of: (1) December 31, 2024; (2) 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172" w:lineRule="exact"/>
        <w:rPr>
          <w:sz w:val="20"/>
          <w:szCs w:val="20"/>
          <w:color w:val="auto"/>
        </w:rPr>
      </w:pPr>
    </w:p>
    <w:p>
      <w:pPr>
        <w:ind w:left="120" w:right="440" w:firstLine="551"/>
        <w:spacing w:after="0" w:line="255" w:lineRule="auto"/>
        <w:rPr>
          <w:sz w:val="20"/>
          <w:szCs w:val="20"/>
          <w:color w:val="auto"/>
        </w:rPr>
      </w:pPr>
      <w:r>
        <w:rPr>
          <w:rFonts w:ascii="Arial" w:cs="Arial" w:eastAsia="Arial" w:hAnsi="Arial"/>
          <w:sz w:val="18"/>
          <w:szCs w:val="18"/>
          <w:color w:val="auto"/>
        </w:rPr>
        <w:t>With respect to the JOBS Act, we are also taking advantage of some, but not all, of the reduced regulatory and reporting requirements that are available to us so long as we qualify as an “emerging growth company.” For example, we are not subject to the same new or revised accounting standards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60"/>
        <w:spacing w:after="0" w:line="255" w:lineRule="auto"/>
        <w:rPr>
          <w:sz w:val="20"/>
          <w:szCs w:val="20"/>
          <w:color w:val="auto"/>
        </w:rPr>
      </w:pPr>
      <w:r>
        <w:rPr>
          <w:rFonts w:ascii="Arial" w:cs="Arial" w:eastAsia="Arial" w:hAnsi="Arial"/>
          <w:sz w:val="18"/>
          <w:szCs w:val="18"/>
          <w:color w:val="auto"/>
        </w:rPr>
        <w:t>as other public companies that are not “emerging growth companies.” As a result, changes in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64"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and reduced requirements. If some investors find our common stock less attractive as a result, there may be a less active trading market for our common stock, and our stock price may be more volatile and may decline. In addition, if we lose our “emerging growth company” status sooner than anticipated, we may incur additional costs to comply with rules and regulations required for public companies, which may impact our financial position and results of operations.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For the trading days during the three months ended September 30, 2020, the average daily trading volume for our common stock on The Nasdaq Global Select Market was only 180,030 shares. As a result, sales of a substantial number of shares of our common stock in the public market, including pursuant to the Sales Agreement or the perception in the market that we or the holders of a large number of shares intend to sell shares, could reduce the market price of our common stock. In addition,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 Shares issued to Merck in the private placement that occurred concurrently with our IPO became available for sale in the public market beginning on March 17, 2020, subject to the conditions of Rule 144 under the Securities Act of 1933, as amended, or the Securities Act.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104"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7"/>
          <w:szCs w:val="17"/>
          <w:color w:val="auto"/>
        </w:rPr>
        <w:t>The price of our common stock in this offering is higher than the net tangible book value per share of our common stock. Therefore, if you purchase shares of our common stock in this offering, you will pay a price per share that substantially exceeds our net tangible book value per share after this offering. To the extent outstanding options are exercised, you will incur further dilution. Our net tangible book value as of September 30, 2020 was $276.1 million, or $4.01 per share. As a result, if you purchase shares of our common stock in this</w:t>
      </w:r>
    </w:p>
    <w:p>
      <w:pPr>
        <w:spacing w:after="0" w:line="1" w:lineRule="exact"/>
        <w:rPr>
          <w:sz w:val="20"/>
          <w:szCs w:val="20"/>
          <w:color w:val="auto"/>
        </w:rPr>
      </w:pPr>
    </w:p>
    <w:p>
      <w:pPr>
        <w:jc w:val="both"/>
        <w:ind w:left="120" w:right="60"/>
        <w:spacing w:after="0" w:line="242" w:lineRule="auto"/>
        <w:rPr>
          <w:sz w:val="20"/>
          <w:szCs w:val="20"/>
          <w:color w:val="auto"/>
        </w:rPr>
      </w:pPr>
      <w:r>
        <w:rPr>
          <w:rFonts w:ascii="Arial" w:cs="Arial" w:eastAsia="Arial" w:hAnsi="Arial"/>
          <w:sz w:val="18"/>
          <w:szCs w:val="18"/>
          <w:color w:val="auto"/>
        </w:rPr>
        <w:t>offering, you will incur an immediate dilution of $ in net tangible book value per share from the price you paid. See the section of this prospectus supplement entitled “Dilution” for a more detailed discussion of the dilution you will incur if you purchase common stock in this offering.</w:t>
      </w:r>
    </w:p>
    <w:p>
      <w:pPr>
        <w:spacing w:after="0" w:line="17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If we issue additional shares of common stock, or securities convertible into or exchangeable or exercisable for shares of common stock, including pursuant to the Sales Agreement, our stockholders, including investors who purchase shares of common stock in this offering, will experience additional dilution, and any such issuances may result in downward pressure on the price of our common stock. We also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04" w:lineRule="exact"/>
        <w:rPr>
          <w:sz w:val="20"/>
          <w:szCs w:val="20"/>
          <w:color w:val="auto"/>
        </w:rPr>
      </w:pPr>
    </w:p>
    <w:p>
      <w:pPr>
        <w:jc w:val="both"/>
        <w:ind w:left="120" w:right="40" w:firstLine="551"/>
        <w:spacing w:after="0" w:line="255"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investors in this offering will therefore be limited to the appreciation of their stock, if any.</w:t>
      </w:r>
    </w:p>
    <w:p>
      <w:pPr>
        <w:spacing w:after="0" w:line="27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43"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69" w:lineRule="exact"/>
        <w:rPr>
          <w:sz w:val="20"/>
          <w:szCs w:val="20"/>
          <w:color w:val="auto"/>
        </w:rPr>
      </w:pPr>
    </w:p>
    <w:p>
      <w:pPr>
        <w:ind w:left="880" w:right="40" w:hanging="224"/>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50"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50" w:lineRule="exact"/>
        <w:rPr>
          <w:rFonts w:ascii="Arial" w:cs="Arial" w:eastAsia="Arial" w:hAnsi="Arial"/>
          <w:sz w:val="18"/>
          <w:szCs w:val="18"/>
          <w:color w:val="auto"/>
        </w:rPr>
      </w:pPr>
    </w:p>
    <w:p>
      <w:pPr>
        <w:ind w:left="880" w:right="640" w:hanging="224"/>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45"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our agreement with Merck,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100"/>
          </w:cols>
          <w:pgMar w:left="320" w:top="455" w:right="4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firstLine="551"/>
        <w:spacing w:after="0" w:line="24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78" w:lineRule="exact"/>
        <w:rPr>
          <w:sz w:val="20"/>
          <w:szCs w:val="20"/>
          <w:color w:val="auto"/>
        </w:rPr>
      </w:pPr>
    </w:p>
    <w:p>
      <w:pPr>
        <w:ind w:left="120" w:right="500"/>
        <w:spacing w:after="0" w:line="25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5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suits brought to enforce a duty or liability created by the Exchange Act or any other claim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ind w:left="120" w:right="180" w:firstLine="551"/>
        <w:spacing w:after="0" w:line="245"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Risk Factors</w:t>
      </w:r>
    </w:p>
    <w:p>
      <w:pPr>
        <w:spacing w:after="0" w:line="214" w:lineRule="exact"/>
        <w:rPr>
          <w:sz w:val="20"/>
          <w:szCs w:val="20"/>
          <w:color w:val="auto"/>
        </w:rPr>
      </w:pPr>
    </w:p>
    <w:p>
      <w:pPr>
        <w:ind w:left="120" w:right="180"/>
        <w:spacing w:after="0" w:line="285" w:lineRule="auto"/>
        <w:rPr>
          <w:sz w:val="20"/>
          <w:szCs w:val="20"/>
          <w:color w:val="auto"/>
        </w:rPr>
      </w:pPr>
      <w:r>
        <w:rPr>
          <w:rFonts w:ascii="Arial" w:cs="Arial" w:eastAsia="Arial" w:hAnsi="Arial"/>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21"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the 2017 Tax Act sanctioned many significant changes to the U.S. tax laws. Future guidance from the U.S. Internal Revenue Service, or IRS, and other tax</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authorities with respect to the 2017 Tax Act may affect us, and certain aspects of the 2017 Tax Act may be repealed or modified in future legislation. For example, the CARES Act modified certain provisions of the 2017 Tax Act. Changes in corporate tax rates, the realization of net deferred tax assets relating to our operations, the taxation of foreign earnings and the deductibility of expenses under the 2017 Tax Act or future reform legislation could have a material impact on the value of our deferred tax assets, could result in significant one-time charges and could increase our future U.S. tax expense.</w:t>
      </w:r>
    </w:p>
    <w:p>
      <w:pPr>
        <w:spacing w:after="0" w:line="280" w:lineRule="exact"/>
        <w:rPr>
          <w:sz w:val="20"/>
          <w:szCs w:val="20"/>
          <w:color w:val="auto"/>
        </w:rPr>
      </w:pPr>
    </w:p>
    <w:p>
      <w:pPr>
        <w:ind w:left="120" w:right="380"/>
        <w:spacing w:after="0" w:line="285"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2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288" w:lineRule="exact"/>
        <w:rPr>
          <w:sz w:val="20"/>
          <w:szCs w:val="20"/>
          <w:color w:val="auto"/>
        </w:rPr>
      </w:pPr>
    </w:p>
    <w:p>
      <w:pPr>
        <w:ind w:left="120" w:right="300"/>
        <w:spacing w:after="0" w:line="285"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new compliance initiatives.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and these expenses may increase even more after we are no longer an “emerging growth company.”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2"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78" w:lineRule="exact"/>
        <w:rPr>
          <w:sz w:val="20"/>
          <w:szCs w:val="20"/>
          <w:color w:val="auto"/>
        </w:rPr>
      </w:pPr>
    </w:p>
    <w:p>
      <w:pPr>
        <w:ind w:left="120" w:right="280"/>
        <w:spacing w:after="0" w:line="28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2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stock price and trading volume is heavily influenced by the way analysts and investors interpret our clinical trial results,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 The trading market for our common stock depends, in part, on the research and reports that securities or industry analysts publish about us or our business. We do not have any control over these analysts. A limited number of analysts are currently covering our company.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080"/>
          </w:cols>
          <w:pgMar w:left="320" w:top="455" w:right="4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This prospectus supplement, the accompanying prospectus and the documents we have filed with the SEC that are incorporated by reference contain “forward-looking statements” within the meaning of Section 27A of the Securities Act, and Section 21E of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79" w:lineRule="exact"/>
        <w:rPr>
          <w:sz w:val="20"/>
          <w:szCs w:val="20"/>
          <w:color w:val="auto"/>
        </w:rPr>
      </w:pPr>
    </w:p>
    <w:p>
      <w:pPr>
        <w:ind w:left="880" w:right="84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 and the initiation of, enrollment in, availability of data for and other events related to such trials;</w:t>
      </w:r>
    </w:p>
    <w:p>
      <w:pPr>
        <w:spacing w:after="0" w:line="50" w:lineRule="exact"/>
        <w:rPr>
          <w:rFonts w:ascii="Arial" w:cs="Arial" w:eastAsia="Arial" w:hAnsi="Arial"/>
          <w:sz w:val="18"/>
          <w:szCs w:val="18"/>
          <w:color w:val="auto"/>
        </w:rPr>
      </w:pPr>
    </w:p>
    <w:p>
      <w:pPr>
        <w:jc w:val="both"/>
        <w:ind w:left="880" w:right="120" w:hanging="224"/>
        <w:spacing w:after="0" w:line="255"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or our partners’ ability to obtain and maintain regulatory approval for aldafermin (NGM282), MK-3655 (NGM313), NGM621, NGM120, NGM707, NGM438 and any of our future product candidates, and any related restrictions, limitations and/or warnings in the label of an approved product candidate;</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belief that aldafermin may have the potential to be a treatment for NASH patients with moderate to advanced fibrosis;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roles of ILT2, ILT4 and LAIR1 in cancer and the potential consequences of ILT2, ILT4 and LAIR1 blockade;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belief regarding the impact of our product candidate side effects and our ability to effectively manage these side effects;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belief that MK-3655 (NGM313) may have the potential to be a treatment for NASH patients with early to moderate fibrosis;</w:t>
      </w:r>
    </w:p>
    <w:p>
      <w:pPr>
        <w:spacing w:after="0" w:line="117" w:lineRule="exact"/>
        <w:rPr>
          <w:rFonts w:ascii="Arial" w:cs="Arial" w:eastAsia="Arial" w:hAnsi="Arial"/>
          <w:sz w:val="18"/>
          <w:szCs w:val="18"/>
          <w:color w:val="auto"/>
        </w:rPr>
      </w:pPr>
    </w:p>
    <w:p>
      <w:pPr>
        <w:ind w:left="880" w:right="220" w:hanging="224"/>
        <w:spacing w:after="0" w:line="255"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renewal of our research collaboration, product development and license agreement with Merck and the possibility that Merck will decide to exercise its option to license certain programs upon our completion of a proof-of-concept study in humans;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additional collaborators with development, regulatory and commercialization expertise;</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and future agreements with third parties in connection with the potential commercialization of aldafermin, MK-3655 (NGM313), NGM621, NGM120, NGM707, NGM438 or any other future approved product;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reimbursement coverage for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performance of, and our ability to obtain sufficient supply of clinical trial material in a timely manner from, third-party suppliers and manufacturers;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and retain key scientific, development and management personnel;</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estimates regarding future expenses, revenue, capital requirements and needs for additional financing;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17"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and enforce intellectual property protection for our product candidates;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anticipated use of the net proceeds from this offering.</w:t>
      </w:r>
    </w:p>
    <w:p>
      <w:pPr>
        <w:spacing w:after="0" w:line="21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this prospectus supplement.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supplement and the accompanying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100"/>
          </w:cols>
          <w:pgMar w:left="320" w:top="455" w:right="4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left="660"/>
        <w:spacing w:after="0"/>
        <w:tabs>
          <w:tab w:leader="none" w:pos="7440" w:val="left"/>
          <w:tab w:leader="none" w:pos="10340" w:val="left"/>
        </w:tabs>
        <w:rPr>
          <w:sz w:val="20"/>
          <w:szCs w:val="20"/>
          <w:color w:val="auto"/>
        </w:rPr>
      </w:pPr>
      <w:r>
        <w:rPr>
          <w:rFonts w:ascii="Arial" w:cs="Arial" w:eastAsia="Arial" w:hAnsi="Arial"/>
          <w:sz w:val="18"/>
          <w:szCs w:val="18"/>
          <w:color w:val="auto"/>
        </w:rPr>
        <w:t>We estimate that the net proceeds from this offering will be approximately $</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7"/>
          <w:szCs w:val="17"/>
          <w:color w:val="auto"/>
        </w:rPr>
        <w:t>million if</w:t>
      </w:r>
    </w:p>
    <w:p>
      <w:pPr>
        <w:spacing w:after="0" w:line="18" w:lineRule="exact"/>
        <w:rPr>
          <w:sz w:val="20"/>
          <w:szCs w:val="20"/>
          <w:color w:val="auto"/>
        </w:rPr>
      </w:pPr>
    </w:p>
    <w:p>
      <w:pPr>
        <w:ind w:left="120" w:right="180"/>
        <w:spacing w:after="0" w:line="250" w:lineRule="auto"/>
        <w:rPr>
          <w:sz w:val="20"/>
          <w:szCs w:val="20"/>
          <w:color w:val="auto"/>
        </w:rPr>
      </w:pPr>
      <w:r>
        <w:rPr>
          <w:rFonts w:ascii="Arial" w:cs="Arial" w:eastAsia="Arial" w:hAnsi="Arial"/>
          <w:sz w:val="18"/>
          <w:szCs w:val="18"/>
          <w:color w:val="auto"/>
        </w:rPr>
        <w:t>the underwriters exercise in full their option to purchase additional shares of common stock, after deducting underwriting discounts and commissions and estimated offering expenses payable by us.</w:t>
      </w:r>
    </w:p>
    <w:p>
      <w:pPr>
        <w:spacing w:after="0" w:line="168"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We intend to use the net proceeds from this offering for working capital and other general corporate purposes, which may include funding our pipeline of development programs, general and administrative activities and capital expenditures. Pending the application of the net proceeds, we expect to invest the proceeds in investment-grade, interest-bearing instruments or other securities. We will retain broad discretion over the use of the net proceeds from this offering.</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000"/>
          </w:cols>
          <w:pgMar w:left="320" w:top="455" w:right="5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jc w:val="both"/>
        <w:ind w:left="120" w:right="40" w:firstLine="551"/>
        <w:spacing w:after="0" w:line="248" w:lineRule="auto"/>
        <w:rPr>
          <w:sz w:val="20"/>
          <w:szCs w:val="20"/>
          <w:color w:val="auto"/>
        </w:rPr>
      </w:pPr>
      <w:r>
        <w:rPr>
          <w:rFonts w:ascii="Arial" w:cs="Arial" w:eastAsia="Arial" w:hAnsi="Arial"/>
          <w:sz w:val="18"/>
          <w:szCs w:val="18"/>
          <w:color w:val="auto"/>
        </w:rPr>
        <w:t>Dilution is the amount by which the price paid by the purchasers of the shares of common stock sold in the offering exceeds the net tangible book value per share of common stock after the offering. Net tangible book value per share is determined by subtracting our total liabilities from the total book value of our tangible assets and dividing the difference by the number of shares of common stock deemed to be outstanding at that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historical net tangible book value as of September 30, 2020 was $276.1 million, or $4.01 per share.</w:t>
      </w:r>
    </w:p>
    <w:p>
      <w:pPr>
        <w:spacing w:after="0" w:line="212"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After giving effect to the sale of shares of common stock in this offering at the public offering price of $ per share, and after deducting underwriting discounts and commissions and estimated offering expenses payable by us, our as adjusted net tangible</w:t>
      </w:r>
    </w:p>
    <w:p>
      <w:pPr>
        <w:spacing w:after="0" w:line="1" w:lineRule="exact"/>
        <w:rPr>
          <w:sz w:val="20"/>
          <w:szCs w:val="20"/>
          <w:color w:val="auto"/>
        </w:rPr>
      </w:pPr>
    </w:p>
    <w:p>
      <w:pPr>
        <w:ind w:left="120" w:right="220"/>
        <w:spacing w:after="0" w:line="234" w:lineRule="auto"/>
        <w:rPr>
          <w:sz w:val="20"/>
          <w:szCs w:val="20"/>
          <w:color w:val="auto"/>
        </w:rPr>
      </w:pPr>
      <w:r>
        <w:rPr>
          <w:rFonts w:ascii="Arial" w:cs="Arial" w:eastAsia="Arial" w:hAnsi="Arial"/>
          <w:sz w:val="18"/>
          <w:szCs w:val="18"/>
          <w:color w:val="auto"/>
        </w:rPr>
        <w:t>book value as of September 30, 2020 would have been approximately $ million, or $ per share. This represents an immediate increase in as adjusted net tangible book value of $ per share to our existing stockholders and immediate dilution of</w:t>
      </w:r>
    </w:p>
    <w:p>
      <w:pPr>
        <w:spacing w:after="0" w:line="1" w:lineRule="exact"/>
        <w:rPr>
          <w:sz w:val="20"/>
          <w:szCs w:val="20"/>
          <w:color w:val="auto"/>
        </w:rPr>
      </w:pPr>
    </w:p>
    <w:p>
      <w:pPr>
        <w:ind w:left="1020" w:hanging="9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 share to new investors purchasing common stock in this offering.</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this dilution on a per share basis to new investors participating in this offering:</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2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9"/>
        </w:trPr>
        <w:tc>
          <w:tcPr>
            <w:tcW w:w="220" w:type="dxa"/>
            <w:vAlign w:val="bottom"/>
          </w:tcPr>
          <w:p>
            <w:pPr>
              <w:spacing w:after="0"/>
              <w:rPr>
                <w:sz w:val="18"/>
                <w:szCs w:val="18"/>
                <w:color w:val="auto"/>
              </w:rPr>
            </w:pP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Historical net tangible book value per share as of September 30, 2020</w:t>
            </w:r>
          </w:p>
        </w:tc>
        <w:tc>
          <w:tcPr>
            <w:tcW w:w="3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70"/>
              <w:spacing w:after="0"/>
              <w:rPr>
                <w:sz w:val="20"/>
                <w:szCs w:val="20"/>
                <w:color w:val="auto"/>
              </w:rPr>
            </w:pPr>
            <w:r>
              <w:rPr>
                <w:rFonts w:ascii="Arial" w:cs="Arial" w:eastAsia="Arial" w:hAnsi="Arial"/>
                <w:sz w:val="18"/>
                <w:szCs w:val="18"/>
                <w:color w:val="auto"/>
              </w:rPr>
              <w:t>4.01</w:t>
            </w: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20" w:type="dxa"/>
            <w:vAlign w:val="bottom"/>
            <w:shd w:val="clear" w:color="auto" w:fill="CCEEFF"/>
          </w:tcPr>
          <w:p>
            <w:pPr>
              <w:spacing w:after="0"/>
              <w:rPr>
                <w:sz w:val="17"/>
                <w:szCs w:val="17"/>
                <w:color w:val="auto"/>
              </w:rPr>
            </w:pPr>
          </w:p>
        </w:tc>
        <w:tc>
          <w:tcPr>
            <w:tcW w:w="9080" w:type="dxa"/>
            <w:vAlign w:val="bottom"/>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Increase per share attributable to new investors participating in this offering</w:t>
            </w: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8900" w:type="dxa"/>
            <w:vAlign w:val="bottom"/>
            <w:gridSpan w:val="4"/>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4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3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Dilution in adjusted net tangible book value per share to new investors participating in this offering</w:t>
            </w:r>
          </w:p>
        </w:tc>
        <w:tc>
          <w:tcPr>
            <w:tcW w:w="880" w:type="dxa"/>
            <w:vAlign w:val="bottom"/>
            <w:gridSpan w:val="2"/>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9960" w:type="dxa"/>
            <w:vAlign w:val="bottom"/>
            <w:gridSpan w:val="6"/>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0"/>
        </w:trPr>
        <w:tc>
          <w:tcPr>
            <w:tcW w:w="220" w:type="dxa"/>
            <w:vAlign w:val="bottom"/>
          </w:tcPr>
          <w:p>
            <w:pPr>
              <w:spacing w:after="0"/>
              <w:rPr>
                <w:sz w:val="24"/>
                <w:szCs w:val="24"/>
                <w:color w:val="auto"/>
              </w:rPr>
            </w:pPr>
          </w:p>
        </w:tc>
        <w:tc>
          <w:tcPr>
            <w:tcW w:w="10800" w:type="dxa"/>
            <w:vAlign w:val="bottom"/>
            <w:gridSpan w:val="8"/>
          </w:tcPr>
          <w:p>
            <w:pPr>
              <w:ind w:left="320"/>
              <w:spacing w:after="0"/>
              <w:rPr>
                <w:sz w:val="20"/>
                <w:szCs w:val="20"/>
                <w:color w:val="auto"/>
              </w:rPr>
            </w:pPr>
            <w:r>
              <w:rPr>
                <w:rFonts w:ascii="Arial" w:cs="Arial" w:eastAsia="Arial" w:hAnsi="Arial"/>
                <w:sz w:val="18"/>
                <w:szCs w:val="18"/>
                <w:color w:val="auto"/>
              </w:rPr>
              <w:t>If the underwriters exercise in full their option to purchase additional shares of our common stock at the public offering price of</w:t>
            </w:r>
          </w:p>
        </w:tc>
      </w:tr>
      <w:tr>
        <w:trPr>
          <w:trHeight w:val="203"/>
        </w:trPr>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80" w:type="dxa"/>
            <w:vAlign w:val="bottom"/>
            <w:gridSpan w:val="4"/>
          </w:tcPr>
          <w:p>
            <w:pPr>
              <w:ind w:left="720"/>
              <w:spacing w:after="0" w:line="202" w:lineRule="exact"/>
              <w:rPr>
                <w:sz w:val="20"/>
                <w:szCs w:val="20"/>
                <w:color w:val="auto"/>
              </w:rPr>
            </w:pPr>
            <w:r>
              <w:rPr>
                <w:rFonts w:ascii="Arial" w:cs="Arial" w:eastAsia="Arial" w:hAnsi="Arial"/>
                <w:sz w:val="18"/>
                <w:szCs w:val="18"/>
                <w:color w:val="auto"/>
              </w:rPr>
              <w:t>per share, the as adjusted net tangible book value per share after giving effect to this offering would be $</w:t>
            </w:r>
          </w:p>
        </w:tc>
        <w:tc>
          <w:tcPr>
            <w:tcW w:w="420" w:type="dxa"/>
            <w:vAlign w:val="bottom"/>
          </w:tcPr>
          <w:p>
            <w:pPr>
              <w:spacing w:after="0"/>
              <w:rPr>
                <w:sz w:val="17"/>
                <w:szCs w:val="17"/>
                <w:color w:val="auto"/>
              </w:rPr>
            </w:pPr>
          </w:p>
        </w:tc>
        <w:tc>
          <w:tcPr>
            <w:tcW w:w="130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per share,</w:t>
            </w:r>
          </w:p>
        </w:tc>
      </w:tr>
      <w:tr>
        <w:trPr>
          <w:trHeight w:val="203"/>
        </w:trPr>
        <w:tc>
          <w:tcPr>
            <w:tcW w:w="5960" w:type="dxa"/>
            <w:vAlign w:val="bottom"/>
            <w:gridSpan w:val="3"/>
          </w:tcPr>
          <w:p>
            <w:pPr>
              <w:spacing w:after="0" w:line="202" w:lineRule="exact"/>
              <w:rPr>
                <w:sz w:val="20"/>
                <w:szCs w:val="20"/>
                <w:color w:val="auto"/>
              </w:rPr>
            </w:pPr>
            <w:r>
              <w:rPr>
                <w:rFonts w:ascii="Arial" w:cs="Arial" w:eastAsia="Arial" w:hAnsi="Arial"/>
                <w:sz w:val="18"/>
                <w:szCs w:val="18"/>
                <w:color w:val="auto"/>
              </w:rPr>
              <w:t>representing an immediate increase to existing stockholders of $</w:t>
            </w:r>
          </w:p>
        </w:tc>
        <w:tc>
          <w:tcPr>
            <w:tcW w:w="5060" w:type="dxa"/>
            <w:vAlign w:val="bottom"/>
            <w:gridSpan w:val="6"/>
          </w:tcPr>
          <w:p>
            <w:pPr>
              <w:ind w:left="20"/>
              <w:spacing w:after="0" w:line="202" w:lineRule="exact"/>
              <w:rPr>
                <w:sz w:val="20"/>
                <w:szCs w:val="20"/>
                <w:color w:val="auto"/>
              </w:rPr>
            </w:pPr>
            <w:r>
              <w:rPr>
                <w:rFonts w:ascii="Arial" w:cs="Arial" w:eastAsia="Arial" w:hAnsi="Arial"/>
                <w:sz w:val="18"/>
                <w:szCs w:val="18"/>
                <w:color w:val="auto"/>
                <w:w w:val="99"/>
              </w:rPr>
              <w:t>per share, and immediate dilution to new investors participating</w:t>
            </w:r>
          </w:p>
        </w:tc>
      </w:tr>
      <w:tr>
        <w:trPr>
          <w:trHeight w:val="243"/>
        </w:trPr>
        <w:tc>
          <w:tcPr>
            <w:tcW w:w="1880" w:type="dxa"/>
            <w:vAlign w:val="bottom"/>
            <w:gridSpan w:val="2"/>
          </w:tcPr>
          <w:p>
            <w:pPr>
              <w:spacing w:after="0"/>
              <w:rPr>
                <w:sz w:val="20"/>
                <w:szCs w:val="20"/>
                <w:color w:val="auto"/>
              </w:rPr>
            </w:pPr>
            <w:r>
              <w:rPr>
                <w:rFonts w:ascii="Arial" w:cs="Arial" w:eastAsia="Arial" w:hAnsi="Arial"/>
                <w:sz w:val="18"/>
                <w:szCs w:val="18"/>
                <w:color w:val="auto"/>
              </w:rPr>
              <w:t>in this offering of $</w:t>
            </w:r>
          </w:p>
        </w:tc>
        <w:tc>
          <w:tcPr>
            <w:tcW w:w="4080" w:type="dxa"/>
            <w:vAlign w:val="bottom"/>
          </w:tcPr>
          <w:p>
            <w:pPr>
              <w:ind w:left="440"/>
              <w:spacing w:after="0"/>
              <w:rPr>
                <w:sz w:val="20"/>
                <w:szCs w:val="20"/>
                <w:color w:val="auto"/>
              </w:rPr>
            </w:pPr>
            <w:r>
              <w:rPr>
                <w:rFonts w:ascii="Arial" w:cs="Arial" w:eastAsia="Arial" w:hAnsi="Arial"/>
                <w:sz w:val="18"/>
                <w:szCs w:val="18"/>
                <w:color w:val="auto"/>
              </w:rPr>
              <w:t>per share.</w:t>
            </w:r>
          </w:p>
        </w:tc>
        <w:tc>
          <w:tcPr>
            <w:tcW w:w="2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176" w:lineRule="exact"/>
        <w:rPr>
          <w:sz w:val="20"/>
          <w:szCs w:val="20"/>
          <w:color w:val="auto"/>
        </w:rPr>
      </w:pPr>
    </w:p>
    <w:p>
      <w:pPr>
        <w:ind w:left="120" w:right="180" w:firstLine="551"/>
        <w:spacing w:after="0" w:line="276" w:lineRule="auto"/>
        <w:rPr>
          <w:sz w:val="20"/>
          <w:szCs w:val="20"/>
          <w:color w:val="auto"/>
        </w:rPr>
      </w:pPr>
      <w:r>
        <w:rPr>
          <w:rFonts w:ascii="Arial" w:cs="Arial" w:eastAsia="Arial" w:hAnsi="Arial"/>
          <w:sz w:val="18"/>
          <w:szCs w:val="18"/>
          <w:color w:val="auto"/>
        </w:rPr>
        <w:t>The foregoing discussion and table are based on 68,934,767 shares of our common stock outstanding as of September 30, 2020, and exclude, in each case as of September 30, 2020, the following:</w:t>
      </w:r>
    </w:p>
    <w:p>
      <w:pPr>
        <w:spacing w:after="0" w:line="50" w:lineRule="exact"/>
        <w:rPr>
          <w:sz w:val="20"/>
          <w:szCs w:val="20"/>
          <w:color w:val="auto"/>
        </w:rPr>
      </w:pPr>
    </w:p>
    <w:p>
      <w:pPr>
        <w:ind w:left="880" w:right="600" w:hanging="224"/>
        <w:spacing w:after="0" w:line="27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10,651,475 shares of our common stock issuable upon the exercise of outstanding stock options with a weighted-average exercise price of $10.03 per share;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6,309,573 shares of our common stock available for issuance or future grant under the EIP;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788,120 shares of our common stock available for issuance under the ESPP;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21,930 shares of our common stock reserved for future issuance under the Matching Plan.</w:t>
      </w:r>
    </w:p>
    <w:p>
      <w:pPr>
        <w:spacing w:after="0" w:line="212"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The foregoing discussion and table do not reflect any automatic (or other) increases in the number of shares of common stock reserved for future issuance under the EIP, the ESPP or the Matching Plan, including the 2,823,565 shares of common stock automatically added to the EIP on January 1, 2021 in accordance with the terms of the EIP. In addition, the foregoing discussion and</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140"/>
          </w:cols>
          <w:pgMar w:left="320" w:top="455" w:right="4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table also do not include up to $150.0 million of our common stock that remained available for sale at September 30, 2020 under the Sales Agreement. Between September 30, 2020 and the date of this prospectus supplement, 809,700 shares were sold under the Sales Agreement at an average price of $27.94 per share for net proceeds of $21.9 million, after deducting sales commissions. As of the date of this prospectus supplement, $127.4 million of common stock remained available to be sold under the Sales Agreement, subject to certain conditions as specified in the agreement.</w:t>
      </w:r>
    </w:p>
    <w:p>
      <w:pPr>
        <w:spacing w:after="0" w:line="172" w:lineRule="exact"/>
        <w:rPr>
          <w:sz w:val="20"/>
          <w:szCs w:val="20"/>
          <w:color w:val="auto"/>
        </w:rPr>
      </w:pPr>
    </w:p>
    <w:p>
      <w:pPr>
        <w:ind w:left="120" w:right="220" w:firstLine="551"/>
        <w:spacing w:after="0" w:line="268" w:lineRule="auto"/>
        <w:rPr>
          <w:sz w:val="20"/>
          <w:szCs w:val="20"/>
          <w:color w:val="auto"/>
        </w:rPr>
      </w:pPr>
      <w:r>
        <w:rPr>
          <w:rFonts w:ascii="Arial" w:cs="Arial" w:eastAsia="Arial" w:hAnsi="Arial"/>
          <w:sz w:val="17"/>
          <w:szCs w:val="17"/>
          <w:color w:val="auto"/>
        </w:rPr>
        <w:t>To the extent that any of the outstanding options are exercised there could be further dilution to new investors participating in this offering. In addition, we may choose to raise additional capital, including pursuant to the Sales Agreement, due to market conditions or strategic considerations even if we believe we have sufficient funds for our current or future operating plans. To the extent that we raise additional capital through the sale of equity securities, the issuance of such securities could result in further dilution to our stockholders.</w:t>
      </w:r>
    </w:p>
    <w:p>
      <w:pPr>
        <w:spacing w:after="0" w:line="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120"/>
          </w:cols>
          <w:pgMar w:left="320" w:top="455"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0920"/>
          </w:cols>
          <w:pgMar w:left="320" w:top="455" w:right="6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1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following is a discussion of the material U.S. federal income tax consequences applicable to non-U.S. holders (as defined below) with respect to their purchase, ownership and disposition of shares of our common stock issued pursuant to this offering, but does not purport to be a complete analysis of all potential tax effects. All prospective non-U.S. holders of our common stock should consult their tax advisors with respect to the U.S. federal income tax consequences of the purchase, ownership and disposition of our common stock, as well as any consequences arising under the laws of any other taxing jurisdiction, including any state, local and non-U.S. tax consequences and any U.S. federal non-income tax consequences. In general, a non-U.S. holder means a beneficial owner of our common stock (other than a partnership or an entity or arrangement treated as a partnership for U.S. federal income tax purposes) that is not a U.S. holder. A U.S. holder is, for U.S. federal income tax purposes:</w:t>
      </w:r>
    </w:p>
    <w:p>
      <w:pPr>
        <w:spacing w:after="0" w:line="86" w:lineRule="exact"/>
        <w:rPr>
          <w:sz w:val="20"/>
          <w:szCs w:val="20"/>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880" w:right="80" w:hanging="224"/>
        <w:spacing w:after="0" w:line="255"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trust if (1) a U.S. court can exercise primary supervision over the trust’s administration and one or more U.S. persons have the authority to control all of the trust’s substantial decisions or (2) the trust has a valid election in effect under applicable U.S. Treasury Regulations to be treated as a U.S. person.</w:t>
      </w:r>
    </w:p>
    <w:p>
      <w:pPr>
        <w:spacing w:after="0" w:line="16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This discussion is based on current provisions of the Code, existing U.S. Treasury Regulations promulgated thereunder, published administrative rulings and judicial decisions, all as in effect as of the date of this prospectus supplement. These laws are subject to change and to differing interpretation, possibly with retroactive effect. Any change or differing interpretation could alter the tax consequences to non-U.S. holders described in this prospectus supplement.</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This discussion is limited to non-U.S. holders that purchase our common stock pursuant to this offering and hold shares of our common stock as a capital asset within the meaning of Section 1221 of the Code (generally, for investment). This discussion does not address all aspects of U.S. federal income taxation that may be relevant to a particular non-U.S. holder in light of that non-U.S. holder’s individual circumstances, nor does it address certain special tax rules applicable to particular non-U.S. holders, such as holders that own, or are deemed to own, more than 5% of our capital stock (except to the extent specifically set forth below), corporations that accumulate earnings to avoid U.S. federal income tax, tax-exempt organizations, banks, financial institutions, insurance companies, brokers, dealers or traders in securities, commodities or currencies, tax-qualified retirement plans, holders who hold or receive our common stock pursuant to the exercise of employee stock options or otherwise as compensation, holders holding our common stock as part of a hedge, straddle or other risk reduction strategy, conversion transaction or other integrated investment, holders deemed to sell our common stock under the constructive sale provisions of the Code, “qualified foreign pension funds” as defined in Section 897(l)(2) of the Code and entities all of the interests of which are held by qualified foreign pension funds, controlled foreign corporations, passive foreign investment companies and certain former citizens or long-term residents of the United States. This discussion also does not address the effect of the alternative minimum tax or the Medicare contribution tax on net investment income, the impact of special tax accounting rules under Section 451(b) of the Code, or any aspects of U.S. estate or gift tax.</w:t>
      </w:r>
    </w:p>
    <w:p>
      <w:pPr>
        <w:spacing w:after="0" w:line="177"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In addition, this discussion does not address the tax treatment of partnerships (or entities or arrangements that are treated as partnerships for U.S. federal income tax purposes) or persons that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5" w:lineRule="auto"/>
        <w:rPr>
          <w:sz w:val="20"/>
          <w:szCs w:val="20"/>
          <w:color w:val="auto"/>
        </w:rPr>
      </w:pPr>
      <w:r>
        <w:rPr>
          <w:rFonts w:ascii="Arial" w:cs="Arial" w:eastAsia="Arial" w:hAnsi="Arial"/>
          <w:sz w:val="18"/>
          <w:szCs w:val="18"/>
          <w:color w:val="auto"/>
        </w:rPr>
        <w:t>hold our common stock through such partnerships, entities or arrangements. If a partnership, including any entity or arrangement treated as a partnership for U.S. federal income tax purposes, holds shares of our common stock, the U.S. federal income tax treatment of a partner in such partnership will generally depend upon the status of the partner, the activities of the partnership and certain determinations made at the partner level. Such partners and partnerships should consult their tax advisors regarding the tax consequences of the purchase, ownership and disposition of our common stock.</w:t>
      </w:r>
    </w:p>
    <w:p>
      <w:pPr>
        <w:spacing w:after="0" w:line="172"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8"/>
          <w:szCs w:val="18"/>
          <w:color w:val="auto"/>
        </w:rPr>
        <w:t>There can be no assurance that the IRS will not challenge one or more of the tax consequences described herein, and we have not obtained, nor do we intend to obtain, a ruling from the IRS regarding the U.S. federal income tax consequences with respect to the matters discussed below.</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 on our Common Stock</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common stock in the foreseeable future. However, distributions, if any,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common stock. Any remaining excess will be treated as capital gain from the sale or exchange of such common stock, subject to the tax treatment described below in “Gain on Sale, Exchange or Other Disposition of Our Common Stock.”</w:t>
      </w:r>
    </w:p>
    <w:p>
      <w:pPr>
        <w:spacing w:after="0" w:line="179"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Subject to the discussions below regarding effectively connected income, backup withholding and foreign accounts, dividends paid to a non-U.S. holder generally will be subject to withholding of U.S. federal income tax at a 30% rate, or such lower rate as may be specified by an applicable income tax treaty. A non-U.S. holder that is eligible for a reduced rate of U.S. withholding tax under an income tax treaty may obtain a refund or credit of any excess amounts withheld by timely filing an appropriate claim for refund with the IRS.</w:t>
      </w:r>
    </w:p>
    <w:p>
      <w:pPr>
        <w:spacing w:after="0" w:line="1" w:lineRule="exact"/>
        <w:rPr>
          <w:sz w:val="20"/>
          <w:szCs w:val="20"/>
          <w:color w:val="auto"/>
        </w:rPr>
      </w:pPr>
    </w:p>
    <w:p>
      <w:pPr>
        <w:ind w:left="120" w:right="280"/>
        <w:spacing w:after="0" w:line="234" w:lineRule="auto"/>
        <w:rPr>
          <w:sz w:val="20"/>
          <w:szCs w:val="20"/>
          <w:color w:val="auto"/>
        </w:rPr>
      </w:pPr>
      <w:r>
        <w:rPr>
          <w:rFonts w:ascii="Arial" w:cs="Arial" w:eastAsia="Arial" w:hAnsi="Arial"/>
          <w:sz w:val="18"/>
          <w:szCs w:val="18"/>
          <w:color w:val="auto"/>
        </w:rPr>
        <w:t>A non-U.S. holder of our common stock who claims the benefit of an applicable income tax treaty generally will be required to provide a properly executed IRS Form W-8BEN or W-8BEN-E (or successor form) and satisfy relevant certification and other</w:t>
      </w:r>
    </w:p>
    <w:p>
      <w:pPr>
        <w:spacing w:after="0" w:line="1" w:lineRule="exact"/>
        <w:rPr>
          <w:sz w:val="20"/>
          <w:szCs w:val="20"/>
          <w:color w:val="auto"/>
        </w:rPr>
      </w:pPr>
    </w:p>
    <w:p>
      <w:pPr>
        <w:ind w:left="120" w:right="140"/>
        <w:spacing w:after="0" w:line="250" w:lineRule="auto"/>
        <w:rPr>
          <w:sz w:val="20"/>
          <w:szCs w:val="20"/>
          <w:color w:val="auto"/>
        </w:rPr>
      </w:pPr>
      <w:r>
        <w:rPr>
          <w:rFonts w:ascii="Arial" w:cs="Arial" w:eastAsia="Arial" w:hAnsi="Arial"/>
          <w:sz w:val="18"/>
          <w:szCs w:val="18"/>
          <w:color w:val="auto"/>
        </w:rPr>
        <w:t>requirements. Non-U.S. holders are urged to consult their tax advisors regarding their entitlement to benefits under a relevant income tax treaty.</w:t>
      </w:r>
    </w:p>
    <w:p>
      <w:pPr>
        <w:spacing w:after="0" w:line="168"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generally are exempt from the 30% withholding tax if the non-U.S. holder satisfies applicable certification requirements. To claim the exemption, the non-U.S. holder must furnish to us or the applicable withholding agent a valid IRS Form W-8ECI (or applicable successor form), certifying that the dividends are effectively connected with the non-U.S. holder’s conduct of a trade or business within the United States. However, such U.S. effectively connected income, net of specified deductions and credits, is taxed at the U.S. federal income tax rates applicable to a “United States person” (as defined in the Code), unless a specific treaty exemption applies. Any U.S. effectively connected income received by a non-U.S. holder that is a corporation may also, under certain circumstances, be subject to an additional “branch profits tax” at a 30% rate or such lower rate as may be specified by an applicable income tax treaty.</w:t>
      </w:r>
    </w:p>
    <w:p>
      <w:pPr>
        <w:spacing w:after="0" w:line="180"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Non-U.S. holders that do not provide the required certification on a timely basis, but qualify for a reduced treaty rate, may obtain a refund of any excess amounts withheld by timely filing an appropriate claim for refund with the IRS. Non U.S. holders should consult their tax advisors regarding any applicable income tax treaties that may provide for different rules.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Gain on Sale, Exchange or Other Disposition of our Common Stock</w:t>
      </w:r>
    </w:p>
    <w:p>
      <w:pPr>
        <w:spacing w:after="0" w:line="214" w:lineRule="exact"/>
        <w:rPr>
          <w:sz w:val="20"/>
          <w:szCs w:val="20"/>
          <w:color w:val="auto"/>
        </w:rPr>
      </w:pPr>
    </w:p>
    <w:p>
      <w:pPr>
        <w:ind w:left="120" w:right="480" w:firstLine="551"/>
        <w:spacing w:after="0" w:line="255" w:lineRule="auto"/>
        <w:rPr>
          <w:sz w:val="20"/>
          <w:szCs w:val="20"/>
          <w:color w:val="auto"/>
        </w:rPr>
      </w:pPr>
      <w:r>
        <w:rPr>
          <w:rFonts w:ascii="Arial" w:cs="Arial" w:eastAsia="Arial" w:hAnsi="Arial"/>
          <w:sz w:val="18"/>
          <w:szCs w:val="18"/>
          <w:color w:val="auto"/>
        </w:rPr>
        <w:t>Subject to the discussions below regarding backup withholding and foreign accounts, in general, a non-U.S. holder will not be subject to any U.S. federal income tax on any gain realized upon such holder’s sale, exchange or other disposition of shares of our common stock unless:</w:t>
      </w:r>
    </w:p>
    <w:p>
      <w:pPr>
        <w:spacing w:after="0" w:line="69" w:lineRule="exact"/>
        <w:rPr>
          <w:sz w:val="20"/>
          <w:szCs w:val="20"/>
          <w:color w:val="auto"/>
        </w:rPr>
      </w:pPr>
    </w:p>
    <w:p>
      <w:pPr>
        <w:ind w:left="880" w:right="160" w:hanging="224"/>
        <w:spacing w:after="0" w:line="245"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at the U.S. federal income tax rates applicable to United States persons and, if the non-U.S. holder is a foreign corporation, the branch profits tax described above in “Distributions on our Common Stock” also may apply;</w:t>
      </w:r>
    </w:p>
    <w:p>
      <w:pPr>
        <w:spacing w:after="0" w:line="77" w:lineRule="exact"/>
        <w:rPr>
          <w:rFonts w:ascii="Arial" w:cs="Arial" w:eastAsia="Arial" w:hAnsi="Arial"/>
          <w:sz w:val="18"/>
          <w:szCs w:val="18"/>
          <w:color w:val="auto"/>
        </w:rPr>
      </w:pPr>
    </w:p>
    <w:p>
      <w:pPr>
        <w:ind w:left="880" w:right="60" w:hanging="224"/>
        <w:spacing w:after="0" w:line="243"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on the net gain derived from the disposition, which may be offset by certain U.S. source capital losses of the non-U.S. holder, if any (even though the individual is not considered a resident of the United States), provided the non-U.S. holder has timely filed U.S. federal income tax returns with respect to such losses; or</w:t>
      </w:r>
    </w:p>
    <w:p>
      <w:pPr>
        <w:spacing w:after="0" w:line="79"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because we are, or have been, at any time during the five-year period preceding such disposition (or the non-U.S. holder’s holding period, if shorter) a “United States real property holding corporation.” Even if we are or become a United States real property holding corporation, provided that our common stock is “regularly traded” (as defined by U.S. Treasury Regulations) on an established securities market, our common stock will be treated as a U.S. real property interest only with respect to a non-U.S. holder that holds more than 5% of our outstanding common stock, directly or indirectly, actually or constructively, during the shorter of the five-year period ending on the date of the disposition or the period that the non-U.S. holder held our common stock. In such case, such non-U.S. holder generally will be taxed on its net gain derived from the disposition at the U.S. federal income tax rates applicable to United States persons. Generally, a corporation is a United States real property holding corporation only if the fair market value of its U.S. real property interests equals or exceeds 50% of the sum of (i) the fair market value of its worldwide real property interests and (ii) its other assets used or held for use in a trade or business. Although there can be no assurance, we do not believe that we are, or have been, a United States real property holding corporation, or that we are likely to become one in the future. No assurance can be provided that our common stock will be regularly traded on an established securities market for purposes of the rules described above.</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14"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We must report annually to the IRS and to each non-U.S. holder the gross amount of distributions on our common stock paid to such holder, regardless of whether such distributions constitute dividends or whether any tax was withheld. A non-U.S. holder will have to comply with specific certification procedures to establish that it is not a United States person in order to avoid backup withholding at the applicable rate with respect to dividends on our common stock. U.S. backup withholding generally will not apply to a non-U.S. holder who provides a properly executed IRS Form W-8BEN or W-8BEN-E (or successor form) or otherwise establishes an exemption.</w:t>
      </w:r>
    </w:p>
    <w:p>
      <w:pPr>
        <w:spacing w:after="0" w:line="172" w:lineRule="exact"/>
        <w:rPr>
          <w:sz w:val="20"/>
          <w:szCs w:val="20"/>
          <w:color w:val="auto"/>
        </w:rPr>
      </w:pPr>
    </w:p>
    <w:p>
      <w:pPr>
        <w:ind w:left="120" w:right="780" w:firstLine="551"/>
        <w:spacing w:after="0" w:line="247" w:lineRule="auto"/>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foreign, unless the holder certifies its status as</w:t>
      </w:r>
    </w:p>
    <w:p>
      <w:pPr>
        <w:spacing w:after="0" w:line="1" w:lineRule="exact"/>
        <w:rPr>
          <w:sz w:val="20"/>
          <w:szCs w:val="20"/>
          <w:color w:val="auto"/>
        </w:rPr>
      </w:pPr>
    </w:p>
    <w:p>
      <w:pPr>
        <w:ind w:left="120" w:right="260"/>
        <w:spacing w:after="0" w:line="250" w:lineRule="auto"/>
        <w:rPr>
          <w:sz w:val="20"/>
          <w:szCs w:val="20"/>
          <w:color w:val="auto"/>
        </w:rPr>
      </w:pPr>
      <w:r>
        <w:rPr>
          <w:rFonts w:ascii="Arial" w:cs="Arial" w:eastAsia="Arial" w:hAnsi="Arial"/>
          <w:sz w:val="18"/>
          <w:szCs w:val="18"/>
          <w:color w:val="auto"/>
        </w:rPr>
        <w:t>a non-U.S. holder and satisfies certain other requirements, or otherwise establishes an exemption. Generally, information reporting and backup</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100"/>
          </w:cols>
          <w:pgMar w:left="320" w:top="455" w:right="4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48" w:lineRule="auto"/>
        <w:rPr>
          <w:sz w:val="20"/>
          <w:szCs w:val="20"/>
          <w:color w:val="auto"/>
        </w:rPr>
      </w:pPr>
      <w:r>
        <w:rPr>
          <w:rFonts w:ascii="Arial" w:cs="Arial" w:eastAsia="Arial" w:hAnsi="Arial"/>
          <w:sz w:val="18"/>
          <w:szCs w:val="18"/>
          <w:color w:val="auto"/>
        </w:rPr>
        <w:t>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170"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Non-U.S. holders should consult their tax advisors regarding the application of the information reporting and backup withholding rules to them.</w:t>
      </w:r>
    </w:p>
    <w:p>
      <w:pPr>
        <w:spacing w:after="0" w:line="145"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w:t>
      </w:r>
    </w:p>
    <w:p>
      <w:pPr>
        <w:spacing w:after="0" w:line="18" w:lineRule="exact"/>
        <w:rPr>
          <w:sz w:val="20"/>
          <w:szCs w:val="20"/>
          <w:color w:val="auto"/>
        </w:rPr>
      </w:pPr>
    </w:p>
    <w:p>
      <w:pPr>
        <w:ind w:left="120" w:right="280"/>
        <w:spacing w:after="0" w:line="250" w:lineRule="auto"/>
        <w:rPr>
          <w:sz w:val="20"/>
          <w:szCs w:val="20"/>
          <w:color w:val="auto"/>
        </w:rPr>
      </w:pPr>
      <w:r>
        <w:rPr>
          <w:rFonts w:ascii="Arial" w:cs="Arial" w:eastAsia="Arial" w:hAnsi="Arial"/>
          <w:sz w:val="18"/>
          <w:szCs w:val="18"/>
          <w:color w:val="auto"/>
        </w:rPr>
        <w:t>a non-U.S. holder may be allowed as a credit against the non-U.S. holder’s U.S. federal income tax liability, if any, and may entitle such holder to a refund, provided that the required information is timely furnished to the IRS.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Accounts</w:t>
      </w:r>
    </w:p>
    <w:p>
      <w:pPr>
        <w:spacing w:after="0" w:line="214"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Sections 1471 through 1474 of the Code, or commonly referred to as FATCA, generally impose a U.S. federal withholding tax of 30% on certain payments made to a “foreign financial institution” (as specifically defined for this purpose), unless such institution enters into an agreement with the U.S. government to, among other things, withhold on certain payments and collect and provide to the U.S. tax authorities substantial information regarding U.S. account holders of such institution (which may include certain equity and debt holders of such institution, as well as certain account holders that are foreign entities with U.S. owners). Foreign financial institutions located in jurisdictions that have an intergovernmental agreement with the United States governing these withholding and reporting requirements may be subject to different rules. FATCA also generally imposes a 30% withholding tax on certain payments made to</w:t>
      </w:r>
    </w:p>
    <w:p>
      <w:pPr>
        <w:spacing w:after="0" w:line="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 non-financial foreign entity, unless such entity provides the withholding agent with either a certification that it does not have any substantial direct or indirect U.S. owners, or information regarding substantial direct and indirect U.S. owners of the entity. The withholding tax under FATCA described above will not apply if the foreign financial institution or non-financial foreign entity otherwise qualifies for an exemption from the rules. The FATCA withholding provisions described above currently apply to dividends on our common stock. The FATCA withholding provisions also would apply to the gross proceeds of a disposition of our common stock, except that the U.S. Treasury Department has released proposed regulations which, if finalized in their present form, would eliminate such withholding. In its preamble to such proposed regulations, the U.S. Treasury Department stated that taxpayers generally may rely on the proposed regulations until final regulations are issued.</w:t>
      </w:r>
    </w:p>
    <w:p>
      <w:pPr>
        <w:spacing w:after="0" w:line="179" w:lineRule="exact"/>
        <w:rPr>
          <w:sz w:val="20"/>
          <w:szCs w:val="20"/>
          <w:color w:val="auto"/>
        </w:rPr>
      </w:pPr>
    </w:p>
    <w:p>
      <w:pPr>
        <w:ind w:left="120" w:right="500" w:firstLine="551"/>
        <w:spacing w:after="0" w:line="306" w:lineRule="auto"/>
        <w:rPr>
          <w:sz w:val="20"/>
          <w:szCs w:val="20"/>
          <w:color w:val="auto"/>
        </w:rPr>
      </w:pPr>
      <w:r>
        <w:rPr>
          <w:rFonts w:ascii="Arial" w:cs="Arial" w:eastAsia="Arial" w:hAnsi="Arial"/>
          <w:sz w:val="17"/>
          <w:szCs w:val="17"/>
          <w:color w:val="auto"/>
        </w:rPr>
        <w:t>Under certain circumstances, a non-U.S. holder might be eligible for refunds or credits of such taxes. Non-U.S. holders are encouraged to consult with their tax advisors regarding the possible implications of FATCA on their investment in our common stock.</w:t>
      </w:r>
    </w:p>
    <w:p>
      <w:pPr>
        <w:spacing w:after="0" w:line="123"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EACH PROSPECTIVE INVESTOR SHOULD CONSULT ITS TAX ADVISORS REGARDING THE TAX CONSEQUENCES OF PURCHASING, HOLDING AND DISPOSING OF OUR COMMON STOCK, AS WELL AS TAX CONSEQUENCES ARISING UNDER ANY STATE, LOCAL, NON-U.S. OR U.S. FEDERAL NON-INCOME TAX LAWS.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w:t>
      </w:r>
    </w:p>
    <w:p>
      <w:pPr>
        <w:ind w:left="120"/>
        <w:spacing w:after="0"/>
        <w:rPr>
          <w:sz w:val="20"/>
          <w:szCs w:val="20"/>
          <w:color w:val="auto"/>
        </w:rPr>
      </w:pPr>
      <w:r>
        <w:rPr>
          <w:rFonts w:ascii="Arial" w:cs="Arial" w:eastAsia="Arial" w:hAnsi="Arial"/>
          <w:sz w:val="18"/>
          <w:szCs w:val="18"/>
          <w:color w:val="auto"/>
        </w:rPr>
        <w:t>Goldman Sachs &amp; Co. LLC, Citigroup Global Markets Inc. and Cowen and Company, LLC are the representatives of the underwriters.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400" w:type="dxa"/>
            <w:vAlign w:val="bottom"/>
          </w:tcPr>
          <w:p>
            <w:pPr>
              <w:jc w:val="center"/>
              <w:ind w:left="460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6"/>
        </w:trPr>
        <w:tc>
          <w:tcPr>
            <w:tcW w:w="5560" w:type="dxa"/>
            <w:vAlign w:val="bottom"/>
            <w:vMerge w:val="continue"/>
          </w:tcPr>
          <w:p>
            <w:pPr>
              <w:spacing w:after="0"/>
              <w:rPr>
                <w:sz w:val="15"/>
                <w:szCs w:val="15"/>
                <w:color w:val="auto"/>
              </w:rPr>
            </w:pPr>
          </w:p>
        </w:tc>
        <w:tc>
          <w:tcPr>
            <w:tcW w:w="5400" w:type="dxa"/>
            <w:vAlign w:val="bottom"/>
          </w:tcPr>
          <w:p>
            <w:pPr>
              <w:jc w:val="center"/>
              <w:ind w:left="460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ind w:left="120"/>
        <w:spacing w:after="0" w:line="234" w:lineRule="auto"/>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Citigroup Global Markets Inc.</w:t>
      </w:r>
    </w:p>
    <w:p>
      <w:pPr>
        <w:ind w:left="120"/>
        <w:spacing w:after="0" w:line="235" w:lineRule="auto"/>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-1905</wp:posOffset>
            </wp:positionV>
            <wp:extent cx="4629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14605</wp:posOffset>
            </wp:positionV>
            <wp:extent cx="4629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24" w:lineRule="exact"/>
        <w:rPr>
          <w:sz w:val="20"/>
          <w:szCs w:val="20"/>
          <w:color w:val="auto"/>
        </w:rPr>
      </w:pPr>
    </w:p>
    <w:p>
      <w:pPr>
        <w:jc w:val="both"/>
        <w:ind w:left="120" w:right="160" w:firstLine="551"/>
        <w:spacing w:after="0" w:line="27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ind w:left="120" w:right="260" w:firstLine="551"/>
        <w:spacing w:after="0" w:line="255" w:lineRule="auto"/>
        <w:rPr>
          <w:sz w:val="20"/>
          <w:szCs w:val="20"/>
          <w:color w:val="auto"/>
        </w:rPr>
      </w:pPr>
      <w:r>
        <w:rPr>
          <w:rFonts w:ascii="Arial" w:cs="Arial" w:eastAsia="Arial" w:hAnsi="Arial"/>
          <w:sz w:val="18"/>
          <w:szCs w:val="18"/>
          <w:color w:val="auto"/>
        </w:rPr>
        <w:t>The underwriters have an option to buy up to an additional shares of common stock from us. They may exercise that option for 30 days. If any shares are purchased pursuant to this option, the underwriters will severally purchase shares in approximately the same proportion as set forth in the table above.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9480" w:type="dxa"/>
            <w:vAlign w:val="bottom"/>
            <w:gridSpan w:val="4"/>
          </w:tcPr>
          <w:p>
            <w:pPr>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w:t>
            </w:r>
          </w:p>
        </w:tc>
        <w:tc>
          <w:tcPr>
            <w:tcW w:w="1540" w:type="dxa"/>
            <w:vAlign w:val="bottom"/>
            <w:gridSpan w:val="3"/>
          </w:tcPr>
          <w:p>
            <w:pPr>
              <w:ind w:left="40"/>
              <w:spacing w:after="0"/>
              <w:rPr>
                <w:sz w:val="20"/>
                <w:szCs w:val="20"/>
                <w:color w:val="auto"/>
              </w:rPr>
            </w:pPr>
            <w:r>
              <w:rPr>
                <w:rFonts w:ascii="Arial" w:cs="Arial" w:eastAsia="Arial" w:hAnsi="Arial"/>
                <w:sz w:val="18"/>
                <w:szCs w:val="18"/>
                <w:color w:val="auto"/>
              </w:rPr>
              <w:t>additional shares.</w:t>
            </w:r>
          </w:p>
        </w:tc>
      </w:tr>
      <w:tr>
        <w:trPr>
          <w:trHeight w:val="386"/>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Paid by Us</w:t>
            </w:r>
          </w:p>
        </w:tc>
        <w:tc>
          <w:tcPr>
            <w:tcW w:w="3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w w:val="99"/>
              </w:rPr>
              <w:t>No Exercise</w:t>
            </w:r>
          </w:p>
        </w:tc>
        <w:tc>
          <w:tcPr>
            <w:tcW w:w="58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89"/>
        </w:trPr>
        <w:tc>
          <w:tcPr>
            <w:tcW w:w="4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Per Share</w:t>
            </w:r>
          </w:p>
        </w:tc>
        <w:tc>
          <w:tcPr>
            <w:tcW w:w="39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43"/>
        </w:trPr>
        <w:tc>
          <w:tcPr>
            <w:tcW w:w="4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760" w:type="dxa"/>
            <w:vAlign w:val="bottom"/>
            <w:gridSpan w:val="2"/>
          </w:tcPr>
          <w:p>
            <w:pPr>
              <w:ind w:left="39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bl>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w:t>
      </w:r>
    </w:p>
    <w:p>
      <w:pPr>
        <w:spacing w:after="0" w:line="18"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6"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We, our executive officers and our directors have agreed with the underwriters, subject to certain exceptions, not to dispose of or hedge any of our common stock or securities convertible into or exchangeable for shares of our common stock during the period from the date of this prospectus supplement continuing through (i) the date 90 days after the date of this prospectus supplement with respect to us, and (ii) the date 60 days after the date of this prospectus supplement with respect to our executive officers and directors, except with the prior written consent of the representatives. This agreement does not apply to any existing employee benefit plans.</w:t>
      </w:r>
    </w:p>
    <w:p>
      <w:pPr>
        <w:spacing w:after="0" w:line="172" w:lineRule="exact"/>
        <w:rPr>
          <w:sz w:val="20"/>
          <w:szCs w:val="20"/>
          <w:color w:val="auto"/>
        </w:rPr>
      </w:pPr>
    </w:p>
    <w:p>
      <w:pPr>
        <w:ind w:left="120" w:right="80" w:firstLine="551"/>
        <w:spacing w:after="0" w:line="262" w:lineRule="auto"/>
        <w:rPr>
          <w:sz w:val="20"/>
          <w:szCs w:val="20"/>
          <w:color w:val="auto"/>
        </w:rPr>
      </w:pPr>
      <w:r>
        <w:rPr>
          <w:rFonts w:ascii="Arial" w:cs="Arial" w:eastAsia="Arial" w:hAnsi="Arial"/>
          <w:sz w:val="17"/>
          <w:szCs w:val="17"/>
          <w:color w:val="auto"/>
        </w:rPr>
        <w:t>The restrictions in the immediately preceding paragraph do not apply to our executive officers or directors in certain circumstances, including (i) the transfers not for value of our common stock as bona fide gifts, by will, to an immediate family member or to certain trusts;</w:t>
      </w:r>
    </w:p>
    <w:p>
      <w:pPr>
        <w:ind w:left="360" w:hanging="244"/>
        <w:spacing w:after="0" w:line="235" w:lineRule="auto"/>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the extent the party to the lock-up agreement is an entity, the transfer of our common stock to affiliates, limited partners, general</w:t>
      </w:r>
    </w:p>
    <w:p>
      <w:pPr>
        <w:ind w:left="120" w:right="180"/>
        <w:spacing w:after="0" w:line="250" w:lineRule="auto"/>
        <w:rPr>
          <w:rFonts w:ascii="Arial" w:cs="Arial" w:eastAsia="Arial" w:hAnsi="Arial"/>
          <w:sz w:val="18"/>
          <w:szCs w:val="18"/>
          <w:color w:val="auto"/>
        </w:rPr>
      </w:pPr>
      <w:r>
        <w:rPr>
          <w:rFonts w:ascii="Arial" w:cs="Arial" w:eastAsia="Arial" w:hAnsi="Arial"/>
          <w:sz w:val="18"/>
          <w:szCs w:val="18"/>
          <w:color w:val="auto"/>
        </w:rPr>
        <w:t>partners, limited liability company members or stockholders; (iii) transfers of our common stock pursuant to a bona fide third-party tender offer, merger, consolidation or other similar transaction made</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140"/>
          </w:cols>
          <w:pgMar w:left="32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0" w:lineRule="auto"/>
        <w:rPr>
          <w:sz w:val="20"/>
          <w:szCs w:val="20"/>
          <w:color w:val="auto"/>
        </w:rPr>
      </w:pPr>
      <w:r>
        <w:rPr>
          <w:rFonts w:ascii="Arial" w:cs="Arial" w:eastAsia="Arial" w:hAnsi="Arial"/>
          <w:sz w:val="17"/>
          <w:szCs w:val="17"/>
          <w:color w:val="auto"/>
        </w:rPr>
        <w:t>to all of our stockholders and involving a change of control of us; (iv) in connection with a sale of shares of our common stock acquired in open market transactions after the date of this prospectus and, other than for our directors and officers, shares of our common stock purchased in this offering, whether or not issuer-directed; (v) transfers of our common stock to us for the net exercise of options granted pursuant to our equity incentive plans described elsewhere in this prospectus or to cover tax withholding for grants pursuant to our equity incentive plans or in connection with the repurchase of shares of our common stock issued pursuant to an employee benefit plan described elsewhere in this prospectus; and (vi) transfers of our common stock pursuant to existing 10b5-1 trading plans under the Exchange Act. The exceptions described in (i) through (iii) above are subject to a requirement that the transferee enter into a lockup agreement with the underwriters containing similar restrictions, the exceptions described in (i) and (ii) above are subject to a requirement that no public announcement or filing under Section 16 of the Exchange Act shall be required or voluntarily made during the restricted period and any such transfer shall not involve a disposition for value, the exceptions described in (iv) and (v) above are subject to a requirement that no public announcement or filing under Section 16 of the Exchange Act shall be required or voluntarily made during the restricted period and the exception described in (vi) above is subject to a requirement that any public reports or filings including filings under Sections 13 or 16 of the Exchange Act that shall be required to be made or voluntarily made shall clearly indicate in the footnotes that such sale was made pursuant to a trading plan established pursuant to Rule 10b5-1 under the Exchange Act. The restrictions in the immediately preceding paragraph do not apply to us in certain circumstances, including (i) the sale of shares in this offering, (ii) the issuance of shares upon the exercise of an option or warrant or conversion of a security outstanding on the date of this prospectus supplement, (iii) the issuance of securities pursuant to our equity incentive plans, (iv) the filing of any registration statement (including amendments or prospectuses thereto) (A) on Form S-8 or any successor form thereto with respect to the registration of securities to be offered under an employee benefit or equity incentive plans or (B) that we may be required to file pursuant to that certain Amended and Restated Investor Rights Agreement, dated as of March 20, 2015, by and between us and the investor parties thereto, (v) the issuance of shares of common stock to Merck and/or its designate affilate(s) and the entry into a purchase agreement related thereto, in each case pursuant to the exercise by Merck of its option to acquire shares of common stock from us pursuant to that certain Letter Agreement, dated as of March 20, 2015, by and between Merck and us, or (vi) the issuance of securities in connection with transactions that include a commercial relationship (including without limitation, joint ventures, marketing or distribution arrangements, collaboration agreements or intellectual property license agreements) or any acquisition by us of any of our subsidiaries of the securities, business, property or other assets of another person or entity pursuant to any employee benefit plan assumed by us in connection with such acquisition, and the issuance of any such securities pursuant to such agreement; provided further, that, in the case of clause (vi), the aggregate number of shares that we may sell or issue or agree to sell or issue pursuant to clause (vi) shall not exceed 5% of the total number of shares of common stock issued and outstanding immediately following the completion of this offering, and provided further that we shall cause each recipient of such securities pursuant to clause (vi) to execute and deliver to the representatives a lock-up agreements described above.</w:t>
      </w:r>
    </w:p>
    <w:p>
      <w:pPr>
        <w:spacing w:after="0" w:line="386"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“NGM.”</w:t>
      </w:r>
    </w:p>
    <w:p>
      <w:pPr>
        <w:spacing w:after="0" w:line="212"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060"/>
          </w:cols>
          <w:pgMar w:left="320" w:top="455" w:right="51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our common stock made by the underwriters in the open market prior to the completion of the offering.</w:t>
      </w:r>
    </w:p>
    <w:p>
      <w:pPr>
        <w:spacing w:after="0" w:line="180"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over-the-counter market or otherwise.</w:t>
      </w:r>
    </w:p>
    <w:p>
      <w:pPr>
        <w:spacing w:after="0" w:line="190"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We estimate that our total expenses of the offering, excluding underwriting discounts and commissions, will be approximately $465,000. We have agreed to reimburse the underwriters for expenses of up to $ 15,000 related to the clearance of this offering with the Financial Industry Regulatory Authority, Inc. and compliance with state securities or “blue sky” laws.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72"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S-83</w:t>
      </w:r>
    </w:p>
    <w:p>
      <w:pPr>
        <w:sectPr>
          <w:pgSz w:w="11900" w:h="16838" w:orient="portrait"/>
          <w:cols w:equalWidth="0" w:num="1">
            <w:col w:w="11060"/>
          </w:cols>
          <w:pgMar w:left="320" w:top="455" w:right="51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76" w:lineRule="auto"/>
        <w:rPr>
          <w:sz w:val="20"/>
          <w:szCs w:val="20"/>
          <w:color w:val="auto"/>
        </w:rPr>
      </w:pPr>
      <w:r>
        <w:rPr>
          <w:rFonts w:ascii="Arial" w:cs="Arial" w:eastAsia="Arial" w:hAnsi="Arial"/>
          <w:sz w:val="18"/>
          <w:szCs w:val="18"/>
          <w:color w:val="auto"/>
        </w:rPr>
        <w:t>independent research views in respect of such assets, securities or instruments and may at any time hold, or recommend to clients that they should acquire, long and/or short positions in such assets, securities and instruments.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106"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common shares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79" w:lineRule="exact"/>
        <w:rPr>
          <w:sz w:val="20"/>
          <w:szCs w:val="20"/>
          <w:color w:val="auto"/>
        </w:rPr>
      </w:pPr>
    </w:p>
    <w:p>
      <w:pPr>
        <w:ind w:left="1860" w:hanging="543"/>
        <w:spacing w:after="0"/>
        <w:tabs>
          <w:tab w:leader="none" w:pos="1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860" w:right="900" w:hanging="543"/>
        <w:spacing w:after="0" w:line="276" w:lineRule="auto"/>
        <w:tabs>
          <w:tab w:leader="none" w:pos="1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representatives for any such offer; or</w:t>
      </w:r>
    </w:p>
    <w:p>
      <w:pPr>
        <w:spacing w:after="0" w:line="50" w:lineRule="exact"/>
        <w:rPr>
          <w:rFonts w:ascii="Arial" w:cs="Arial" w:eastAsia="Arial" w:hAnsi="Arial"/>
          <w:sz w:val="18"/>
          <w:szCs w:val="18"/>
          <w:color w:val="auto"/>
        </w:rPr>
      </w:pPr>
    </w:p>
    <w:p>
      <w:pPr>
        <w:ind w:left="1860" w:hanging="543"/>
        <w:spacing w:after="0"/>
        <w:tabs>
          <w:tab w:leader="none" w:pos="1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680" w:firstLine="551"/>
        <w:spacing w:after="0" w:line="276"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Article 3 of the Prospectus Regulation or supplement a prospectus pursuant to Article 23 of the Prospectus Regulation.</w:t>
      </w:r>
    </w:p>
    <w:p>
      <w:pPr>
        <w:spacing w:after="0" w:line="145"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06" w:lineRule="exact"/>
        <w:rPr>
          <w:sz w:val="20"/>
          <w:szCs w:val="20"/>
          <w:color w:val="auto"/>
        </w:rPr>
      </w:pPr>
    </w:p>
    <w:p>
      <w:pPr>
        <w:ind w:left="120" w:right="20" w:firstLine="551"/>
        <w:spacing w:after="0" w:line="257" w:lineRule="auto"/>
        <w:rPr>
          <w:sz w:val="20"/>
          <w:szCs w:val="20"/>
          <w:color w:val="auto"/>
        </w:rPr>
      </w:pPr>
      <w:r>
        <w:rPr>
          <w:rFonts w:ascii="Arial" w:cs="Arial" w:eastAsia="Arial" w:hAnsi="Arial"/>
          <w:sz w:val="17"/>
          <w:szCs w:val="17"/>
          <w:color w:val="auto"/>
        </w:rPr>
        <w:t>This prospectus supplement and the accompanying prospectus are only being distributed to, and are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w:t>
      </w:r>
    </w:p>
    <w:p>
      <w:pPr>
        <w:spacing w:after="0" w:line="2" w:lineRule="exact"/>
        <w:rPr>
          <w:sz w:val="20"/>
          <w:szCs w:val="20"/>
          <w:color w:val="auto"/>
        </w:rPr>
      </w:pPr>
    </w:p>
    <w:p>
      <w:pPr>
        <w:ind w:left="120" w:right="140" w:hanging="4"/>
        <w:spacing w:after="0"/>
        <w:tabs>
          <w:tab w:leader="none" w:pos="3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06"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S-84</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7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2"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0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0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0"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S-85</w:t>
      </w:r>
    </w:p>
    <w:p>
      <w:pPr>
        <w:sectPr>
          <w:pgSz w:w="11900" w:h="16838" w:orient="portrait"/>
          <w:cols w:equalWidth="0" w:num="1">
            <w:col w:w="11100"/>
          </w:cols>
          <w:pgMar w:left="320" w:top="455" w:right="4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color w:val="auto"/>
        </w:rPr>
        <w:t>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06"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06"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or the Corporations Act, in relation to our shares has been or will be lodged with the Australian Securities &amp; Investments Commission ( the “ASIC”). This document has not been lodged with ASIC and is only directed to certain categories of exempt persons. Accordingly, if you receive this document in Australia:</w:t>
      </w:r>
    </w:p>
    <w:p>
      <w:pPr>
        <w:spacing w:after="0" w:line="170" w:lineRule="exact"/>
        <w:rPr>
          <w:sz w:val="20"/>
          <w:szCs w:val="20"/>
          <w:color w:val="auto"/>
        </w:rPr>
      </w:pPr>
    </w:p>
    <w:p>
      <w:pPr>
        <w:ind w:left="1820" w:hanging="272"/>
        <w:spacing w:after="0"/>
        <w:tabs>
          <w:tab w:leader="none" w:pos="1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103" w:lineRule="exact"/>
        <w:rPr>
          <w:rFonts w:ascii="Arial" w:cs="Arial" w:eastAsia="Arial" w:hAnsi="Arial"/>
          <w:sz w:val="18"/>
          <w:szCs w:val="18"/>
          <w:color w:val="auto"/>
        </w:rPr>
      </w:pPr>
    </w:p>
    <w:p>
      <w:pPr>
        <w:ind w:left="2640" w:hanging="211"/>
        <w:spacing w:after="0"/>
        <w:tabs>
          <w:tab w:leader="none" w:pos="26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03" w:lineRule="exact"/>
        <w:rPr>
          <w:rFonts w:ascii="Arial" w:cs="Arial" w:eastAsia="Arial" w:hAnsi="Arial"/>
          <w:sz w:val="18"/>
          <w:szCs w:val="18"/>
          <w:color w:val="auto"/>
        </w:rPr>
      </w:pPr>
    </w:p>
    <w:p>
      <w:pPr>
        <w:ind w:left="120" w:right="200" w:firstLine="2309"/>
        <w:spacing w:after="0" w:line="255" w:lineRule="auto"/>
        <w:tabs>
          <w:tab w:leader="none" w:pos="2683"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55" w:lineRule="exact"/>
        <w:rPr>
          <w:rFonts w:ascii="Arial" w:cs="Arial" w:eastAsia="Arial" w:hAnsi="Arial"/>
          <w:sz w:val="18"/>
          <w:szCs w:val="18"/>
          <w:color w:val="auto"/>
        </w:rPr>
      </w:pPr>
    </w:p>
    <w:p>
      <w:pPr>
        <w:ind w:left="2720" w:hanging="291"/>
        <w:spacing w:after="0"/>
        <w:tabs>
          <w:tab w:leader="none" w:pos="27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person associated with us under section 708(12) of the Corporations Act; or</w:t>
      </w:r>
    </w:p>
    <w:p>
      <w:pPr>
        <w:spacing w:after="0" w:line="103" w:lineRule="exact"/>
        <w:rPr>
          <w:rFonts w:ascii="Arial" w:cs="Arial" w:eastAsia="Arial" w:hAnsi="Arial"/>
          <w:sz w:val="18"/>
          <w:szCs w:val="18"/>
          <w:color w:val="auto"/>
        </w:rPr>
      </w:pPr>
    </w:p>
    <w:p>
      <w:pPr>
        <w:ind w:left="120" w:right="220" w:firstLine="2309"/>
        <w:spacing w:after="0" w:line="255" w:lineRule="auto"/>
        <w:tabs>
          <w:tab w:leader="none" w:pos="2733"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S-86</w:t>
      </w:r>
    </w:p>
    <w:p>
      <w:pPr>
        <w:sectPr>
          <w:pgSz w:w="11900" w:h="16838" w:orient="portrait"/>
          <w:cols w:equalWidth="0" w:num="1">
            <w:col w:w="11080"/>
          </w:cols>
          <w:pgMar w:left="320" w:top="455" w:right="49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1758"/>
        <w:spacing w:after="0" w:line="255" w:lineRule="auto"/>
        <w:tabs>
          <w:tab w:leader="none" w:pos="21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our shares for resale in Australia within 12 months of that security being issued unless any such resale offer is exempt from the requirement to issue a disclosure document under section 708 of the Corporations Act.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06"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In the State of Israel this prospectus supplement shall not be regarded as an offer to the public to purchase shares of our common stock under the Israeli Securities Law, 5728 – 1968, or the Israeli Securities Law, which requires a prospectus to be published and authorized by the Israel Securities Authority if it complies with certain provisions of Section 15 of the Israeli Securities Law,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We have not and will not distribute this prospectus supplement or make, distribute or direct an offer to subscribe for our common stock to any person within the State of Israel, other than to Qualified Investors and up to 35 Addressed Investors.</w:t>
      </w:r>
    </w:p>
    <w:p>
      <w:pPr>
        <w:spacing w:after="0" w:line="180"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Qualified Investors may have to submit written evidence that they meet the definitions set out in of the First Addendum to the Israeli Securities Law. In particular, we may request, as a condition to be offered shares of our common stock, that Qualified Investors will each represent, warrant and certify to us and/or to anyone acting on our behalf: (i) that it is an investor falling within one of the categories listed in the First Addendum to the Israeli Securities Law; (ii) which of the categories listed in the First Addendum to the Israeli Securities Law regarding Qualified Investors is applicable to it; (iii) that it will abide by all provisions set forth in the Israeli Securities Law and the regulations promulgated thereunder in connection with the offer to be issued shares of our common stock; (iv) that the shares of our common stock and that it will be issued are subject to exemptions available under the Israeli Securities Law (a) for its own account, (b) for investment purposes only and (c) not issued with a view to resale within the State of Israel, other than in accordance with the provisions of the Israeli Securities Law;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S-87</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Cooley LLP is serving as our counsel in this offering. Davis Polk &amp; Wardwell LLP of Menlo Park, California is representing the underwriters in connection with this offering. GC&amp;H Investments, LLC, an entity that includes current and former partners and associates of Cooley LLP, beneficially owns 10,000 shares of our common stock.</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2019, as set forth in their report (which contains an explanatory paragraph describing a change in accounting principle as described in Note 2 to the consolidated financial statements), which is incorporated by reference in this prospectus supplement and elsewhere in the registration statement. Our consolidated financial statements are incorporated by reference in reliance on Ernst &amp; Young LLP’s report, given on their authority as experts in accounting and auditing.</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This prospectus supplement and the accompanying prospectus are part of the registration statement on Form S-3 that we filed with the SEC. The registration statement that contains this prospectus supplement, including the exhibits and schedules to the registration statement, contains additional information about us and the securities offered by this prospectus supplement and the accompanying prospectus. For further information with respect to us and the securities we are offering under this prospectus supplement and the accompanying prospectus, we refer you to the registration statement and the exhibits and schedules filed as a part of the registration statement. You should rely only on information contained in this prospectus supplement, the accompanying prospectus or incorporated by reference into this prospectus supplement and the accompanying prospectus. We have not authorized any person to provide you with different information. We are not making an offer of these securities in any state where the offer is not permitted. You should not assume that the information in this prospectus supplement is accurate as of any date other than the date on the front page of this prospectus supplement, regardless of the time of delivery of this prospectus supplement or any sale of the securities offered by this prospectus supplement. We file annual, quarterly and current reports, proxy statements and other information with the SEC. Our SEC filings are available to the public at the SEC’s website at http://www.sec.gov.</w:t>
      </w:r>
    </w:p>
    <w:p>
      <w:pPr>
        <w:spacing w:after="0" w:line="183"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We maintain a website at www.ngmbio.com. Information contained in or accessible through our website does not constitute a part of this prospectus supplement or the accompanying prospectus and is not incorporated by reference into this prospectus supplement or the accompanying prospectus.</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S-88</w:t>
      </w:r>
    </w:p>
    <w:p>
      <w:pPr>
        <w:sectPr>
          <w:pgSz w:w="11900" w:h="16838" w:orient="portrait"/>
          <w:cols w:equalWidth="0" w:num="1">
            <w:col w:w="11080"/>
          </w:cols>
          <w:pgMar w:left="320" w:top="455" w:right="4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14" w:lineRule="exact"/>
        <w:rPr>
          <w:sz w:val="20"/>
          <w:szCs w:val="20"/>
          <w:color w:val="auto"/>
        </w:rPr>
      </w:pPr>
    </w:p>
    <w:p>
      <w:pPr>
        <w:ind w:left="120" w:right="540" w:firstLine="551"/>
        <w:spacing w:after="0" w:line="268" w:lineRule="auto"/>
        <w:rPr>
          <w:sz w:val="20"/>
          <w:szCs w:val="20"/>
          <w:color w:val="auto"/>
        </w:rPr>
      </w:pPr>
      <w:r>
        <w:rPr>
          <w:rFonts w:ascii="Arial" w:cs="Arial" w:eastAsia="Arial" w:hAnsi="Arial"/>
          <w:sz w:val="17"/>
          <w:szCs w:val="17"/>
          <w:color w:val="auto"/>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supplement and the accompanying prospectus. We incorporate by reference the following information or documents that we have filed with the SEC (Commission File No. 000-38853):</w:t>
      </w:r>
    </w:p>
    <w:p>
      <w:pPr>
        <w:spacing w:after="0" w:line="58" w:lineRule="exact"/>
        <w:rPr>
          <w:sz w:val="20"/>
          <w:szCs w:val="20"/>
          <w:color w:val="auto"/>
        </w:rPr>
      </w:pPr>
    </w:p>
    <w:p>
      <w:pPr>
        <w:ind w:left="1320" w:hanging="435"/>
        <w:spacing w:after="0"/>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2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March 17, 2020;</w:t>
      </w:r>
    </w:p>
    <w:p>
      <w:pPr>
        <w:spacing w:after="0" w:line="117" w:lineRule="exact"/>
        <w:rPr>
          <w:rFonts w:ascii="Arial" w:cs="Arial" w:eastAsia="Arial" w:hAnsi="Arial"/>
          <w:sz w:val="18"/>
          <w:szCs w:val="18"/>
          <w:color w:val="auto"/>
        </w:rPr>
      </w:pPr>
    </w:p>
    <w:p>
      <w:pPr>
        <w:ind w:left="1320" w:right="140" w:hanging="435"/>
        <w:spacing w:after="0" w:line="276" w:lineRule="auto"/>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123">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April 8, 2020 (excluding those portions that are not incorporated by reference into our Annual Report on Form 10-K for the year ended December 31, 2019);</w:t>
      </w:r>
    </w:p>
    <w:p>
      <w:pPr>
        <w:spacing w:after="0" w:line="50" w:lineRule="exact"/>
        <w:rPr>
          <w:rFonts w:ascii="Arial" w:cs="Arial" w:eastAsia="Arial" w:hAnsi="Arial"/>
          <w:sz w:val="18"/>
          <w:szCs w:val="18"/>
          <w:color w:val="auto"/>
        </w:rPr>
      </w:pPr>
    </w:p>
    <w:p>
      <w:pPr>
        <w:ind w:left="1320" w:right="80" w:hanging="435"/>
        <w:spacing w:after="0" w:line="255" w:lineRule="auto"/>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 ended March 31, 2020, filed with the SEC on </w:t>
      </w:r>
      <w:hyperlink r:id="rId124">
        <w:r>
          <w:rPr>
            <w:rFonts w:ascii="Arial" w:cs="Arial" w:eastAsia="Arial" w:hAnsi="Arial"/>
            <w:sz w:val="18"/>
            <w:szCs w:val="18"/>
            <w:u w:val="single" w:color="auto"/>
            <w:color w:val="0000EE"/>
          </w:rPr>
          <w:t>May 13, 2020</w:t>
        </w:r>
      </w:hyperlink>
      <w:r>
        <w:rPr>
          <w:rFonts w:ascii="Arial" w:cs="Arial" w:eastAsia="Arial" w:hAnsi="Arial"/>
          <w:sz w:val="18"/>
          <w:szCs w:val="18"/>
          <w:color w:val="auto"/>
        </w:rPr>
        <w:t xml:space="preserve">, for the quarter ended June 30, 2020, filed with the SEC on </w:t>
      </w:r>
      <w:hyperlink r:id="rId125">
        <w:r>
          <w:rPr>
            <w:rFonts w:ascii="Arial" w:cs="Arial" w:eastAsia="Arial" w:hAnsi="Arial"/>
            <w:sz w:val="18"/>
            <w:szCs w:val="18"/>
            <w:u w:val="single" w:color="auto"/>
            <w:color w:val="0000EE"/>
          </w:rPr>
          <w:t>August 12,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for the quarter ended September 30, 2020, filed with the SEC on </w:t>
      </w:r>
      <w:hyperlink r:id="rId126">
        <w:r>
          <w:rPr>
            <w:rFonts w:ascii="Arial" w:cs="Arial" w:eastAsia="Arial" w:hAnsi="Arial"/>
            <w:sz w:val="18"/>
            <w:szCs w:val="18"/>
            <w:u w:val="single" w:color="auto"/>
            <w:color w:val="0000EE"/>
          </w:rPr>
          <w:t>November 12, 2020</w:t>
        </w:r>
      </w:hyperlink>
      <w:r>
        <w:rPr>
          <w:rFonts w:ascii="Arial" w:cs="Arial" w:eastAsia="Arial" w:hAnsi="Arial"/>
          <w:sz w:val="18"/>
          <w:szCs w:val="18"/>
          <w:color w:val="auto"/>
        </w:rPr>
        <w:t>;</w:t>
      </w:r>
    </w:p>
    <w:p>
      <w:pPr>
        <w:spacing w:after="0" w:line="69" w:lineRule="exact"/>
        <w:rPr>
          <w:rFonts w:ascii="Arial" w:cs="Arial" w:eastAsia="Arial" w:hAnsi="Arial"/>
          <w:sz w:val="18"/>
          <w:szCs w:val="18"/>
          <w:color w:val="auto"/>
        </w:rPr>
      </w:pPr>
    </w:p>
    <w:p>
      <w:pPr>
        <w:ind w:left="1320" w:right="180" w:hanging="435"/>
        <w:spacing w:after="0" w:line="276" w:lineRule="auto"/>
        <w:tabs>
          <w:tab w:leader="none" w:pos="1320" w:val="left"/>
        </w:tabs>
        <w:numPr>
          <w:ilvl w:val="0"/>
          <w:numId w:val="46"/>
        </w:numPr>
        <w:rPr>
          <w:rFonts w:ascii="Arial" w:cs="Arial" w:eastAsia="Arial" w:hAnsi="Arial"/>
          <w:sz w:val="18"/>
          <w:szCs w:val="18"/>
          <w:color w:val="0000EE"/>
        </w:rPr>
      </w:pPr>
      <w:hyperlink r:id="rId127">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13,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24,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9,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27,</w:t>
        </w:r>
      </w:hyperlink>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EE"/>
          </w:rPr>
          <w:t>2020</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28">
        <w:r>
          <w:rPr>
            <w:rFonts w:ascii="Arial" w:cs="Arial" w:eastAsia="Arial" w:hAnsi="Arial"/>
            <w:sz w:val="18"/>
            <w:szCs w:val="18"/>
            <w:u w:val="single" w:color="auto"/>
            <w:color w:val="0000EE"/>
          </w:rPr>
          <w:t>June 8, 2020</w:t>
        </w:r>
      </w:hyperlink>
      <w:hyperlink r:id="rId127">
        <w:r>
          <w:rPr>
            <w:rFonts w:ascii="Arial" w:cs="Arial" w:eastAsia="Arial" w:hAnsi="Arial"/>
            <w:sz w:val="18"/>
            <w:szCs w:val="18"/>
            <w:color w:val="000000"/>
          </w:rPr>
          <w:t>; and</w:t>
        </w:r>
      </w:hyperlink>
    </w:p>
    <w:p>
      <w:pPr>
        <w:spacing w:after="0" w:line="50" w:lineRule="exact"/>
        <w:rPr>
          <w:rFonts w:ascii="Arial" w:cs="Arial" w:eastAsia="Arial" w:hAnsi="Arial"/>
          <w:sz w:val="18"/>
          <w:szCs w:val="18"/>
          <w:color w:val="0000EE"/>
        </w:rPr>
      </w:pPr>
    </w:p>
    <w:p>
      <w:pPr>
        <w:ind w:left="1320" w:right="240" w:hanging="435"/>
        <w:spacing w:after="0" w:line="255" w:lineRule="auto"/>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129">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filed with the SEC on March 29, 2019, including any amendment or report filed for the purpose of updating such description, including </w:t>
      </w:r>
      <w:hyperlink r:id="rId130">
        <w:r>
          <w:rPr>
            <w:rFonts w:ascii="Arial" w:cs="Arial" w:eastAsia="Arial" w:hAnsi="Arial"/>
            <w:sz w:val="18"/>
            <w:szCs w:val="18"/>
            <w:u w:val="single" w:color="auto"/>
            <w:color w:val="0000EE"/>
          </w:rPr>
          <w:t>Exhibit 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Annual Report on Form 10-K for the year ended December 31, 2019.</w:t>
      </w:r>
    </w:p>
    <w:p>
      <w:pPr>
        <w:spacing w:after="0" w:line="164" w:lineRule="exact"/>
        <w:rPr>
          <w:rFonts w:ascii="Arial" w:cs="Arial" w:eastAsia="Arial" w:hAnsi="Arial"/>
          <w:sz w:val="18"/>
          <w:szCs w:val="18"/>
          <w:color w:val="auto"/>
        </w:rPr>
      </w:pPr>
    </w:p>
    <w:p>
      <w:pPr>
        <w:ind w:left="120" w:firstLine="551"/>
        <w:spacing w:after="0" w:line="239" w:lineRule="auto"/>
        <w:rPr>
          <w:sz w:val="20"/>
          <w:szCs w:val="20"/>
          <w:color w:val="auto"/>
        </w:rPr>
      </w:pPr>
      <w:r>
        <w:rPr>
          <w:rFonts w:ascii="Arial" w:cs="Arial" w:eastAsia="Arial" w:hAnsi="Arial"/>
          <w:sz w:val="18"/>
          <w:szCs w:val="18"/>
          <w:color w:val="auto"/>
        </w:rPr>
        <w:t>We also incorporate by reference any future filings (other than current reports furnished under Item 2.02 or Item 7.01 of Form 8-K and exhibits filed on such form that are related to such items) made with the SEC pursuant to Sections 13(a), 13(c), 14 or 15(d) of the Exchange Act, until we file a post-effective amendment which indicates the termination of the offering of the securities made by this prospectus supplement and the accompanying prospectus. Information in such future filings updates and supplements the information provided in this prospectus supplement and the accompanying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We will provide to each person, including any beneficial owner, to whom a prospectus supplement or the underlying prospectus is delivered, without charge upon the written or oral request, a copy of any or all of the documents that are incorporated by reference in this prospectus supplement but not delivered with the prospectus, including exhibits that are specifically incorporated by reference in such documents. You should direct any requests for documents to:</w:t>
      </w:r>
    </w:p>
    <w:p>
      <w:pPr>
        <w:spacing w:after="0" w:line="176"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NGM Biopharmaceuticals, Inc.</w:t>
      </w:r>
    </w:p>
    <w:p>
      <w:pPr>
        <w:spacing w:after="0" w:line="1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333 Oyster Point Boulevard</w:t>
      </w:r>
    </w:p>
    <w:p>
      <w:pPr>
        <w:jc w:val="center"/>
        <w:ind w:right="-119"/>
        <w:spacing w:after="0" w:line="234" w:lineRule="auto"/>
        <w:rPr>
          <w:sz w:val="20"/>
          <w:szCs w:val="20"/>
          <w:color w:val="auto"/>
        </w:rPr>
      </w:pPr>
      <w:r>
        <w:rPr>
          <w:rFonts w:ascii="Arial" w:cs="Arial" w:eastAsia="Arial" w:hAnsi="Arial"/>
          <w:sz w:val="18"/>
          <w:szCs w:val="18"/>
          <w:color w:val="auto"/>
        </w:rPr>
        <w:t>South San Francisco, California 94080</w:t>
      </w:r>
    </w:p>
    <w:p>
      <w:pPr>
        <w:spacing w:after="0" w:line="1" w:lineRule="exact"/>
        <w:rPr>
          <w:rFonts w:ascii="Arial" w:cs="Arial" w:eastAsia="Arial" w:hAnsi="Arial"/>
          <w:sz w:val="18"/>
          <w:szCs w:val="18"/>
          <w:color w:val="auto"/>
        </w:rPr>
      </w:pPr>
    </w:p>
    <w:p>
      <w:pPr>
        <w:jc w:val="both"/>
        <w:ind w:left="5020" w:right="4900" w:hanging="11"/>
        <w:spacing w:after="0" w:line="250" w:lineRule="auto"/>
        <w:tabs>
          <w:tab w:leader="none" w:pos="54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392-1768 Attn: Secretary</w:t>
      </w:r>
    </w:p>
    <w:p>
      <w:pPr>
        <w:spacing w:after="0" w:line="100"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S-89</w:t>
      </w:r>
    </w:p>
    <w:p>
      <w:pPr>
        <w:sectPr>
          <w:pgSz w:w="11900" w:h="16838" w:orient="portrait"/>
          <w:cols w:equalWidth="0" w:num="1">
            <w:col w:w="11140"/>
          </w:cols>
          <w:pgMar w:left="320" w:top="455" w:right="4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167005</wp:posOffset>
            </wp:positionV>
            <wp:extent cx="1663065" cy="9429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166306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740"/>
        <w:spacing w:after="0"/>
        <w:rPr>
          <w:sz w:val="20"/>
          <w:szCs w:val="20"/>
          <w:color w:val="auto"/>
        </w:rPr>
      </w:pPr>
      <w:r>
        <w:rPr>
          <w:rFonts w:ascii="Arial" w:cs="Arial" w:eastAsia="Arial" w:hAnsi="Arial"/>
          <w:sz w:val="29"/>
          <w:szCs w:val="29"/>
          <w:b w:val="1"/>
          <w:bCs w:val="1"/>
          <w:color w:val="auto"/>
        </w:rPr>
        <w:t>$400,000,000</w:t>
      </w:r>
    </w:p>
    <w:p>
      <w:pPr>
        <w:spacing w:after="0" w:line="220"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Common Stock</w:t>
      </w:r>
    </w:p>
    <w:p>
      <w:pPr>
        <w:spacing w:after="0" w:line="44"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Preferred Stock</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Debt Securities</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Warrants</w:t>
      </w:r>
    </w:p>
    <w:p>
      <w:pPr>
        <w:spacing w:after="0" w:line="201"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From time to time, we may offer and sell up to an aggregate amount of $400,000,000 of any combination of the securities described in this prospectus, either individually or in combination with other securities. We may also offer common stock or preferred stock upon conversion of debt securities, common stock upon conversion of preferred stock, or common stock, preferred stock or debt securities upon the exercise of warrants.</w:t>
      </w:r>
    </w:p>
    <w:p>
      <w:pPr>
        <w:spacing w:after="0" w:line="170"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into this prospectus, before buying any of the securities being offered.</w:t>
      </w:r>
    </w:p>
    <w:p>
      <w:pPr>
        <w:spacing w:after="0" w:line="172"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Our common stock is listed on The Nasdaq Global Select Market under the symbol “NGM.” On June 2, 2020, the last reported sale price of our common stock was $20.37 per share. The applicable prospectus supplement will contain information, where applicable, as to other listings, if any, on The Nasdaq Global Select Market or other securities exchange of the securities covered by the applicable prospectus supplement.</w:t>
      </w:r>
    </w:p>
    <w:p>
      <w:pPr>
        <w:spacing w:after="0" w:line="168" w:lineRule="exact"/>
        <w:rPr>
          <w:sz w:val="20"/>
          <w:szCs w:val="20"/>
          <w:color w:val="auto"/>
        </w:rPr>
      </w:pPr>
    </w:p>
    <w:p>
      <w:pPr>
        <w:ind w:left="120"/>
        <w:spacing w:after="0" w:line="25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Before making an investment decision, you should review carefully the risks described under the heading “</w:t>
      </w:r>
      <w:hyperlink w:anchor="page10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may not be used to consummate a sale of securities unless accompanied by a prospectus supplement.</w:t>
      </w:r>
    </w:p>
    <w:p>
      <w:pPr>
        <w:spacing w:after="0" w:line="212"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The securities may be sold directly by us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options to purchase additional shares will be set forth in a prospectus supplement. The price to the public of such securities and the net proceeds we expect to receive from such sale will also be set forth in a prospectus supplement.</w:t>
      </w:r>
    </w:p>
    <w:p>
      <w:pPr>
        <w:spacing w:after="0" w:line="174" w:lineRule="exact"/>
        <w:rPr>
          <w:sz w:val="20"/>
          <w:szCs w:val="20"/>
          <w:color w:val="auto"/>
        </w:rPr>
      </w:pPr>
    </w:p>
    <w:p>
      <w:pPr>
        <w:ind w:left="120" w:right="60"/>
        <w:spacing w:after="0" w:line="27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date of this prospectus is June 16, 2020.</w:t>
      </w:r>
    </w:p>
    <w:p>
      <w:pPr>
        <w:sectPr>
          <w:pgSz w:w="11900" w:h="16838" w:orient="portrait"/>
          <w:cols w:equalWidth="0" w:num="1">
            <w:col w:w="11120"/>
          </w:cols>
          <w:pgMar w:left="320" w:top="455" w:right="4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252730</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1"/>
        </w:trPr>
        <w:tc>
          <w:tcPr>
            <w:tcW w:w="8000" w:type="dxa"/>
            <w:vAlign w:val="bottom"/>
          </w:tcPr>
          <w:p>
            <w:pPr>
              <w:spacing w:after="0"/>
              <w:rPr>
                <w:rFonts w:ascii="Arial" w:cs="Arial" w:eastAsia="Arial" w:hAnsi="Arial"/>
                <w:sz w:val="17"/>
                <w:szCs w:val="17"/>
                <w:u w:val="single" w:color="auto"/>
                <w:color w:val="0000EE"/>
              </w:rPr>
            </w:pPr>
            <w:hyperlink w:anchor="page96">
              <w:r>
                <w:rPr>
                  <w:rFonts w:ascii="Arial" w:cs="Arial" w:eastAsia="Arial" w:hAnsi="Arial"/>
                  <w:sz w:val="17"/>
                  <w:szCs w:val="17"/>
                  <w:u w:val="single" w:color="auto"/>
                  <w:color w:val="0000EE"/>
                </w:rPr>
                <w:t>PROSPECTUS SUMMARY</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00">
              <w:r>
                <w:rPr>
                  <w:rFonts w:ascii="Arial" w:cs="Arial" w:eastAsia="Arial" w:hAnsi="Arial"/>
                  <w:sz w:val="17"/>
                  <w:szCs w:val="17"/>
                  <w:u w:val="single" w:color="auto"/>
                  <w:color w:val="0000EE"/>
                </w:rPr>
                <w:t>RISK FACTORS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01">
              <w:r>
                <w:rPr>
                  <w:rFonts w:ascii="Arial" w:cs="Arial" w:eastAsia="Arial" w:hAnsi="Arial"/>
                  <w:sz w:val="17"/>
                  <w:szCs w:val="17"/>
                  <w:u w:val="single" w:color="auto"/>
                  <w:color w:val="0000EE"/>
                </w:rPr>
                <w:t>SPECIAL NOTE REGARDING FORWARD-LOOKING STATEMENTS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03">
              <w:r>
                <w:rPr>
                  <w:rFonts w:ascii="Arial" w:cs="Arial" w:eastAsia="Arial" w:hAnsi="Arial"/>
                  <w:sz w:val="17"/>
                  <w:szCs w:val="17"/>
                  <w:u w:val="single" w:color="auto"/>
                  <w:color w:val="0000EE"/>
                </w:rPr>
                <w:t>USE OF PROCEEDS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04">
              <w:r>
                <w:rPr>
                  <w:rFonts w:ascii="Arial" w:cs="Arial" w:eastAsia="Arial" w:hAnsi="Arial"/>
                  <w:sz w:val="17"/>
                  <w:szCs w:val="17"/>
                  <w:u w:val="single" w:color="auto"/>
                  <w:color w:val="0000EE"/>
                </w:rPr>
                <w:t>DESCRIPTION OF CAPITAL STOCK</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09">
              <w:r>
                <w:rPr>
                  <w:rFonts w:ascii="Arial" w:cs="Arial" w:eastAsia="Arial" w:hAnsi="Arial"/>
                  <w:sz w:val="17"/>
                  <w:szCs w:val="17"/>
                  <w:u w:val="single" w:color="auto"/>
                  <w:color w:val="0000EE"/>
                </w:rPr>
                <w:t>DESCRIPTION OF DEBT SECURITIES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15">
              <w:r>
                <w:rPr>
                  <w:rFonts w:ascii="Arial" w:cs="Arial" w:eastAsia="Arial" w:hAnsi="Arial"/>
                  <w:sz w:val="17"/>
                  <w:szCs w:val="17"/>
                  <w:u w:val="single" w:color="auto"/>
                  <w:color w:val="0000EE"/>
                </w:rPr>
                <w:t>DESCRIPTION OF WARRANTS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17">
              <w:r>
                <w:rPr>
                  <w:rFonts w:ascii="Arial" w:cs="Arial" w:eastAsia="Arial" w:hAnsi="Arial"/>
                  <w:sz w:val="17"/>
                  <w:szCs w:val="17"/>
                  <w:u w:val="single" w:color="auto"/>
                  <w:color w:val="0000EE"/>
                </w:rPr>
                <w:t>LEGAL OWNERSHIP OF SECURITIES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20">
              <w:r>
                <w:rPr>
                  <w:rFonts w:ascii="Arial" w:cs="Arial" w:eastAsia="Arial" w:hAnsi="Arial"/>
                  <w:sz w:val="17"/>
                  <w:szCs w:val="17"/>
                  <w:u w:val="single" w:color="auto"/>
                  <w:color w:val="0000EE"/>
                </w:rPr>
                <w:t>PLAN OF DISTRIBUTION</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22">
              <w:r>
                <w:rPr>
                  <w:rFonts w:ascii="Arial" w:cs="Arial" w:eastAsia="Arial" w:hAnsi="Arial"/>
                  <w:sz w:val="17"/>
                  <w:szCs w:val="17"/>
                  <w:u w:val="single" w:color="auto"/>
                  <w:color w:val="0000EE"/>
                </w:rPr>
                <w:t>LEGAL MATTERS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22">
              <w:r>
                <w:rPr>
                  <w:rFonts w:ascii="Arial" w:cs="Arial" w:eastAsia="Arial" w:hAnsi="Arial"/>
                  <w:sz w:val="17"/>
                  <w:szCs w:val="17"/>
                  <w:u w:val="single" w:color="auto"/>
                  <w:color w:val="0000EE"/>
                </w:rPr>
                <w:t>EXPERTS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22">
              <w:r>
                <w:rPr>
                  <w:rFonts w:ascii="Arial" w:cs="Arial" w:eastAsia="Arial" w:hAnsi="Arial"/>
                  <w:sz w:val="17"/>
                  <w:szCs w:val="17"/>
                  <w:u w:val="single" w:color="auto"/>
                  <w:color w:val="0000EE"/>
                </w:rPr>
                <w:t>WHERE YOU CAN FIND ADDITIONAL INFORMATION</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22">
              <w:r>
                <w:rPr>
                  <w:rFonts w:ascii="Arial" w:cs="Arial" w:eastAsia="Arial" w:hAnsi="Arial"/>
                  <w:sz w:val="17"/>
                  <w:szCs w:val="17"/>
                  <w:u w:val="single" w:color="auto"/>
                  <w:color w:val="0000EE"/>
                </w:rPr>
                <w:t>INCORPORATION OF CERTAIN INFORMATION BY REFERENCE</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3"/>
        </w:trPr>
        <w:tc>
          <w:tcPr>
            <w:tcW w:w="80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r>
    </w:tbl>
    <w:p>
      <w:pPr>
        <w:sectPr>
          <w:pgSz w:w="11900" w:h="16838" w:orient="portrait"/>
          <w:cols w:equalWidth="0" w:num="1">
            <w:col w:w="11140"/>
          </w:cols>
          <w:pgMar w:left="320" w:top="455" w:right="4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316" w:lineRule="exact"/>
        <w:rPr>
          <w:sz w:val="20"/>
          <w:szCs w:val="20"/>
          <w:color w:val="auto"/>
        </w:rPr>
      </w:pPr>
    </w:p>
    <w:p>
      <w:pPr>
        <w:ind w:left="120" w:right="100"/>
        <w:spacing w:after="0" w:line="253"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or SEC, using a “shelf” registration process. Under this shelf registration statement, we may, from time to time, offer and sell, either individually or in combination, in one or more offerings, up to a total dollar amount of $400,000,000 of any combination of the securities described in this prospectus.</w:t>
      </w:r>
    </w:p>
    <w:p>
      <w:pPr>
        <w:spacing w:after="0" w:line="11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73"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We have not authorized anyone to provide you with any information or to make any representations other than those contained in, or incorporated by reference into,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Persons outside the United States who come into possession of this prospectus must inform themselves about, and observe any restrictions relating to, the offering of the common stock and the distribution of this prospectus outside the United States.</w:t>
      </w:r>
    </w:p>
    <w:p>
      <w:pPr>
        <w:spacing w:after="0" w:line="126" w:lineRule="exact"/>
        <w:rPr>
          <w:sz w:val="20"/>
          <w:szCs w:val="20"/>
          <w:color w:val="auto"/>
        </w:rPr>
      </w:pPr>
    </w:p>
    <w:p>
      <w:pPr>
        <w:ind w:left="120" w:right="60"/>
        <w:spacing w:after="0" w:line="246" w:lineRule="auto"/>
        <w:rPr>
          <w:sz w:val="20"/>
          <w:szCs w:val="20"/>
          <w:color w:val="auto"/>
        </w:rPr>
      </w:pPr>
      <w:r>
        <w:rPr>
          <w:rFonts w:ascii="Arial" w:cs="Arial" w:eastAsia="Arial" w:hAnsi="Arial"/>
          <w:sz w:val="17"/>
          <w:szCs w:val="17"/>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w:t>
      </w:r>
    </w:p>
    <w:p>
      <w:pPr>
        <w:spacing w:after="0" w:line="117"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22" w:lineRule="exact"/>
        <w:rPr>
          <w:sz w:val="20"/>
          <w:szCs w:val="20"/>
          <w:color w:val="auto"/>
        </w:rPr>
      </w:pPr>
    </w:p>
    <w:p>
      <w:pPr>
        <w:ind w:left="120" w:right="260"/>
        <w:spacing w:after="0" w:line="242"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ectPr>
          <w:pgSz w:w="11900" w:h="16838" w:orient="portrait"/>
          <w:cols w:equalWidth="0" w:num="1">
            <w:col w:w="11120"/>
          </w:cols>
          <w:pgMar w:left="320" w:top="455" w:right="4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206375</wp:posOffset>
            </wp:positionV>
            <wp:extent cx="7033260" cy="57734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033260" cy="57734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318" w:lineRule="exact"/>
        <w:rPr>
          <w:sz w:val="20"/>
          <w:szCs w:val="20"/>
          <w:color w:val="auto"/>
        </w:rPr>
      </w:pPr>
    </w:p>
    <w:p>
      <w:pPr>
        <w:ind w:left="280" w:right="140"/>
        <w:spacing w:after="0" w:line="239"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this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3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NGM Biopharmaceuticals, Inc.</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Overview</w:t>
      </w:r>
    </w:p>
    <w:p>
      <w:pPr>
        <w:spacing w:after="0" w:line="60" w:lineRule="exact"/>
        <w:rPr>
          <w:sz w:val="20"/>
          <w:szCs w:val="20"/>
          <w:color w:val="auto"/>
        </w:rPr>
      </w:pPr>
    </w:p>
    <w:p>
      <w:pPr>
        <w:ind w:left="280" w:right="20"/>
        <w:spacing w:after="0"/>
        <w:rPr>
          <w:sz w:val="20"/>
          <w:szCs w:val="20"/>
          <w:color w:val="auto"/>
        </w:rPr>
      </w:pPr>
      <w:r>
        <w:rPr>
          <w:rFonts w:ascii="Arial" w:cs="Arial" w:eastAsia="Arial" w:hAnsi="Arial"/>
          <w:sz w:val="17"/>
          <w:szCs w:val="17"/>
          <w:color w:val="auto"/>
        </w:rPr>
        <w:t xml:space="preserve">We are a biopharmaceutical company focused on developing novel therapeutics based on our scientific understanding of key biological pathways underlying cardio-metabolic, liver, oncologic and ophthalmic diseases. These diseases represent leading causes of morbidity and mortality and a significant burden for healthcare systems. Since the commencement of our operations in 2008, we have generated a robust portfolio of product candidates. We have created this portfolio using our research and drug discovery approach that employs unbiased,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vivo</w:t>
      </w:r>
      <w:r>
        <w:rPr>
          <w:rFonts w:ascii="Arial" w:cs="Arial" w:eastAsia="Arial" w:hAnsi="Arial"/>
          <w:sz w:val="17"/>
          <w:szCs w:val="17"/>
          <w:color w:val="auto"/>
        </w:rPr>
        <w:t>-based discovery to identify proprietary insights into critical biological processes. We combine this approach with our protein and antibody</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expertise to find the appropriate modality to enhance each product candidate’s therapeutic potential.</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most advanced programs are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Our five most advanced proprietary product candidates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60"/>
          </w:cols>
          <w:pgMar w:left="320" w:top="455" w:right="61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206375</wp:posOffset>
            </wp:positionV>
            <wp:extent cx="7033260" cy="56705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033260" cy="56705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Corporate Information</w:t>
      </w:r>
    </w:p>
    <w:p>
      <w:pPr>
        <w:spacing w:after="0" w:line="60" w:lineRule="exact"/>
        <w:rPr>
          <w:sz w:val="20"/>
          <w:szCs w:val="20"/>
          <w:color w:val="auto"/>
        </w:rPr>
      </w:pPr>
    </w:p>
    <w:p>
      <w:pPr>
        <w:ind w:left="280" w:right="60"/>
        <w:spacing w:after="0" w:line="246" w:lineRule="auto"/>
        <w:rPr>
          <w:sz w:val="20"/>
          <w:szCs w:val="20"/>
          <w:color w:val="auto"/>
        </w:rPr>
      </w:pPr>
      <w:r>
        <w:rPr>
          <w:rFonts w:ascii="Arial" w:cs="Arial" w:eastAsia="Arial" w:hAnsi="Arial"/>
          <w:sz w:val="17"/>
          <w:szCs w:val="17"/>
          <w:color w:val="auto"/>
        </w:rPr>
        <w:t>We were incorporated in Delaware in December 2007 and commenced operations in 2008. Our principal executive offices are located at 333 Oyster Point Blvd., South San Francisco, CA 94080-7014, and our telephone number is (650) 243-5555. Our website address is http://www.ngmbio.com. The contents of and information accessible through our website are not incorporated into this prospectus and our reference to the URL for our website is intended to be an inactive textual reference only.</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 used in this prospectus, “NGM Biopharmaceuticals”, “NGM”, “we”, “us” and “our” refer to NGM Biopharmaceuticals, Inc. and its wholly-owned subsidiary taken as a whole. 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 We do not intend our use or display of other companies’ trademarks or trade names to imply a relationship with, or endorsement or sponsorship of us by, any other companies or products.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common stock is currently listed on The Nasdaq Global Select Market under the symbol “NGM.”</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The Securities We May Offer</w:t>
      </w:r>
    </w:p>
    <w:p>
      <w:pPr>
        <w:spacing w:after="0" w:line="73" w:lineRule="exact"/>
        <w:rPr>
          <w:sz w:val="20"/>
          <w:szCs w:val="20"/>
          <w:color w:val="auto"/>
        </w:rPr>
      </w:pPr>
    </w:p>
    <w:p>
      <w:pPr>
        <w:ind w:left="280" w:right="60"/>
        <w:spacing w:after="0" w:line="238" w:lineRule="auto"/>
        <w:rPr>
          <w:sz w:val="20"/>
          <w:szCs w:val="20"/>
          <w:color w:val="auto"/>
        </w:rPr>
      </w:pPr>
      <w:r>
        <w:rPr>
          <w:rFonts w:ascii="Arial" w:cs="Arial" w:eastAsia="Arial" w:hAnsi="Arial"/>
          <w:sz w:val="17"/>
          <w:szCs w:val="17"/>
          <w:color w:val="auto"/>
        </w:rPr>
        <w:t>We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There is no limit on the aggregate amount of the securities that we may offer pursuant to the registration statement of which this prospectus is a part. We may also offer common stock, preferred stock and/or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64" w:lineRule="exact"/>
        <w:rPr>
          <w:sz w:val="20"/>
          <w:szCs w:val="20"/>
          <w:color w:val="auto"/>
        </w:rPr>
      </w:pPr>
    </w:p>
    <w:p>
      <w:pPr>
        <w:ind w:left="1100" w:hanging="408"/>
        <w:spacing w:after="0"/>
        <w:tabs>
          <w:tab w:leader="none" w:pos="11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designation or classification;</w:t>
      </w:r>
    </w:p>
    <w:p>
      <w:pPr>
        <w:spacing w:after="0" w:line="35"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aggregate principal amount or aggregate offering price;</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maturity date, if applicable;</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original issue discount, if any;</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rates and times of payment of interest or dividends, if any;</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redemption, conversion, exercise, exchange or sinking fund terms, if any;</w:t>
      </w:r>
    </w:p>
    <w:p>
      <w:pPr>
        <w:spacing w:after="0" w:line="34" w:lineRule="exact"/>
        <w:rPr>
          <w:rFonts w:ascii="MS PGothic" w:cs="MS PGothic" w:eastAsia="MS PGothic" w:hAnsi="MS PGothic"/>
          <w:sz w:val="13"/>
          <w:szCs w:val="13"/>
          <w:color w:val="auto"/>
        </w:rPr>
      </w:pPr>
    </w:p>
    <w:p>
      <w:pPr>
        <w:ind w:left="1100" w:hanging="408"/>
        <w:spacing w:after="0" w:line="256" w:lineRule="auto"/>
        <w:tabs>
          <w:tab w:leader="none" w:pos="11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1"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ranking;</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restrictive covenants, if any;</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voting or other rights, if any; and</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material or special U.S. federal income tax considerations, if any.</w:t>
      </w:r>
    </w:p>
    <w:p>
      <w:pPr>
        <w:spacing w:after="0" w:line="154" w:lineRule="exact"/>
        <w:rPr>
          <w:sz w:val="20"/>
          <w:szCs w:val="20"/>
          <w:color w:val="auto"/>
        </w:rPr>
      </w:pPr>
    </w:p>
    <w:p>
      <w:pPr>
        <w:ind w:left="280" w:right="80"/>
        <w:spacing w:after="0" w:line="246" w:lineRule="auto"/>
        <w:rPr>
          <w:sz w:val="20"/>
          <w:szCs w:val="20"/>
          <w:color w:val="auto"/>
        </w:rPr>
      </w:pPr>
      <w:r>
        <w:rPr>
          <w:rFonts w:ascii="Arial" w:cs="Arial" w:eastAsia="Arial" w:hAnsi="Arial"/>
          <w:sz w:val="17"/>
          <w:szCs w:val="17"/>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40"/>
          </w:cols>
          <w:pgMar w:left="320" w:top="455" w:right="6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206375</wp:posOffset>
            </wp:positionV>
            <wp:extent cx="7033260" cy="50190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033260" cy="50190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80" w:right="400"/>
        <w:spacing w:after="0" w:line="27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ind w:left="280"/>
        <w:spacing w:after="0" w:line="253" w:lineRule="auto"/>
        <w:rPr>
          <w:sz w:val="20"/>
          <w:szCs w:val="20"/>
          <w:color w:val="auto"/>
        </w:rPr>
      </w:pPr>
      <w:r>
        <w:rPr>
          <w:rFonts w:ascii="Arial" w:cs="Arial" w:eastAsia="Arial" w:hAnsi="Arial"/>
          <w:sz w:val="17"/>
          <w:szCs w:val="17"/>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70" w:lineRule="exact"/>
        <w:rPr>
          <w:sz w:val="20"/>
          <w:szCs w:val="20"/>
          <w:color w:val="auto"/>
        </w:rPr>
      </w:pPr>
    </w:p>
    <w:p>
      <w:pPr>
        <w:ind w:left="1100" w:hanging="408"/>
        <w:spacing w:after="0"/>
        <w:tabs>
          <w:tab w:leader="none" w:pos="110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names of those agents or underwriters;</w:t>
      </w:r>
    </w:p>
    <w:p>
      <w:pPr>
        <w:spacing w:after="0" w:line="35"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applicable fees, discounts and commissions to be paid to them;</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details regarding any options under which underwriters may purchase additional securities from us, if any; and</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net proceeds to us.</w:t>
      </w:r>
    </w:p>
    <w:p>
      <w:pPr>
        <w:spacing w:after="0" w:line="154" w:lineRule="exact"/>
        <w:rPr>
          <w:sz w:val="20"/>
          <w:szCs w:val="20"/>
          <w:color w:val="auto"/>
        </w:rPr>
      </w:pPr>
    </w:p>
    <w:p>
      <w:pPr>
        <w:ind w:left="280" w:right="20"/>
        <w:spacing w:after="0" w:line="237" w:lineRule="auto"/>
        <w:rPr>
          <w:sz w:val="20"/>
          <w:szCs w:val="20"/>
          <w:color w:val="auto"/>
        </w:rPr>
      </w:pPr>
      <w:r>
        <w:rPr>
          <w:rFonts w:ascii="Arial" w:cs="Arial" w:eastAsia="Arial" w:hAnsi="Arial"/>
          <w:sz w:val="17"/>
          <w:szCs w:val="17"/>
          <w:i w:val="1"/>
          <w:iCs w:val="1"/>
          <w:color w:val="auto"/>
        </w:rPr>
        <w:t>Common Stock</w:t>
      </w:r>
      <w:r>
        <w:rPr>
          <w:rFonts w:ascii="Arial" w:cs="Arial" w:eastAsia="Arial" w:hAnsi="Arial"/>
          <w:sz w:val="17"/>
          <w:szCs w:val="17"/>
          <w:color w:val="auto"/>
        </w:rPr>
        <w:t>. We may issue shares of our common stock from time to time. The holders of our common stock are entitled to one vote for</w:t>
      </w:r>
      <w:r>
        <w:rPr>
          <w:rFonts w:ascii="Arial" w:cs="Arial" w:eastAsia="Arial" w:hAnsi="Arial"/>
          <w:sz w:val="17"/>
          <w:szCs w:val="17"/>
          <w:i w:val="1"/>
          <w:iCs w:val="1"/>
          <w:color w:val="auto"/>
        </w:rPr>
        <w:t xml:space="preserve"> </w:t>
      </w:r>
      <w:r>
        <w:rPr>
          <w:rFonts w:ascii="Arial" w:cs="Arial" w:eastAsia="Arial" w:hAnsi="Arial"/>
          <w:sz w:val="17"/>
          <w:szCs w:val="17"/>
          <w:color w:val="auto"/>
        </w:rPr>
        <w:t>each share held of record on all matters submitted to a vote of stockholders. Subject to preferences that may be applicable to any outstanding preferred stock, the holders of common stock are entitled to receive ratably any dividends that our board of directors may declare out of funds legally available for that purpose. In the event of our liquidation, dissolution or winding up, holders of our common stock are entitled to share ratably in all assets remaining after payment of liabilities and the liquidation preference of any outstanding preferred stock. Holders of our common stock have no preemptive, conversion, subscription or other rights, and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spacing w:after="0" w:line="126" w:lineRule="exact"/>
        <w:rPr>
          <w:sz w:val="20"/>
          <w:szCs w:val="20"/>
          <w:color w:val="auto"/>
        </w:rPr>
      </w:pPr>
    </w:p>
    <w:p>
      <w:pPr>
        <w:ind w:left="280" w:right="20"/>
        <w:spacing w:after="0" w:line="236" w:lineRule="auto"/>
        <w:rPr>
          <w:sz w:val="20"/>
          <w:szCs w:val="20"/>
          <w:color w:val="auto"/>
        </w:rPr>
      </w:pPr>
      <w:r>
        <w:rPr>
          <w:rFonts w:ascii="Arial" w:cs="Arial" w:eastAsia="Arial" w:hAnsi="Arial"/>
          <w:sz w:val="17"/>
          <w:szCs w:val="17"/>
          <w:i w:val="1"/>
          <w:iCs w:val="1"/>
          <w:color w:val="auto"/>
        </w:rPr>
        <w:t xml:space="preserve">Preferred Stock. </w:t>
      </w:r>
      <w:r>
        <w:rPr>
          <w:rFonts w:ascii="Arial" w:cs="Arial" w:eastAsia="Arial" w:hAnsi="Arial"/>
          <w:sz w:val="17"/>
          <w:szCs w:val="17"/>
          <w:color w:val="auto"/>
        </w:rPr>
        <w:t>We may issue shares of our preferred stock from time to time, in one or more series. If we sell any series of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this prospectus, our board of directors will fix the designations, voting powers, preferences and rights of the preferred stock of each series we issue under this prospectus,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in the certificate of designation relating to that series. Preferred stock may be convertible into our common stock or other securities of ours, or may be exchangeable for debt securities. Conversion may be mandatory or at the holder’s option and would be at prescribed conversion rates.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23" w:lineRule="exact"/>
        <w:rPr>
          <w:sz w:val="20"/>
          <w:szCs w:val="20"/>
          <w:color w:val="auto"/>
        </w:rPr>
      </w:pPr>
    </w:p>
    <w:p>
      <w:pPr>
        <w:ind w:left="280" w:right="180"/>
        <w:spacing w:after="0" w:line="242"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We may issue debt securities from time to time, in one or more series, as either senior or subordinated debt or as senior or</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60"/>
          </w:cols>
          <w:pgMar w:left="320" w:top="455" w:right="61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206375</wp:posOffset>
            </wp:positionV>
            <wp:extent cx="7033260" cy="44786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033260" cy="44786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80"/>
        <w:spacing w:after="0" w:line="238" w:lineRule="auto"/>
        <w:rPr>
          <w:sz w:val="20"/>
          <w:szCs w:val="20"/>
          <w:color w:val="auto"/>
        </w:rPr>
      </w:pPr>
      <w:r>
        <w:rPr>
          <w:rFonts w:ascii="Arial" w:cs="Arial" w:eastAsia="Arial" w:hAnsi="Arial"/>
          <w:sz w:val="17"/>
          <w:szCs w:val="17"/>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23" w:lineRule="exact"/>
        <w:rPr>
          <w:sz w:val="20"/>
          <w:szCs w:val="20"/>
          <w:color w:val="auto"/>
        </w:rPr>
      </w:pPr>
    </w:p>
    <w:p>
      <w:pPr>
        <w:ind w:left="280"/>
        <w:spacing w:after="0" w:line="237"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We may issue warrants for the purchase of common stock, preferred stock and/or debt securities in one or more series. We may</w:t>
      </w:r>
      <w:r>
        <w:rPr>
          <w:rFonts w:ascii="Arial" w:cs="Arial" w:eastAsia="Arial" w:hAnsi="Arial"/>
          <w:sz w:val="17"/>
          <w:szCs w:val="17"/>
          <w:i w:val="1"/>
          <w:iCs w:val="1"/>
          <w:color w:val="auto"/>
        </w:rPr>
        <w:t xml:space="preserve"> </w:t>
      </w:r>
      <w:r>
        <w:rPr>
          <w:rFonts w:ascii="Arial" w:cs="Arial" w:eastAsia="Arial" w:hAnsi="Arial"/>
          <w:sz w:val="17"/>
          <w:szCs w:val="17"/>
          <w:color w:val="auto"/>
        </w:rPr>
        <w:t>issue 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22" w:lineRule="exact"/>
        <w:rPr>
          <w:sz w:val="20"/>
          <w:szCs w:val="20"/>
          <w:color w:val="auto"/>
        </w:rPr>
      </w:pPr>
    </w:p>
    <w:p>
      <w:pPr>
        <w:ind w:left="280" w:right="200"/>
        <w:spacing w:after="0" w:line="253" w:lineRule="auto"/>
        <w:rPr>
          <w:sz w:val="20"/>
          <w:szCs w:val="20"/>
          <w:color w:val="auto"/>
        </w:rPr>
      </w:pPr>
      <w:r>
        <w:rPr>
          <w:rFonts w:ascii="Arial" w:cs="Arial" w:eastAsia="Arial" w:hAnsi="Arial"/>
          <w:sz w:val="17"/>
          <w:szCs w:val="17"/>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Use of Proceeds</w:t>
      </w:r>
    </w:p>
    <w:p>
      <w:pPr>
        <w:spacing w:after="0" w:line="60" w:lineRule="exact"/>
        <w:rPr>
          <w:sz w:val="20"/>
          <w:szCs w:val="20"/>
          <w:color w:val="auto"/>
        </w:rPr>
      </w:pPr>
    </w:p>
    <w:p>
      <w:pPr>
        <w:ind w:left="280" w:right="80"/>
        <w:spacing w:after="0" w:line="246" w:lineRule="auto"/>
        <w:rPr>
          <w:sz w:val="20"/>
          <w:szCs w:val="20"/>
          <w:color w:val="auto"/>
        </w:rPr>
      </w:pPr>
      <w:r>
        <w:rPr>
          <w:rFonts w:ascii="Arial" w:cs="Arial" w:eastAsia="Arial" w:hAnsi="Arial"/>
          <w:sz w:val="17"/>
          <w:szCs w:val="17"/>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other general corporate purposes, which may include funding research and development, general and administrative activities and capital expenditures. See “Use of Proceeds” in this prospectus.</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Nasdaq Global Select Market Listing</w:t>
      </w:r>
    </w:p>
    <w:p>
      <w:pPr>
        <w:spacing w:after="0" w:line="73" w:lineRule="exact"/>
        <w:rPr>
          <w:sz w:val="20"/>
          <w:szCs w:val="20"/>
          <w:color w:val="auto"/>
        </w:rPr>
      </w:pPr>
    </w:p>
    <w:p>
      <w:pPr>
        <w:ind w:left="280" w:right="320"/>
        <w:spacing w:after="0" w:line="253" w:lineRule="auto"/>
        <w:rPr>
          <w:sz w:val="20"/>
          <w:szCs w:val="20"/>
          <w:color w:val="auto"/>
        </w:rPr>
      </w:pPr>
      <w:r>
        <w:rPr>
          <w:rFonts w:ascii="Arial" w:cs="Arial" w:eastAsia="Arial" w:hAnsi="Arial"/>
          <w:sz w:val="17"/>
          <w:szCs w:val="17"/>
          <w:color w:val="auto"/>
        </w:rPr>
        <w:t>Our common stock is listed on The Nasdaq Global Select Market under the symbol “NGM.” The applicable prospectus supplement will contain information, where applicable, as to other listings, if any, on The Nasdaq Global Select Market or other securities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40"/>
          </w:cols>
          <w:pgMar w:left="320" w:top="455" w:right="6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316" w:lineRule="exact"/>
        <w:rPr>
          <w:sz w:val="20"/>
          <w:szCs w:val="20"/>
          <w:color w:val="auto"/>
        </w:rPr>
      </w:pPr>
    </w:p>
    <w:p>
      <w:pPr>
        <w:ind w:left="100"/>
        <w:spacing w:after="0" w:line="236"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any applicable prospectus supplement,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60"/>
          </w:cols>
          <w:pgMar w:left="320" w:top="455" w:right="41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64" w:lineRule="exact"/>
        <w:rPr>
          <w:sz w:val="20"/>
          <w:szCs w:val="20"/>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success, cost and timing of our product development activities and clinical trials;</w:t>
      </w:r>
    </w:p>
    <w:p>
      <w:pPr>
        <w:spacing w:after="0" w:line="35" w:lineRule="exact"/>
        <w:rPr>
          <w:rFonts w:ascii="MS PGothic" w:cs="MS PGothic" w:eastAsia="MS PGothic" w:hAnsi="MS PGothic"/>
          <w:sz w:val="13"/>
          <w:szCs w:val="13"/>
          <w:color w:val="auto"/>
        </w:rPr>
      </w:pPr>
    </w:p>
    <w:p>
      <w:pPr>
        <w:ind w:left="960" w:hanging="438"/>
        <w:spacing w:after="0" w:line="248" w:lineRule="auto"/>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or our partners’ ability to obtain and maintain regulatory approval for aldafermin (NGM282), NGM313 (MK-3655), NGM120, NGM621, NGM395 and any of our future product candidates, and any related restrictions, limitations, and/or warnings in the label of an approved product candidate;</w:t>
      </w:r>
    </w:p>
    <w:p>
      <w:pPr>
        <w:spacing w:after="0" w:line="1" w:lineRule="exact"/>
        <w:rPr>
          <w:rFonts w:ascii="MS PGothic" w:cs="MS PGothic" w:eastAsia="MS PGothic" w:hAnsi="MS PGothic"/>
          <w:sz w:val="13"/>
          <w:szCs w:val="13"/>
          <w:color w:val="auto"/>
        </w:rPr>
      </w:pPr>
    </w:p>
    <w:p>
      <w:pPr>
        <w:ind w:left="960" w:right="160" w:hanging="438"/>
        <w:spacing w:after="0" w:line="256" w:lineRule="auto"/>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belief that aldafermin may have the potential to be a treatment for non-alcoholic steatohepatitis, or NASH, patients with moderate to advanced fibrosis;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belief regarding the impact of our product candidate side effects and our ability to effectively manage these side effects;</w:t>
      </w:r>
    </w:p>
    <w:p>
      <w:pPr>
        <w:spacing w:after="0" w:line="34" w:lineRule="exact"/>
        <w:rPr>
          <w:rFonts w:ascii="MS PGothic" w:cs="MS PGothic" w:eastAsia="MS PGothic" w:hAnsi="MS PGothic"/>
          <w:sz w:val="13"/>
          <w:szCs w:val="13"/>
          <w:color w:val="auto"/>
        </w:rPr>
      </w:pPr>
    </w:p>
    <w:p>
      <w:pPr>
        <w:ind w:left="960" w:right="60" w:hanging="438"/>
        <w:spacing w:after="0" w:line="256" w:lineRule="auto"/>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belief that MK-3655 (formerly NGM313) may have the potential to be a treatment for NASH patients with early to moderate fibrosis with or without type 2 diabetes;</w:t>
      </w:r>
    </w:p>
    <w:p>
      <w:pPr>
        <w:spacing w:after="0" w:line="1" w:lineRule="exact"/>
        <w:rPr>
          <w:rFonts w:ascii="MS PGothic" w:cs="MS PGothic" w:eastAsia="MS PGothic" w:hAnsi="MS PGothic"/>
          <w:sz w:val="13"/>
          <w:szCs w:val="13"/>
          <w:color w:val="auto"/>
        </w:rPr>
      </w:pPr>
    </w:p>
    <w:p>
      <w:pPr>
        <w:ind w:left="960" w:right="100" w:hanging="438"/>
        <w:spacing w:after="0" w:line="248" w:lineRule="auto"/>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potential renewal of our research collaboration, product development and license agreement with Merck Sharp &amp; Dohme Corp., or Merck, and the possibility that Merck will decide to exercise its option to license certain programs upon our completion of a proof-of-concept study in humans;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ability to obtain funding for our operations;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commercialization of our product candidates, if approved;</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plans to research, develop and commercialize our product candidates;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ability to attract additional collaborators with development, regulatory and commercialization expertise;</w:t>
      </w:r>
    </w:p>
    <w:p>
      <w:pPr>
        <w:spacing w:after="0" w:line="34" w:lineRule="exact"/>
        <w:rPr>
          <w:rFonts w:ascii="MS PGothic" w:cs="MS PGothic" w:eastAsia="MS PGothic" w:hAnsi="MS PGothic"/>
          <w:sz w:val="13"/>
          <w:szCs w:val="13"/>
          <w:color w:val="auto"/>
        </w:rPr>
      </w:pPr>
    </w:p>
    <w:p>
      <w:pPr>
        <w:ind w:left="960" w:right="80" w:hanging="438"/>
        <w:spacing w:after="0" w:line="256" w:lineRule="auto"/>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current and future agreements with third parties in connection with the commercialization of aldafermin, NGM313, NGM120, NGM621, NGM395 or any other future approved product;</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34" w:lineRule="exact"/>
        <w:rPr>
          <w:rFonts w:ascii="MS PGothic" w:cs="MS PGothic" w:eastAsia="MS PGothic" w:hAnsi="MS PGothic"/>
          <w:sz w:val="13"/>
          <w:szCs w:val="13"/>
          <w:color w:val="auto"/>
        </w:rPr>
      </w:pPr>
    </w:p>
    <w:p>
      <w:pPr>
        <w:ind w:left="960" w:right="820" w:hanging="438"/>
        <w:spacing w:after="0" w:line="256" w:lineRule="auto"/>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rate and degree of market acceptance of our product candidates, as well as the reimbursement coverage for our product candidates;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regulatory developments in the United States and foreign countries;</w:t>
      </w:r>
    </w:p>
    <w:p>
      <w:pPr>
        <w:spacing w:after="0" w:line="34" w:lineRule="exact"/>
        <w:rPr>
          <w:rFonts w:ascii="MS PGothic" w:cs="MS PGothic" w:eastAsia="MS PGothic" w:hAnsi="MS PGothic"/>
          <w:sz w:val="13"/>
          <w:szCs w:val="13"/>
          <w:color w:val="auto"/>
        </w:rPr>
      </w:pPr>
    </w:p>
    <w:p>
      <w:pPr>
        <w:ind w:left="960" w:right="60" w:hanging="438"/>
        <w:spacing w:after="0" w:line="256" w:lineRule="auto"/>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performance of, and our ability to obtain sufficient supply of clinical trial materials in a timely manner from, third-party suppliers and manufacturers;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ability to attract and retain key scientific, development and management personnel;</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estimates regarding future expenses, revenue, capital requirements and needs for additional financing;</w:t>
      </w:r>
    </w:p>
    <w:p>
      <w:pPr>
        <w:spacing w:after="0" w:line="34" w:lineRule="exact"/>
        <w:rPr>
          <w:rFonts w:ascii="MS PGothic" w:cs="MS PGothic" w:eastAsia="MS PGothic" w:hAnsi="MS PGothic"/>
          <w:sz w:val="13"/>
          <w:szCs w:val="13"/>
          <w:color w:val="auto"/>
        </w:rPr>
      </w:pPr>
    </w:p>
    <w:p>
      <w:pPr>
        <w:ind w:left="960" w:right="380" w:hanging="438"/>
        <w:spacing w:after="0" w:line="256" w:lineRule="auto"/>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period during which we qualify as an emerging growth company under the Jumpstart Our Business Startups Act of 2012, as amended;</w:t>
      </w:r>
    </w:p>
    <w:p>
      <w:pPr>
        <w:spacing w:after="0" w:line="1" w:lineRule="exact"/>
        <w:rPr>
          <w:rFonts w:ascii="MS PGothic" w:cs="MS PGothic" w:eastAsia="MS PGothic" w:hAnsi="MS PGothic"/>
          <w:sz w:val="13"/>
          <w:szCs w:val="13"/>
          <w:color w:val="auto"/>
        </w:rPr>
      </w:pPr>
    </w:p>
    <w:p>
      <w:pPr>
        <w:ind w:left="960" w:right="880" w:hanging="438"/>
        <w:spacing w:after="0" w:line="256" w:lineRule="auto"/>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expectations regarding our ability to obtain, maintain, protect and enforce intellectual property protection for our product candidates; and</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anticipated use of the net proceeds from offerings of our securities under this prospectus.</w:t>
      </w:r>
    </w:p>
    <w:p>
      <w:pPr>
        <w:spacing w:after="0" w:line="154" w:lineRule="exact"/>
        <w:rPr>
          <w:sz w:val="20"/>
          <w:szCs w:val="20"/>
          <w:color w:val="auto"/>
        </w:rPr>
      </w:pPr>
    </w:p>
    <w:p>
      <w:pPr>
        <w:ind w:left="100" w:right="60"/>
        <w:spacing w:after="0" w:line="246"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right="140"/>
        <w:spacing w:after="0" w:line="245" w:lineRule="auto"/>
        <w:rPr>
          <w:sz w:val="20"/>
          <w:szCs w:val="20"/>
          <w:color w:val="auto"/>
        </w:rPr>
      </w:pPr>
      <w:r>
        <w:rPr>
          <w:rFonts w:ascii="Arial" w:cs="Arial" w:eastAsia="Arial" w:hAnsi="Arial"/>
          <w:sz w:val="17"/>
          <w:szCs w:val="17"/>
          <w:color w:val="auto"/>
        </w:rPr>
        <w:t>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w:t>
      </w:r>
    </w:p>
    <w:p>
      <w:pPr>
        <w:spacing w:after="0" w:line="1" w:lineRule="exact"/>
        <w:rPr>
          <w:sz w:val="20"/>
          <w:szCs w:val="20"/>
          <w:color w:val="auto"/>
        </w:rPr>
      </w:pPr>
    </w:p>
    <w:p>
      <w:pPr>
        <w:ind w:left="100"/>
        <w:spacing w:after="0" w:line="235" w:lineRule="auto"/>
        <w:rPr>
          <w:sz w:val="20"/>
          <w:szCs w:val="20"/>
          <w:color w:val="auto"/>
        </w:rPr>
      </w:pPr>
      <w:r>
        <w:rPr>
          <w:rFonts w:ascii="Arial" w:cs="Arial" w:eastAsia="Arial" w:hAnsi="Arial"/>
          <w:sz w:val="17"/>
          <w:szCs w:val="17"/>
          <w:color w:val="auto"/>
        </w:rPr>
        <w:t>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the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left="100"/>
        <w:spacing w:after="0" w:line="246" w:lineRule="auto"/>
        <w:rPr>
          <w:sz w:val="20"/>
          <w:szCs w:val="20"/>
          <w:color w:val="auto"/>
        </w:rPr>
      </w:pPr>
      <w:r>
        <w:rPr>
          <w:rFonts w:ascii="Arial" w:cs="Arial" w:eastAsia="Arial" w:hAnsi="Arial"/>
          <w:sz w:val="17"/>
          <w:szCs w:val="17"/>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other general corporate purposes, which may include funding research and development, general and administrative activities and capital expenditures.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60"/>
          </w:cols>
          <w:pgMar w:left="320" w:top="455" w:right="51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CAPITAL STOCK</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General</w:t>
      </w:r>
    </w:p>
    <w:p>
      <w:pPr>
        <w:spacing w:after="0" w:line="73" w:lineRule="exact"/>
        <w:rPr>
          <w:sz w:val="20"/>
          <w:szCs w:val="20"/>
          <w:color w:val="auto"/>
        </w:rPr>
      </w:pPr>
    </w:p>
    <w:p>
      <w:pPr>
        <w:ind w:left="100" w:right="180"/>
        <w:spacing w:after="0" w:line="275" w:lineRule="auto"/>
        <w:rPr>
          <w:sz w:val="20"/>
          <w:szCs w:val="20"/>
          <w:color w:val="auto"/>
        </w:rPr>
      </w:pPr>
      <w:r>
        <w:rPr>
          <w:rFonts w:ascii="Arial" w:cs="Arial" w:eastAsia="Arial" w:hAnsi="Arial"/>
          <w:sz w:val="17"/>
          <w:szCs w:val="17"/>
          <w:color w:val="auto"/>
        </w:rPr>
        <w:t>As of the date of this prospectus, our authorized capital stock consists of 400,000,000 shares of common stock, $0.001 par value per share, and 10,000,000 shares of preferred stock, $0.001 par value per share.</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summary description of our capital stock is based on the provisions of our amended and restated certificate of incorporation, our amended and restated bylaws and applicable provisions of the General Corporation Law of the State of Delaware. The description is intended as a summary, and is qualified in its entirety by reference to our amended and restated certificate of incorporation, our amended and restated bylaws and the General Corporation Law of the State of Delaware. For information on how to obtain copies of our amended and restated certificate of incorporation and our amended and restated bylaws, which are exhibits to the registration statement of which this prospectus is a part, see “Where You Can Find Additional Information.”</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Common Stock</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Voting Rights</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 addition to any vote of holders of a specific class or series, or required by law or the amended and restated certificate of incorporation, the affirmative vote of holders of at least 66 2/3% of the voting power of all of the then outstanding shares of capital stock, voting as a single class, is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Dividends</w:t>
      </w:r>
    </w:p>
    <w:p>
      <w:pPr>
        <w:spacing w:after="0" w:line="73" w:lineRule="exact"/>
        <w:rPr>
          <w:sz w:val="20"/>
          <w:szCs w:val="20"/>
          <w:color w:val="auto"/>
        </w:rPr>
      </w:pPr>
    </w:p>
    <w:p>
      <w:pPr>
        <w:ind w:left="100" w:right="720"/>
        <w:spacing w:after="0" w:line="275" w:lineRule="auto"/>
        <w:rPr>
          <w:sz w:val="20"/>
          <w:szCs w:val="20"/>
          <w:color w:val="auto"/>
        </w:rPr>
      </w:pPr>
      <w:r>
        <w:rPr>
          <w:rFonts w:ascii="Arial" w:cs="Arial" w:eastAsia="Arial" w:hAnsi="Arial"/>
          <w:sz w:val="17"/>
          <w:szCs w:val="17"/>
          <w:color w:val="auto"/>
        </w:rPr>
        <w:t>Subject to preferences that may apply to any outstanding preferred stock, holders of our common stock are entitled to receive ratably any dividends that our board of directors may declare out of funds legally available for that purpose.</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Liquidation</w:t>
      </w:r>
    </w:p>
    <w:p>
      <w:pPr>
        <w:spacing w:after="0" w:line="59" w:lineRule="exact"/>
        <w:rPr>
          <w:sz w:val="20"/>
          <w:szCs w:val="20"/>
          <w:color w:val="auto"/>
        </w:rPr>
      </w:pPr>
    </w:p>
    <w:p>
      <w:pPr>
        <w:ind w:left="100" w:right="380"/>
        <w:spacing w:after="0" w:line="275" w:lineRule="auto"/>
        <w:rPr>
          <w:sz w:val="20"/>
          <w:szCs w:val="20"/>
          <w:color w:val="auto"/>
        </w:rPr>
      </w:pPr>
      <w:r>
        <w:rPr>
          <w:rFonts w:ascii="Arial" w:cs="Arial" w:eastAsia="Arial" w:hAnsi="Arial"/>
          <w:sz w:val="17"/>
          <w:szCs w:val="17"/>
          <w:color w:val="auto"/>
        </w:rPr>
        <w:t>In the event of our liquidation, dissolution or winding up, holders of our common stock are entitled to share ratably in all assets remaining after payment of liabilities and the liquidation preference of any outstanding preferred stock.</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Rights and Preferences</w:t>
      </w:r>
    </w:p>
    <w:p>
      <w:pPr>
        <w:spacing w:after="0" w:line="59" w:lineRule="exact"/>
        <w:rPr>
          <w:sz w:val="20"/>
          <w:szCs w:val="20"/>
          <w:color w:val="auto"/>
        </w:rPr>
      </w:pPr>
    </w:p>
    <w:p>
      <w:pPr>
        <w:ind w:left="100" w:right="40"/>
        <w:spacing w:after="0" w:line="253"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Fully Paid and Nonassessable</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When we issue shares of common stock under this prospectus, the shares will be fully paid and nonassessable.</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Preferred Stock</w:t>
      </w:r>
    </w:p>
    <w:p>
      <w:pPr>
        <w:spacing w:after="0" w:line="60" w:lineRule="exact"/>
        <w:rPr>
          <w:sz w:val="20"/>
          <w:szCs w:val="20"/>
          <w:color w:val="auto"/>
        </w:rPr>
      </w:pPr>
    </w:p>
    <w:p>
      <w:pPr>
        <w:jc w:val="both"/>
        <w:ind w:left="100" w:right="240"/>
        <w:spacing w:after="0" w:line="246"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w:t>
      </w:r>
    </w:p>
    <w:p>
      <w:pPr>
        <w:spacing w:after="0" w:line="117" w:lineRule="exact"/>
        <w:rPr>
          <w:sz w:val="20"/>
          <w:szCs w:val="20"/>
          <w:color w:val="auto"/>
        </w:rPr>
      </w:pPr>
    </w:p>
    <w:p>
      <w:pPr>
        <w:ind w:left="100" w:right="380"/>
        <w:spacing w:after="0" w:line="275" w:lineRule="auto"/>
        <w:rPr>
          <w:sz w:val="20"/>
          <w:szCs w:val="20"/>
          <w:color w:val="auto"/>
        </w:rPr>
      </w:pPr>
      <w:r>
        <w:rPr>
          <w:rFonts w:ascii="Arial" w:cs="Arial" w:eastAsia="Arial" w:hAnsi="Arial"/>
          <w:sz w:val="17"/>
          <w:szCs w:val="17"/>
          <w:color w:val="auto"/>
        </w:rPr>
        <w:t>Our board of directors will fix the designations, voting powers, preferences and rights of the preferred stock of each series we issue under this prospectus, as well as the qualifications, limitations or restrictions thereof, in the</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60"/>
          </w:cols>
          <w:pgMar w:left="320" w:top="455" w:right="41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spacing w:after="0" w:line="246" w:lineRule="auto"/>
        <w:rPr>
          <w:sz w:val="20"/>
          <w:szCs w:val="20"/>
          <w:color w:val="auto"/>
        </w:rPr>
      </w:pPr>
      <w:r>
        <w:rPr>
          <w:rFonts w:ascii="Arial" w:cs="Arial" w:eastAsia="Arial" w:hAnsi="Arial"/>
          <w:sz w:val="17"/>
          <w:szCs w:val="17"/>
          <w:color w:val="auto"/>
        </w:rPr>
        <w:t>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157" w:lineRule="exact"/>
        <w:rPr>
          <w:sz w:val="20"/>
          <w:szCs w:val="20"/>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the title and stated value;</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the number of shares we are offering;</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the liquidation preference per share;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the purchase price;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the dividend rate, period and payment date and method of calculation for dividends;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whether dividends will be cumulative or non-cumulative and, if cumulative, the date from which dividends will accumulate;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the procedures for any auction and remarketing;</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the provisions for any sinking fund;</w:t>
      </w:r>
    </w:p>
    <w:p>
      <w:pPr>
        <w:spacing w:after="0" w:line="34" w:lineRule="exact"/>
        <w:rPr>
          <w:rFonts w:ascii="MS PGothic" w:cs="MS PGothic" w:eastAsia="MS PGothic" w:hAnsi="MS PGothic"/>
          <w:sz w:val="13"/>
          <w:szCs w:val="13"/>
          <w:color w:val="auto"/>
        </w:rPr>
      </w:pPr>
    </w:p>
    <w:p>
      <w:pPr>
        <w:ind w:left="960" w:right="620" w:hanging="438"/>
        <w:spacing w:after="0" w:line="256" w:lineRule="auto"/>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the provisions for redemption or repurchase, if applicable, and any restrictions on our ability to exercise those redemption and repurchase rights;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any listing of the preferred stock on any securities exchange or market;</w:t>
      </w:r>
    </w:p>
    <w:p>
      <w:pPr>
        <w:spacing w:after="0" w:line="34" w:lineRule="exact"/>
        <w:rPr>
          <w:rFonts w:ascii="MS PGothic" w:cs="MS PGothic" w:eastAsia="MS PGothic" w:hAnsi="MS PGothic"/>
          <w:sz w:val="13"/>
          <w:szCs w:val="13"/>
          <w:color w:val="auto"/>
        </w:rPr>
      </w:pPr>
    </w:p>
    <w:p>
      <w:pPr>
        <w:ind w:left="960" w:right="580" w:hanging="438"/>
        <w:spacing w:after="0" w:line="256" w:lineRule="auto"/>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whether the preferred stock will be convertible into our common stock, and, if applicable, the conversion price, or how it will be calculated, and the conversion period;</w:t>
      </w:r>
    </w:p>
    <w:p>
      <w:pPr>
        <w:spacing w:after="0" w:line="1" w:lineRule="exact"/>
        <w:rPr>
          <w:rFonts w:ascii="MS PGothic" w:cs="MS PGothic" w:eastAsia="MS PGothic" w:hAnsi="MS PGothic"/>
          <w:sz w:val="13"/>
          <w:szCs w:val="13"/>
          <w:color w:val="auto"/>
        </w:rPr>
      </w:pPr>
    </w:p>
    <w:p>
      <w:pPr>
        <w:ind w:left="960" w:right="720" w:hanging="438"/>
        <w:spacing w:after="0" w:line="256" w:lineRule="auto"/>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whether the preferred stock will be exchangeable into debt securities, and, if applicable, the exchange price, or how it will be calculated, and the exchange period;</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voting rights of the preferred stock;</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preemptive rights;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restrictions on transfer, sale or other assignment;</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whether interests in the preferred stock will be represented by depositary shares;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a discussion of material U.S. federal income tax considerations applicable to the preferred stock;</w:t>
      </w:r>
    </w:p>
    <w:p>
      <w:pPr>
        <w:spacing w:after="0" w:line="34" w:lineRule="exact"/>
        <w:rPr>
          <w:rFonts w:ascii="MS PGothic" w:cs="MS PGothic" w:eastAsia="MS PGothic" w:hAnsi="MS PGothic"/>
          <w:sz w:val="13"/>
          <w:szCs w:val="13"/>
          <w:color w:val="auto"/>
        </w:rPr>
      </w:pPr>
    </w:p>
    <w:p>
      <w:pPr>
        <w:ind w:left="960" w:right="400" w:hanging="438"/>
        <w:spacing w:after="0" w:line="256" w:lineRule="auto"/>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1" w:lineRule="exact"/>
        <w:rPr>
          <w:rFonts w:ascii="MS PGothic" w:cs="MS PGothic" w:eastAsia="MS PGothic" w:hAnsi="MS PGothic"/>
          <w:sz w:val="13"/>
          <w:szCs w:val="13"/>
          <w:color w:val="auto"/>
        </w:rPr>
      </w:pPr>
    </w:p>
    <w:p>
      <w:pPr>
        <w:ind w:left="960" w:right="300" w:hanging="438"/>
        <w:spacing w:after="0" w:line="256" w:lineRule="auto"/>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any other specific terms, preferences, rights or limitations of, or restrictions on, the preferred stock.</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When we issue shares of preferred stock under this prospectus, the shares will be fully paid and non-assessable.</w:t>
      </w:r>
    </w:p>
    <w:p>
      <w:pPr>
        <w:spacing w:after="0" w:line="156" w:lineRule="exact"/>
        <w:rPr>
          <w:sz w:val="20"/>
          <w:szCs w:val="20"/>
          <w:color w:val="auto"/>
        </w:rPr>
      </w:pPr>
    </w:p>
    <w:p>
      <w:pPr>
        <w:ind w:left="100" w:right="500"/>
        <w:spacing w:after="0" w:line="275" w:lineRule="auto"/>
        <w:rPr>
          <w:sz w:val="20"/>
          <w:szCs w:val="20"/>
          <w:color w:val="auto"/>
        </w:rPr>
      </w:pPr>
      <w:r>
        <w:rPr>
          <w:rFonts w:ascii="Arial" w:cs="Arial" w:eastAsia="Arial" w:hAnsi="Arial"/>
          <w:sz w:val="17"/>
          <w:szCs w:val="17"/>
          <w:color w:val="auto"/>
        </w:rPr>
        <w:t>Unless we specify otherwise in the applicable prospectus supplement, the preferred stock will rank, with respect to dividends and upon our liquidation, dissolution or winding up:</w:t>
      </w:r>
    </w:p>
    <w:p>
      <w:pPr>
        <w:spacing w:after="0" w:line="52" w:lineRule="exact"/>
        <w:rPr>
          <w:sz w:val="20"/>
          <w:szCs w:val="20"/>
          <w:color w:val="auto"/>
        </w:rPr>
      </w:pPr>
    </w:p>
    <w:p>
      <w:pPr>
        <w:ind w:left="960" w:hanging="438"/>
        <w:spacing w:after="0"/>
        <w:tabs>
          <w:tab w:leader="none" w:pos="96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senior to all classes or series of our common stock and to all of our equity securities ranking junior to the preferred stock;</w:t>
      </w:r>
    </w:p>
    <w:p>
      <w:pPr>
        <w:spacing w:after="0" w:line="35" w:lineRule="exact"/>
        <w:rPr>
          <w:rFonts w:ascii="MS PGothic" w:cs="MS PGothic" w:eastAsia="MS PGothic" w:hAnsi="MS PGothic"/>
          <w:sz w:val="13"/>
          <w:szCs w:val="13"/>
          <w:color w:val="auto"/>
        </w:rPr>
      </w:pPr>
    </w:p>
    <w:p>
      <w:pPr>
        <w:ind w:left="960" w:right="300" w:hanging="438"/>
        <w:spacing w:after="0" w:line="256" w:lineRule="auto"/>
        <w:tabs>
          <w:tab w:leader="none" w:pos="96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on a parity with all of our equity securities the terms of which specifically provide that the equity securities rank on a parity with the preferred stock; and</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junior to all of our equity securities the terms of which specifically provide that the equity securities rank senior to the preferred stock.</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term “equity securities” does not include convertible debt securities.</w:t>
      </w:r>
    </w:p>
    <w:p>
      <w:pPr>
        <w:spacing w:after="0" w:line="156" w:lineRule="exact"/>
        <w:rPr>
          <w:sz w:val="20"/>
          <w:szCs w:val="20"/>
          <w:color w:val="auto"/>
        </w:rPr>
      </w:pPr>
    </w:p>
    <w:p>
      <w:pPr>
        <w:jc w:val="both"/>
        <w:ind w:left="100" w:right="180"/>
        <w:spacing w:after="0" w:line="253" w:lineRule="auto"/>
        <w:rPr>
          <w:sz w:val="20"/>
          <w:szCs w:val="20"/>
          <w:color w:val="auto"/>
        </w:rPr>
      </w:pPr>
      <w:r>
        <w:rPr>
          <w:rFonts w:ascii="Arial" w:cs="Arial" w:eastAsia="Arial" w:hAnsi="Arial"/>
          <w:sz w:val="17"/>
          <w:szCs w:val="17"/>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40"/>
          </w:cols>
          <w:pgMar w:left="320" w:top="455" w:right="5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right="60"/>
        <w:spacing w:after="0" w:line="253" w:lineRule="auto"/>
        <w:rPr>
          <w:sz w:val="20"/>
          <w:szCs w:val="20"/>
          <w:color w:val="auto"/>
        </w:rPr>
      </w:pPr>
      <w:r>
        <w:rPr>
          <w:rFonts w:ascii="Arial" w:cs="Arial" w:eastAsia="Arial" w:hAnsi="Arial"/>
          <w:sz w:val="17"/>
          <w:szCs w:val="17"/>
          <w:color w:val="auto"/>
        </w:rPr>
        <w:t>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 and Delaware Law</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Certificate of Incorporation and Bylaws</w:t>
      </w:r>
    </w:p>
    <w:p>
      <w:pPr>
        <w:spacing w:after="0" w:line="59" w:lineRule="exact"/>
        <w:rPr>
          <w:sz w:val="20"/>
          <w:szCs w:val="20"/>
          <w:color w:val="auto"/>
        </w:rPr>
      </w:pPr>
    </w:p>
    <w:p>
      <w:pPr>
        <w:ind w:left="100" w:right="20"/>
        <w:spacing w:after="0" w:line="275" w:lineRule="auto"/>
        <w:rPr>
          <w:sz w:val="20"/>
          <w:szCs w:val="20"/>
          <w:color w:val="auto"/>
        </w:rPr>
      </w:pPr>
      <w:r>
        <w:rPr>
          <w:rFonts w:ascii="Arial" w:cs="Arial" w:eastAsia="Arial" w:hAnsi="Arial"/>
          <w:sz w:val="17"/>
          <w:szCs w:val="17"/>
          <w:color w:val="auto"/>
        </w:rPr>
        <w:t>Our amended and restated certificate of incorporation and amended and restated bylaws include a number of provisions that may deter or impede hostile takeovers or changes of control or management. These provisions include:</w:t>
      </w:r>
    </w:p>
    <w:p>
      <w:pPr>
        <w:spacing w:after="0" w:line="133" w:lineRule="exact"/>
        <w:rPr>
          <w:sz w:val="20"/>
          <w:szCs w:val="20"/>
          <w:color w:val="auto"/>
        </w:rPr>
      </w:pPr>
    </w:p>
    <w:p>
      <w:pPr>
        <w:ind w:left="960" w:right="220" w:hanging="438"/>
        <w:spacing w:after="0" w:line="244" w:lineRule="auto"/>
        <w:tabs>
          <w:tab w:leader="none" w:pos="960" w:val="left"/>
        </w:tabs>
        <w:numPr>
          <w:ilvl w:val="0"/>
          <w:numId w:val="53"/>
        </w:numPr>
        <w:rPr>
          <w:rFonts w:ascii="MS PGothic" w:cs="MS PGothic" w:eastAsia="MS PGothic" w:hAnsi="MS PGothic"/>
          <w:sz w:val="13"/>
          <w:szCs w:val="13"/>
          <w:color w:val="auto"/>
        </w:rPr>
      </w:pPr>
      <w:r>
        <w:rPr>
          <w:rFonts w:ascii="Arial" w:cs="Arial" w:eastAsia="Arial" w:hAnsi="Arial"/>
          <w:sz w:val="17"/>
          <w:szCs w:val="17"/>
          <w:b w:val="1"/>
          <w:bCs w:val="1"/>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issue up 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2" w:lineRule="exact"/>
        <w:rPr>
          <w:rFonts w:ascii="MS PGothic" w:cs="MS PGothic" w:eastAsia="MS PGothic" w:hAnsi="MS PGothic"/>
          <w:sz w:val="13"/>
          <w:szCs w:val="13"/>
          <w:color w:val="auto"/>
        </w:rPr>
      </w:pPr>
    </w:p>
    <w:p>
      <w:pPr>
        <w:ind w:left="960" w:right="20" w:hanging="438"/>
        <w:spacing w:after="0" w:line="244" w:lineRule="auto"/>
        <w:tabs>
          <w:tab w:leader="none" w:pos="960" w:val="left"/>
        </w:tabs>
        <w:numPr>
          <w:ilvl w:val="0"/>
          <w:numId w:val="53"/>
        </w:numPr>
        <w:rPr>
          <w:rFonts w:ascii="MS PGothic" w:cs="MS PGothic" w:eastAsia="MS PGothic" w:hAnsi="MS PGothic"/>
          <w:sz w:val="13"/>
          <w:szCs w:val="13"/>
          <w:color w:val="auto"/>
        </w:rPr>
      </w:pPr>
      <w:r>
        <w:rPr>
          <w:rFonts w:ascii="Arial" w:cs="Arial" w:eastAsia="Arial" w:hAnsi="Arial"/>
          <w:sz w:val="17"/>
          <w:szCs w:val="17"/>
          <w:b w:val="1"/>
          <w:bCs w:val="1"/>
          <w:i w:val="1"/>
          <w:iCs w:val="1"/>
          <w:color w:val="auto"/>
        </w:rPr>
        <w:t xml:space="preserve">Classified Board: </w:t>
      </w:r>
      <w:r>
        <w:rPr>
          <w:rFonts w:ascii="Arial" w:cs="Arial" w:eastAsia="Arial" w:hAnsi="Arial"/>
          <w:sz w:val="17"/>
          <w:szCs w:val="17"/>
          <w:color w:val="auto"/>
        </w:rPr>
        <w:t>Our amended and restated certificate of incorporation provides for a classified board of directors consisting of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classes of 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1" w:lineRule="exact"/>
        <w:rPr>
          <w:rFonts w:ascii="MS PGothic" w:cs="MS PGothic" w:eastAsia="MS PGothic" w:hAnsi="MS PGothic"/>
          <w:sz w:val="13"/>
          <w:szCs w:val="13"/>
          <w:color w:val="auto"/>
        </w:rPr>
      </w:pPr>
    </w:p>
    <w:p>
      <w:pPr>
        <w:ind w:left="960" w:right="120" w:hanging="438"/>
        <w:spacing w:after="0" w:line="241" w:lineRule="auto"/>
        <w:tabs>
          <w:tab w:leader="none" w:pos="960" w:val="left"/>
        </w:tabs>
        <w:numPr>
          <w:ilvl w:val="0"/>
          <w:numId w:val="53"/>
        </w:numPr>
        <w:rPr>
          <w:rFonts w:ascii="MS PGothic" w:cs="MS PGothic" w:eastAsia="MS PGothic" w:hAnsi="MS PGothic"/>
          <w:sz w:val="13"/>
          <w:szCs w:val="13"/>
          <w:color w:val="auto"/>
        </w:rPr>
      </w:pPr>
      <w:r>
        <w:rPr>
          <w:rFonts w:ascii="Arial" w:cs="Arial" w:eastAsia="Arial" w:hAnsi="Arial"/>
          <w:sz w:val="17"/>
          <w:szCs w:val="17"/>
          <w:b w:val="1"/>
          <w:bCs w:val="1"/>
          <w:i w:val="1"/>
          <w:iCs w:val="1"/>
          <w:color w:val="auto"/>
        </w:rPr>
        <w:t xml:space="preserve">Board of Directors Vacancies: </w:t>
      </w:r>
      <w:r>
        <w:rPr>
          <w:rFonts w:ascii="Arial" w:cs="Arial" w:eastAsia="Arial" w:hAnsi="Arial"/>
          <w:sz w:val="17"/>
          <w:szCs w:val="17"/>
          <w:color w:val="auto"/>
        </w:rPr>
        <w:t>Our amended and restated certificate of incorporation and amended and restated bylaws authorize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only our board of directors to fill vacant directorships, subject to the rights of the holders of any series of preferred stock or as otherwise provided by applicable law.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4" w:lineRule="exact"/>
        <w:rPr>
          <w:rFonts w:ascii="MS PGothic" w:cs="MS PGothic" w:eastAsia="MS PGothic" w:hAnsi="MS PGothic"/>
          <w:sz w:val="13"/>
          <w:szCs w:val="13"/>
          <w:color w:val="auto"/>
        </w:rPr>
      </w:pPr>
    </w:p>
    <w:p>
      <w:pPr>
        <w:ind w:left="960" w:hanging="438"/>
        <w:spacing w:after="0" w:line="241" w:lineRule="auto"/>
        <w:tabs>
          <w:tab w:leader="none" w:pos="960" w:val="left"/>
        </w:tabs>
        <w:numPr>
          <w:ilvl w:val="0"/>
          <w:numId w:val="53"/>
        </w:numPr>
        <w:rPr>
          <w:rFonts w:ascii="MS PGothic" w:cs="MS PGothic" w:eastAsia="MS PGothic" w:hAnsi="MS PGothic"/>
          <w:sz w:val="13"/>
          <w:szCs w:val="13"/>
          <w:color w:val="auto"/>
        </w:rPr>
      </w:pPr>
      <w:r>
        <w:rPr>
          <w:rFonts w:ascii="Arial" w:cs="Arial" w:eastAsia="Arial" w:hAnsi="Arial"/>
          <w:sz w:val="17"/>
          <w:szCs w:val="17"/>
          <w:b w:val="1"/>
          <w:bCs w:val="1"/>
          <w:i w:val="1"/>
          <w:iCs w:val="1"/>
          <w:color w:val="auto"/>
        </w:rPr>
        <w:t xml:space="preserve">Stockholder Action; Special Meetings of Stockholders: </w:t>
      </w:r>
      <w:r>
        <w:rPr>
          <w:rFonts w:ascii="Arial" w:cs="Arial" w:eastAsia="Arial" w:hAnsi="Arial"/>
          <w:sz w:val="17"/>
          <w:szCs w:val="17"/>
          <w:color w:val="auto"/>
        </w:rPr>
        <w:t>Our amended and restated certificate of incorporation provides that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stockholders may not take action by written consent, but may only take action at annual or special meetings of our stockholders. Stockholders are not permitted to cumulate their votes for the election of directors. Our amended and restated bylaws provide that only the chairman of our board of directors, our chief executive officer, or a majority of our board of directors may call special meetings of our stockholders.</w:t>
      </w:r>
    </w:p>
    <w:p>
      <w:pPr>
        <w:spacing w:after="0" w:line="4" w:lineRule="exact"/>
        <w:rPr>
          <w:rFonts w:ascii="MS PGothic" w:cs="MS PGothic" w:eastAsia="MS PGothic" w:hAnsi="MS PGothic"/>
          <w:sz w:val="13"/>
          <w:szCs w:val="13"/>
          <w:color w:val="auto"/>
        </w:rPr>
      </w:pPr>
    </w:p>
    <w:p>
      <w:pPr>
        <w:ind w:left="960" w:right="60" w:hanging="438"/>
        <w:spacing w:after="0" w:line="242" w:lineRule="auto"/>
        <w:tabs>
          <w:tab w:leader="none" w:pos="960" w:val="left"/>
        </w:tabs>
        <w:numPr>
          <w:ilvl w:val="0"/>
          <w:numId w:val="53"/>
        </w:numPr>
        <w:rPr>
          <w:rFonts w:ascii="MS PGothic" w:cs="MS PGothic" w:eastAsia="MS PGothic" w:hAnsi="MS PGothic"/>
          <w:sz w:val="13"/>
          <w:szCs w:val="13"/>
          <w:color w:val="auto"/>
        </w:rPr>
      </w:pPr>
      <w:r>
        <w:rPr>
          <w:rFonts w:ascii="Arial" w:cs="Arial" w:eastAsia="Arial" w:hAnsi="Arial"/>
          <w:sz w:val="17"/>
          <w:szCs w:val="17"/>
          <w:b w:val="1"/>
          <w:bCs w:val="1"/>
          <w:i w:val="1"/>
          <w:iCs w:val="1"/>
          <w:color w:val="auto"/>
        </w:rPr>
        <w:t xml:space="preserve">Advance Notice Requirements for Stockholder Proposals and Director Nominations: </w:t>
      </w:r>
      <w:r>
        <w:rPr>
          <w:rFonts w:ascii="Arial" w:cs="Arial" w:eastAsia="Arial" w:hAnsi="Arial"/>
          <w:sz w:val="17"/>
          <w:szCs w:val="17"/>
          <w:color w:val="auto"/>
        </w:rPr>
        <w:t>Our amended and restated bylaws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advance notice 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120" w:lineRule="exact"/>
        <w:rPr>
          <w:sz w:val="20"/>
          <w:szCs w:val="20"/>
          <w:color w:val="auto"/>
        </w:rPr>
      </w:pPr>
    </w:p>
    <w:p>
      <w:pPr>
        <w:ind w:left="100"/>
        <w:spacing w:after="0" w:line="242" w:lineRule="auto"/>
        <w:rPr>
          <w:sz w:val="20"/>
          <w:szCs w:val="20"/>
          <w:color w:val="auto"/>
        </w:rPr>
      </w:pPr>
      <w:r>
        <w:rPr>
          <w:rFonts w:ascii="Arial" w:cs="Arial" w:eastAsia="Arial" w:hAnsi="Arial"/>
          <w:sz w:val="17"/>
          <w:szCs w:val="17"/>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Section 203 of the Delaware General Corporation Law</w:t>
      </w:r>
    </w:p>
    <w:p>
      <w:pPr>
        <w:spacing w:after="0" w:line="73" w:lineRule="exact"/>
        <w:rPr>
          <w:sz w:val="20"/>
          <w:szCs w:val="20"/>
          <w:color w:val="auto"/>
        </w:rPr>
      </w:pPr>
    </w:p>
    <w:p>
      <w:pPr>
        <w:jc w:val="both"/>
        <w:ind w:left="100" w:right="360"/>
        <w:spacing w:after="0" w:line="253" w:lineRule="auto"/>
        <w:rPr>
          <w:sz w:val="20"/>
          <w:szCs w:val="20"/>
          <w:color w:val="auto"/>
        </w:rPr>
      </w:pPr>
      <w:r>
        <w:rPr>
          <w:rFonts w:ascii="Arial" w:cs="Arial" w:eastAsia="Arial" w:hAnsi="Arial"/>
          <w:sz w:val="17"/>
          <w:szCs w:val="17"/>
          <w:color w:val="auto"/>
        </w:rPr>
        <w:t>We are subject to Section 203 of the General Corporation Law of the State of Delaware, or the DGCL, which prohibits a Delaware corporation from engaging in a business combination with any interested stockholder for a period of three years following the date the person became an interested stockholder, with the following exceptions:</w:t>
      </w:r>
    </w:p>
    <w:p>
      <w:pPr>
        <w:spacing w:after="0" w:line="151" w:lineRule="exact"/>
        <w:rPr>
          <w:sz w:val="20"/>
          <w:szCs w:val="20"/>
          <w:color w:val="auto"/>
        </w:rPr>
      </w:pPr>
    </w:p>
    <w:p>
      <w:pPr>
        <w:ind w:left="960" w:right="80" w:hanging="438"/>
        <w:spacing w:after="0" w:line="257" w:lineRule="auto"/>
        <w:tabs>
          <w:tab w:leader="none" w:pos="96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before such date, the board of directors of the corporation approved either the business combination or the transaction that resulted in the stockholder becoming an interested holder;</w:t>
      </w:r>
    </w:p>
    <w:p>
      <w:pPr>
        <w:spacing w:after="0" w:line="1" w:lineRule="exact"/>
        <w:rPr>
          <w:rFonts w:ascii="MS PGothic" w:cs="MS PGothic" w:eastAsia="MS PGothic" w:hAnsi="MS PGothic"/>
          <w:sz w:val="13"/>
          <w:szCs w:val="13"/>
          <w:color w:val="auto"/>
        </w:rPr>
      </w:pPr>
    </w:p>
    <w:p>
      <w:pPr>
        <w:ind w:left="960" w:right="100" w:hanging="438"/>
        <w:spacing w:after="0"/>
        <w:tabs>
          <w:tab w:leader="none" w:pos="96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w:t>
      </w:r>
    </w:p>
    <w:p>
      <w:pPr>
        <w:spacing w:after="0" w:line="1" w:lineRule="exact"/>
        <w:rPr>
          <w:rFonts w:ascii="MS PGothic" w:cs="MS PGothic" w:eastAsia="MS PGothic" w:hAnsi="MS PGothic"/>
          <w:sz w:val="13"/>
          <w:szCs w:val="13"/>
          <w:color w:val="auto"/>
        </w:rPr>
      </w:pPr>
    </w:p>
    <w:p>
      <w:pPr>
        <w:ind w:left="960" w:right="180" w:hanging="438"/>
        <w:spacing w:after="0" w:line="252" w:lineRule="auto"/>
        <w:tabs>
          <w:tab w:leader="none" w:pos="96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 general, Section 203 defines business combination to include the following:</w:t>
      </w:r>
    </w:p>
    <w:p>
      <w:pPr>
        <w:spacing w:after="0" w:line="196" w:lineRule="exact"/>
        <w:rPr>
          <w:sz w:val="20"/>
          <w:szCs w:val="20"/>
          <w:color w:val="auto"/>
        </w:rPr>
      </w:pPr>
    </w:p>
    <w:p>
      <w:pPr>
        <w:ind w:left="960" w:hanging="438"/>
        <w:spacing w:after="0"/>
        <w:tabs>
          <w:tab w:leader="none" w:pos="96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any merger or consolidation involving the corporation and the interested stockholder;</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34" w:lineRule="exact"/>
        <w:rPr>
          <w:rFonts w:ascii="MS PGothic" w:cs="MS PGothic" w:eastAsia="MS PGothic" w:hAnsi="MS PGothic"/>
          <w:sz w:val="13"/>
          <w:szCs w:val="13"/>
          <w:color w:val="auto"/>
        </w:rPr>
      </w:pPr>
    </w:p>
    <w:p>
      <w:pPr>
        <w:ind w:left="960" w:right="120" w:hanging="438"/>
        <w:spacing w:after="0" w:line="256" w:lineRule="auto"/>
        <w:tabs>
          <w:tab w:leader="none" w:pos="96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1" w:lineRule="exact"/>
        <w:rPr>
          <w:rFonts w:ascii="MS PGothic" w:cs="MS PGothic" w:eastAsia="MS PGothic" w:hAnsi="MS PGothic"/>
          <w:sz w:val="13"/>
          <w:szCs w:val="13"/>
          <w:color w:val="auto"/>
        </w:rPr>
      </w:pPr>
    </w:p>
    <w:p>
      <w:pPr>
        <w:ind w:left="960" w:right="120" w:hanging="438"/>
        <w:spacing w:after="0" w:line="256" w:lineRule="auto"/>
        <w:tabs>
          <w:tab w:leader="none" w:pos="96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1" w:lineRule="exact"/>
        <w:rPr>
          <w:rFonts w:ascii="MS PGothic" w:cs="MS PGothic" w:eastAsia="MS PGothic" w:hAnsi="MS PGothic"/>
          <w:sz w:val="13"/>
          <w:szCs w:val="13"/>
          <w:color w:val="auto"/>
        </w:rPr>
      </w:pPr>
    </w:p>
    <w:p>
      <w:pPr>
        <w:ind w:left="960" w:right="300" w:hanging="438"/>
        <w:spacing w:after="0" w:line="273" w:lineRule="auto"/>
        <w:tabs>
          <w:tab w:leader="none" w:pos="96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the receipt by the interested stockholder of the benefit of any loans, advances, guarantees, pledges or other financial benefits by or through the corporation.</w:t>
      </w:r>
    </w:p>
    <w:p>
      <w:pPr>
        <w:spacing w:after="0" w:line="94" w:lineRule="exact"/>
        <w:rPr>
          <w:sz w:val="20"/>
          <w:szCs w:val="20"/>
          <w:color w:val="auto"/>
        </w:rPr>
      </w:pPr>
    </w:p>
    <w:p>
      <w:pPr>
        <w:ind w:left="100" w:right="200"/>
        <w:spacing w:after="0" w:line="253" w:lineRule="auto"/>
        <w:rPr>
          <w:sz w:val="20"/>
          <w:szCs w:val="20"/>
          <w:color w:val="auto"/>
        </w:rPr>
      </w:pPr>
      <w:r>
        <w:rPr>
          <w:rFonts w:ascii="Arial" w:cs="Arial" w:eastAsia="Arial" w:hAnsi="Arial"/>
          <w:sz w:val="17"/>
          <w:szCs w:val="17"/>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111" w:lineRule="exact"/>
        <w:rPr>
          <w:sz w:val="20"/>
          <w:szCs w:val="20"/>
          <w:color w:val="auto"/>
        </w:rPr>
      </w:pPr>
    </w:p>
    <w:p>
      <w:pPr>
        <w:ind w:left="100" w:right="20"/>
        <w:spacing w:after="0" w:line="275" w:lineRule="auto"/>
        <w:rPr>
          <w:sz w:val="20"/>
          <w:szCs w:val="20"/>
          <w:color w:val="auto"/>
        </w:rPr>
      </w:pPr>
      <w:r>
        <w:rPr>
          <w:rFonts w:ascii="Arial" w:cs="Arial" w:eastAsia="Arial" w:hAnsi="Arial"/>
          <w:sz w:val="17"/>
          <w:szCs w:val="17"/>
          <w:color w:val="auto"/>
        </w:rPr>
        <w:t>A Delaware corporation may opt out of these provisions with an express provision in its certificate of incorporation. We have not opted out of these provisions, which may, as a result, discourage or prevent mergers or other takeover or change in control attempts of us.</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Choice of Forum</w:t>
      </w:r>
    </w:p>
    <w:p>
      <w:pPr>
        <w:spacing w:after="0" w:line="60" w:lineRule="exact"/>
        <w:rPr>
          <w:sz w:val="20"/>
          <w:szCs w:val="20"/>
          <w:color w:val="auto"/>
        </w:rPr>
      </w:pPr>
    </w:p>
    <w:p>
      <w:pPr>
        <w:ind w:left="100"/>
        <w:spacing w:after="0" w:line="237"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exclusive forum for the following types of actions or proceedings under Delaware statutory or common law: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 amended and restated bylaws; or (iv) any action asserting a claim against us or any director or officer or other employee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Transfer Agent and Registrar</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Our transfer agent and registrar for our common stock is American Stock Transfer &amp; Trust Company, LLC.</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Our common stock is listed on The Nasdaq Global Select Market under the symbol “NGM.”</w:t>
      </w:r>
    </w:p>
    <w:p>
      <w:pPr>
        <w:spacing w:after="0" w:line="15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139"/>
          </w:cols>
          <w:pgMar w:left="320" w:top="455" w:right="1440"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DEBT SECURITIES</w:t>
      </w:r>
    </w:p>
    <w:p>
      <w:pPr>
        <w:spacing w:after="0" w:line="316" w:lineRule="exact"/>
        <w:rPr>
          <w:sz w:val="20"/>
          <w:szCs w:val="20"/>
          <w:color w:val="auto"/>
        </w:rPr>
      </w:pPr>
    </w:p>
    <w:p>
      <w:pPr>
        <w:ind w:left="100" w:right="100"/>
        <w:spacing w:after="0"/>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23" w:lineRule="exact"/>
        <w:rPr>
          <w:sz w:val="20"/>
          <w:szCs w:val="20"/>
          <w:color w:val="auto"/>
        </w:rPr>
      </w:pPr>
    </w:p>
    <w:p>
      <w:pPr>
        <w:ind w:left="100" w:right="20"/>
        <w:spacing w:after="0" w:line="242" w:lineRule="auto"/>
        <w:rPr>
          <w:sz w:val="20"/>
          <w:szCs w:val="20"/>
          <w:color w:val="auto"/>
        </w:rPr>
      </w:pPr>
      <w:r>
        <w:rPr>
          <w:rFonts w:ascii="Arial" w:cs="Arial" w:eastAsia="Arial" w:hAnsi="Arial"/>
          <w:sz w:val="17"/>
          <w:szCs w:val="17"/>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21" w:lineRule="exact"/>
        <w:rPr>
          <w:sz w:val="20"/>
          <w:szCs w:val="20"/>
          <w:color w:val="auto"/>
        </w:rPr>
      </w:pPr>
    </w:p>
    <w:p>
      <w:pPr>
        <w:ind w:left="100" w:right="60"/>
        <w:spacing w:after="0" w:line="246" w:lineRule="auto"/>
        <w:rPr>
          <w:sz w:val="20"/>
          <w:szCs w:val="20"/>
          <w:color w:val="auto"/>
        </w:rPr>
      </w:pPr>
      <w:r>
        <w:rPr>
          <w:rFonts w:ascii="Arial" w:cs="Arial" w:eastAsia="Arial" w:hAnsi="Arial"/>
          <w:sz w:val="17"/>
          <w:szCs w:val="17"/>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General</w:t>
      </w:r>
    </w:p>
    <w:p>
      <w:pPr>
        <w:spacing w:after="0" w:line="73" w:lineRule="exact"/>
        <w:rPr>
          <w:sz w:val="20"/>
          <w:szCs w:val="20"/>
          <w:color w:val="auto"/>
        </w:rPr>
      </w:pPr>
    </w:p>
    <w:p>
      <w:pPr>
        <w:ind w:left="100" w:right="20"/>
        <w:spacing w:after="0" w:line="242"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21" w:lineRule="exact"/>
        <w:rPr>
          <w:sz w:val="20"/>
          <w:szCs w:val="20"/>
          <w:color w:val="auto"/>
        </w:rPr>
      </w:pPr>
    </w:p>
    <w:p>
      <w:pPr>
        <w:ind w:left="100" w:right="20"/>
        <w:spacing w:after="0" w:line="242" w:lineRule="auto"/>
        <w:rPr>
          <w:sz w:val="20"/>
          <w:szCs w:val="20"/>
          <w:color w:val="auto"/>
        </w:rPr>
      </w:pPr>
      <w:r>
        <w:rPr>
          <w:rFonts w:ascii="Arial" w:cs="Arial" w:eastAsia="Arial" w:hAnsi="Arial"/>
          <w:sz w:val="17"/>
          <w:szCs w:val="17"/>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 will describe in the applicable prospectus supplement the terms of the series of debt securities being offered, including:</w:t>
      </w:r>
    </w:p>
    <w:p>
      <w:pPr>
        <w:spacing w:after="0" w:line="196" w:lineRule="exact"/>
        <w:rPr>
          <w:sz w:val="20"/>
          <w:szCs w:val="20"/>
          <w:color w:val="auto"/>
        </w:rPr>
      </w:pPr>
    </w:p>
    <w:p>
      <w:pPr>
        <w:ind w:left="960" w:hanging="438"/>
        <w:spacing w:after="0"/>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title of the series of debt securities;</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any limit upon the aggregate principal amount that may be issued;</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maturity date or dates;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form of the debt securities of the series;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applicability of any guarantees;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whether or not the debt securities will be secured or unsecured, and the terms of any secured debt;</w:t>
      </w:r>
    </w:p>
    <w:p>
      <w:pPr>
        <w:spacing w:after="0" w:line="34" w:lineRule="exact"/>
        <w:rPr>
          <w:rFonts w:ascii="MS PGothic" w:cs="MS PGothic" w:eastAsia="MS PGothic" w:hAnsi="MS PGothic"/>
          <w:sz w:val="13"/>
          <w:szCs w:val="13"/>
          <w:color w:val="auto"/>
        </w:rPr>
      </w:pPr>
    </w:p>
    <w:p>
      <w:pPr>
        <w:ind w:left="960" w:hanging="438"/>
        <w:spacing w:after="0" w:line="256"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whether the debt securities rank as senior debt, senior subordinated debt, subordinated debt or any combination thereof, and the terms of any subordination;</w:t>
      </w:r>
    </w:p>
    <w:p>
      <w:pPr>
        <w:spacing w:after="0" w:line="1" w:lineRule="exact"/>
        <w:rPr>
          <w:rFonts w:ascii="MS PGothic" w:cs="MS PGothic" w:eastAsia="MS PGothic" w:hAnsi="MS PGothic"/>
          <w:sz w:val="13"/>
          <w:szCs w:val="13"/>
          <w:color w:val="auto"/>
        </w:rPr>
      </w:pPr>
    </w:p>
    <w:p>
      <w:pPr>
        <w:ind w:left="960" w:right="260" w:hanging="438"/>
        <w:spacing w:after="0" w:line="252"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960" w:right="200"/>
        <w:spacing w:after="0" w:line="257" w:lineRule="auto"/>
        <w:rPr>
          <w:sz w:val="20"/>
          <w:szCs w:val="20"/>
          <w:color w:val="auto"/>
        </w:rPr>
      </w:pPr>
      <w:r>
        <w:rPr>
          <w:rFonts w:ascii="Arial" w:cs="Arial" w:eastAsia="Arial" w:hAnsi="Arial"/>
          <w:sz w:val="17"/>
          <w:szCs w:val="17"/>
          <w:color w:val="auto"/>
        </w:rPr>
        <w:t>of the principal amount of such debt securities that is convertible into another security or the method by which any such portion shall be determined;</w:t>
      </w:r>
    </w:p>
    <w:p>
      <w:pPr>
        <w:spacing w:after="0" w:line="1" w:lineRule="exact"/>
        <w:rPr>
          <w:sz w:val="20"/>
          <w:szCs w:val="20"/>
          <w:color w:val="auto"/>
        </w:rPr>
      </w:pPr>
    </w:p>
    <w:p>
      <w:pPr>
        <w:ind w:left="960" w:right="160" w:hanging="438"/>
        <w:spacing w:after="0" w:line="248"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our right, if any, to defer payment of interest and the maximum length of any such deferral period;</w:t>
      </w:r>
    </w:p>
    <w:p>
      <w:pPr>
        <w:spacing w:after="0" w:line="34" w:lineRule="exact"/>
        <w:rPr>
          <w:rFonts w:ascii="MS PGothic" w:cs="MS PGothic" w:eastAsia="MS PGothic" w:hAnsi="MS PGothic"/>
          <w:sz w:val="13"/>
          <w:szCs w:val="13"/>
          <w:color w:val="auto"/>
        </w:rPr>
      </w:pPr>
    </w:p>
    <w:p>
      <w:pPr>
        <w:jc w:val="both"/>
        <w:ind w:left="960" w:right="480" w:hanging="438"/>
        <w:spacing w:after="0" w:line="248"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 w:lineRule="exact"/>
        <w:rPr>
          <w:rFonts w:ascii="MS PGothic" w:cs="MS PGothic" w:eastAsia="MS PGothic" w:hAnsi="MS PGothic"/>
          <w:sz w:val="13"/>
          <w:szCs w:val="13"/>
          <w:color w:val="auto"/>
        </w:rPr>
      </w:pPr>
    </w:p>
    <w:p>
      <w:pPr>
        <w:ind w:left="960" w:right="20" w:hanging="438"/>
        <w:spacing w:after="0" w:line="248"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 w:lineRule="exact"/>
        <w:rPr>
          <w:rFonts w:ascii="MS PGothic" w:cs="MS PGothic" w:eastAsia="MS PGothic" w:hAnsi="MS PGothic"/>
          <w:sz w:val="13"/>
          <w:szCs w:val="13"/>
          <w:color w:val="auto"/>
        </w:rPr>
      </w:pPr>
    </w:p>
    <w:p>
      <w:pPr>
        <w:ind w:left="960" w:right="160" w:hanging="438"/>
        <w:spacing w:after="0" w:line="256"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1" w:lineRule="exact"/>
        <w:rPr>
          <w:rFonts w:ascii="MS PGothic" w:cs="MS PGothic" w:eastAsia="MS PGothic" w:hAnsi="MS PGothic"/>
          <w:sz w:val="13"/>
          <w:szCs w:val="13"/>
          <w:color w:val="auto"/>
        </w:rPr>
      </w:pPr>
    </w:p>
    <w:p>
      <w:pPr>
        <w:ind w:left="960" w:right="160" w:hanging="438"/>
        <w:spacing w:after="0" w:line="248"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whether the debt securities of the series shall be issued in whole or in part in the form of a global security or securities;</w:t>
      </w:r>
    </w:p>
    <w:p>
      <w:pPr>
        <w:spacing w:after="0" w:line="34" w:lineRule="exact"/>
        <w:rPr>
          <w:rFonts w:ascii="MS PGothic" w:cs="MS PGothic" w:eastAsia="MS PGothic" w:hAnsi="MS PGothic"/>
          <w:sz w:val="13"/>
          <w:szCs w:val="13"/>
          <w:color w:val="auto"/>
        </w:rPr>
      </w:pPr>
    </w:p>
    <w:p>
      <w:pPr>
        <w:ind w:left="960" w:hanging="438"/>
        <w:spacing w:after="0" w:line="256"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terms and conditions, if any, upon which such global security or securities may be exchanged in whole or in part for other individual securities, and the depositary for such global security or securities;</w:t>
      </w:r>
    </w:p>
    <w:p>
      <w:pPr>
        <w:spacing w:after="0" w:line="1" w:lineRule="exact"/>
        <w:rPr>
          <w:rFonts w:ascii="MS PGothic" w:cs="MS PGothic" w:eastAsia="MS PGothic" w:hAnsi="MS PGothic"/>
          <w:sz w:val="13"/>
          <w:szCs w:val="13"/>
          <w:color w:val="auto"/>
        </w:rPr>
      </w:pPr>
    </w:p>
    <w:p>
      <w:pPr>
        <w:ind w:left="960" w:right="60" w:hanging="438"/>
        <w:spacing w:after="0" w:line="244"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 w:lineRule="exact"/>
        <w:rPr>
          <w:rFonts w:ascii="MS PGothic" w:cs="MS PGothic" w:eastAsia="MS PGothic" w:hAnsi="MS PGothic"/>
          <w:sz w:val="13"/>
          <w:szCs w:val="13"/>
          <w:color w:val="auto"/>
        </w:rPr>
      </w:pPr>
    </w:p>
    <w:p>
      <w:pPr>
        <w:ind w:left="960" w:right="60" w:hanging="438"/>
        <w:spacing w:after="0" w:line="256"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if other than the full principal amount thereof, the portion of the principal amount of debt securities of the series which shall be payable upon declaration of acceleration of the maturity thereof;</w:t>
      </w:r>
    </w:p>
    <w:p>
      <w:pPr>
        <w:spacing w:after="0" w:line="1" w:lineRule="exact"/>
        <w:rPr>
          <w:rFonts w:ascii="MS PGothic" w:cs="MS PGothic" w:eastAsia="MS PGothic" w:hAnsi="MS PGothic"/>
          <w:sz w:val="13"/>
          <w:szCs w:val="13"/>
          <w:color w:val="auto"/>
        </w:rPr>
      </w:pPr>
    </w:p>
    <w:p>
      <w:pPr>
        <w:ind w:left="960" w:right="660" w:hanging="438"/>
        <w:spacing w:after="0" w:line="256"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covenants applicable to the particular debt securities being issued, including, among others, the consolidation, merger or sale covenant;</w:t>
      </w:r>
    </w:p>
    <w:p>
      <w:pPr>
        <w:spacing w:after="0" w:line="1" w:lineRule="exact"/>
        <w:rPr>
          <w:rFonts w:ascii="MS PGothic" w:cs="MS PGothic" w:eastAsia="MS PGothic" w:hAnsi="MS PGothic"/>
          <w:sz w:val="13"/>
          <w:szCs w:val="13"/>
          <w:color w:val="auto"/>
        </w:rPr>
      </w:pPr>
    </w:p>
    <w:p>
      <w:pPr>
        <w:ind w:left="960" w:hanging="438"/>
        <w:spacing w:after="0" w:line="256"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additions to or changes in or deletions of the provisions relating to covenant defeasance and legal defeasance;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provisions relating to satisfaction and discharge of the indenture;</w:t>
      </w:r>
    </w:p>
    <w:p>
      <w:pPr>
        <w:spacing w:after="0" w:line="34" w:lineRule="exact"/>
        <w:rPr>
          <w:rFonts w:ascii="MS PGothic" w:cs="MS PGothic" w:eastAsia="MS PGothic" w:hAnsi="MS PGothic"/>
          <w:sz w:val="13"/>
          <w:szCs w:val="13"/>
          <w:color w:val="auto"/>
        </w:rPr>
      </w:pPr>
    </w:p>
    <w:p>
      <w:pPr>
        <w:ind w:left="960" w:right="260" w:hanging="438"/>
        <w:spacing w:after="0" w:line="256"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provisions relating to the modification of the indenture both with and without the consent of holders of debt securities issued under the indenture;</w:t>
      </w:r>
    </w:p>
    <w:p>
      <w:pPr>
        <w:spacing w:after="0" w:line="1" w:lineRule="exact"/>
        <w:rPr>
          <w:rFonts w:ascii="MS PGothic" w:cs="MS PGothic" w:eastAsia="MS PGothic" w:hAnsi="MS PGothic"/>
          <w:sz w:val="13"/>
          <w:szCs w:val="13"/>
          <w:color w:val="auto"/>
        </w:rPr>
      </w:pPr>
    </w:p>
    <w:p>
      <w:pPr>
        <w:ind w:left="960" w:right="440" w:hanging="438"/>
        <w:spacing w:after="0" w:line="256"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1" w:lineRule="exact"/>
        <w:rPr>
          <w:rFonts w:ascii="MS PGothic" w:cs="MS PGothic" w:eastAsia="MS PGothic" w:hAnsi="MS PGothic"/>
          <w:sz w:val="13"/>
          <w:szCs w:val="13"/>
          <w:color w:val="auto"/>
        </w:rPr>
      </w:pPr>
    </w:p>
    <w:p>
      <w:pPr>
        <w:ind w:left="960" w:right="260" w:hanging="438"/>
        <w:spacing w:after="0" w:line="256"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whether interest will be payable in cash or additional debt securities at our or the holders’ option and the terms and conditions upon which the election may be made;</w:t>
      </w:r>
    </w:p>
    <w:p>
      <w:pPr>
        <w:spacing w:after="0" w:line="1" w:lineRule="exact"/>
        <w:rPr>
          <w:rFonts w:ascii="MS PGothic" w:cs="MS PGothic" w:eastAsia="MS PGothic" w:hAnsi="MS PGothic"/>
          <w:sz w:val="13"/>
          <w:szCs w:val="13"/>
          <w:color w:val="auto"/>
        </w:rPr>
      </w:pPr>
    </w:p>
    <w:p>
      <w:pPr>
        <w:ind w:left="960" w:right="540" w:hanging="438"/>
        <w:spacing w:after="0" w:line="256"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any restrictions on transfer, sale or assignment of the debt securities of the series; and</w:t>
      </w:r>
    </w:p>
    <w:p>
      <w:pPr>
        <w:spacing w:after="0" w:line="34" w:lineRule="exact"/>
        <w:rPr>
          <w:rFonts w:ascii="MS PGothic" w:cs="MS PGothic" w:eastAsia="MS PGothic" w:hAnsi="MS PGothic"/>
          <w:sz w:val="13"/>
          <w:szCs w:val="13"/>
          <w:color w:val="auto"/>
        </w:rPr>
      </w:pPr>
    </w:p>
    <w:p>
      <w:pPr>
        <w:ind w:left="960" w:right="200" w:hanging="438"/>
        <w:spacing w:after="0" w:line="273"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Conversion or Exchange Rights</w:t>
      </w:r>
    </w:p>
    <w:p>
      <w:pPr>
        <w:spacing w:after="0" w:line="73" w:lineRule="exact"/>
        <w:rPr>
          <w:sz w:val="20"/>
          <w:szCs w:val="20"/>
          <w:color w:val="auto"/>
        </w:rPr>
      </w:pPr>
    </w:p>
    <w:p>
      <w:pPr>
        <w:ind w:left="100" w:right="60"/>
        <w:spacing w:after="0" w:line="246"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Consolidation, Merger or Sale</w:t>
      </w:r>
    </w:p>
    <w:p>
      <w:pPr>
        <w:spacing w:after="0" w:line="60" w:lineRule="exact"/>
        <w:rPr>
          <w:sz w:val="20"/>
          <w:szCs w:val="20"/>
          <w:color w:val="auto"/>
        </w:rPr>
      </w:pPr>
    </w:p>
    <w:p>
      <w:pPr>
        <w:ind w:left="100" w:right="20"/>
        <w:spacing w:after="0" w:line="246"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60" w:lineRule="exact"/>
        <w:rPr>
          <w:sz w:val="20"/>
          <w:szCs w:val="20"/>
          <w:color w:val="auto"/>
        </w:rPr>
      </w:pPr>
    </w:p>
    <w:p>
      <w:pPr>
        <w:ind w:left="100" w:right="220"/>
        <w:spacing w:after="0" w:line="275"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33" w:lineRule="exact"/>
        <w:rPr>
          <w:sz w:val="20"/>
          <w:szCs w:val="20"/>
          <w:color w:val="auto"/>
        </w:rPr>
      </w:pPr>
    </w:p>
    <w:p>
      <w:pPr>
        <w:ind w:left="960" w:right="100" w:hanging="438"/>
        <w:spacing w:after="0" w:line="244" w:lineRule="auto"/>
        <w:tabs>
          <w:tab w:leader="none" w:pos="96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2" w:lineRule="exact"/>
        <w:rPr>
          <w:rFonts w:ascii="MS PGothic" w:cs="MS PGothic" w:eastAsia="MS PGothic" w:hAnsi="MS PGothic"/>
          <w:sz w:val="13"/>
          <w:szCs w:val="13"/>
          <w:color w:val="auto"/>
        </w:rPr>
      </w:pPr>
    </w:p>
    <w:p>
      <w:pPr>
        <w:ind w:left="960" w:right="100" w:hanging="438"/>
        <w:spacing w:after="0" w:line="241" w:lineRule="auto"/>
        <w:tabs>
          <w:tab w:leader="none" w:pos="96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4" w:lineRule="exact"/>
        <w:rPr>
          <w:rFonts w:ascii="MS PGothic" w:cs="MS PGothic" w:eastAsia="MS PGothic" w:hAnsi="MS PGothic"/>
          <w:sz w:val="13"/>
          <w:szCs w:val="13"/>
          <w:color w:val="auto"/>
        </w:rPr>
      </w:pPr>
    </w:p>
    <w:p>
      <w:pPr>
        <w:ind w:left="960" w:hanging="438"/>
        <w:spacing w:after="0" w:line="244" w:lineRule="auto"/>
        <w:tabs>
          <w:tab w:leader="none" w:pos="96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if specified events of bankruptcy, insolvency or reorganization occur.</w:t>
      </w:r>
    </w:p>
    <w:p>
      <w:pPr>
        <w:spacing w:after="0" w:line="154" w:lineRule="exact"/>
        <w:rPr>
          <w:sz w:val="20"/>
          <w:szCs w:val="20"/>
          <w:color w:val="auto"/>
        </w:rPr>
      </w:pPr>
    </w:p>
    <w:p>
      <w:pPr>
        <w:ind w:left="100" w:right="40"/>
        <w:spacing w:after="0"/>
        <w:rPr>
          <w:sz w:val="20"/>
          <w:szCs w:val="20"/>
          <w:color w:val="auto"/>
        </w:rPr>
      </w:pPr>
      <w:r>
        <w:rPr>
          <w:rFonts w:ascii="Arial" w:cs="Arial" w:eastAsia="Arial" w:hAnsi="Arial"/>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23" w:lineRule="exact"/>
        <w:rPr>
          <w:sz w:val="20"/>
          <w:szCs w:val="20"/>
          <w:color w:val="auto"/>
        </w:rPr>
      </w:pPr>
    </w:p>
    <w:p>
      <w:pPr>
        <w:jc w:val="both"/>
        <w:ind w:left="100" w:right="20"/>
        <w:spacing w:after="0" w:line="253"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11" w:lineRule="exact"/>
        <w:rPr>
          <w:sz w:val="20"/>
          <w:szCs w:val="20"/>
          <w:color w:val="auto"/>
        </w:rPr>
      </w:pPr>
    </w:p>
    <w:p>
      <w:pPr>
        <w:ind w:left="100"/>
        <w:spacing w:after="0" w:line="246"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to the trustee, or exercising any trust or power conferred on the trustee, with respect to the debt securities of that series, provided that:</w:t>
      </w:r>
    </w:p>
    <w:p>
      <w:pPr>
        <w:spacing w:after="0" w:line="196" w:lineRule="exact"/>
        <w:rPr>
          <w:sz w:val="20"/>
          <w:szCs w:val="20"/>
          <w:color w:val="auto"/>
        </w:rPr>
      </w:pPr>
    </w:p>
    <w:p>
      <w:pPr>
        <w:ind w:left="960" w:hanging="438"/>
        <w:spacing w:after="0"/>
        <w:tabs>
          <w:tab w:leader="none" w:pos="96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direction so given by the holder is not in conflict with any law or the applicable indenture; and</w:t>
      </w:r>
    </w:p>
    <w:p>
      <w:pPr>
        <w:spacing w:after="0" w:line="35" w:lineRule="exact"/>
        <w:rPr>
          <w:rFonts w:ascii="MS PGothic" w:cs="MS PGothic" w:eastAsia="MS PGothic" w:hAnsi="MS PGothic"/>
          <w:sz w:val="13"/>
          <w:szCs w:val="13"/>
          <w:color w:val="auto"/>
        </w:rPr>
      </w:pPr>
    </w:p>
    <w:p>
      <w:pPr>
        <w:ind w:left="960" w:right="20" w:hanging="438"/>
        <w:spacing w:after="0" w:line="273" w:lineRule="auto"/>
        <w:tabs>
          <w:tab w:leader="none" w:pos="96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subject to its duties under the Trust Indenture Act, the trustee need not take any action that might involve it in personal liability or might be unduly prejudicial to the holders not involved in the proceeding.</w:t>
      </w:r>
    </w:p>
    <w:p>
      <w:pPr>
        <w:spacing w:after="0" w:line="94" w:lineRule="exact"/>
        <w:rPr>
          <w:sz w:val="20"/>
          <w:szCs w:val="20"/>
          <w:color w:val="auto"/>
        </w:rPr>
      </w:pPr>
    </w:p>
    <w:p>
      <w:pPr>
        <w:ind w:left="100"/>
        <w:spacing w:after="0" w:line="275" w:lineRule="auto"/>
        <w:rPr>
          <w:sz w:val="20"/>
          <w:szCs w:val="20"/>
          <w:color w:val="auto"/>
        </w:rPr>
      </w:pPr>
      <w:r>
        <w:rPr>
          <w:rFonts w:ascii="Arial" w:cs="Arial" w:eastAsia="Arial" w:hAnsi="Arial"/>
          <w:sz w:val="17"/>
          <w:szCs w:val="17"/>
          <w:color w:val="auto"/>
        </w:rPr>
        <w:t>A holder of the debt securities of any series will have the right to institute a proceeding under the indenture or to appoint a receiver or trustee, or to seek other remedies only if:</w:t>
      </w:r>
    </w:p>
    <w:p>
      <w:pPr>
        <w:spacing w:after="0" w:line="133" w:lineRule="exact"/>
        <w:rPr>
          <w:sz w:val="20"/>
          <w:szCs w:val="20"/>
          <w:color w:val="auto"/>
        </w:rPr>
      </w:pPr>
    </w:p>
    <w:p>
      <w:pPr>
        <w:ind w:left="960" w:hanging="438"/>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the holder has given written notice to the trustee of a continuing event of default with respect to that series;</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the holders of at least 25% in aggregate principal amount of the outstanding debt securities of that series have made written request,</w:t>
      </w:r>
    </w:p>
    <w:p>
      <w:pPr>
        <w:spacing w:after="0" w:line="34" w:lineRule="exact"/>
        <w:rPr>
          <w:rFonts w:ascii="MS PGothic" w:cs="MS PGothic" w:eastAsia="MS PGothic" w:hAnsi="MS PGothic"/>
          <w:sz w:val="13"/>
          <w:szCs w:val="13"/>
          <w:color w:val="auto"/>
        </w:rPr>
      </w:pPr>
    </w:p>
    <w:p>
      <w:pPr>
        <w:ind w:left="960" w:right="360" w:hanging="438"/>
        <w:spacing w:after="0" w:line="256" w:lineRule="auto"/>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such holders have offered to the trustee indemnity satisfactory to it against the costs, expenses and liabilities to be incurred by the trustee in compliance with the request; and</w:t>
      </w:r>
    </w:p>
    <w:p>
      <w:pPr>
        <w:spacing w:after="0" w:line="1" w:lineRule="exact"/>
        <w:rPr>
          <w:rFonts w:ascii="MS PGothic" w:cs="MS PGothic" w:eastAsia="MS PGothic" w:hAnsi="MS PGothic"/>
          <w:sz w:val="13"/>
          <w:szCs w:val="13"/>
          <w:color w:val="auto"/>
        </w:rPr>
      </w:pPr>
    </w:p>
    <w:p>
      <w:pPr>
        <w:ind w:left="960" w:right="120" w:hanging="438"/>
        <w:spacing w:after="0" w:line="273" w:lineRule="auto"/>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94" w:lineRule="exact"/>
        <w:rPr>
          <w:sz w:val="20"/>
          <w:szCs w:val="20"/>
          <w:color w:val="auto"/>
        </w:rPr>
      </w:pPr>
    </w:p>
    <w:p>
      <w:pPr>
        <w:ind w:left="100" w:right="380"/>
        <w:spacing w:after="0" w:line="275" w:lineRule="auto"/>
        <w:rPr>
          <w:sz w:val="20"/>
          <w:szCs w:val="20"/>
          <w:color w:val="auto"/>
        </w:rPr>
      </w:pPr>
      <w:r>
        <w:rPr>
          <w:rFonts w:ascii="Arial" w:cs="Arial" w:eastAsia="Arial" w:hAnsi="Arial"/>
          <w:sz w:val="17"/>
          <w:szCs w:val="17"/>
          <w:color w:val="auto"/>
        </w:rPr>
        <w:t>These limitations do not apply to a suit instituted by a holder of debt securities if we default in the payment of the principal, premium, if any, or interest on the debt securities.</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 will periodically file statements with the trustee regarding our compliance with specified covenants in the indenture.</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Modification of Indenture; Waiver</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 and the trustee may change an indenture without the consent of any holders with respect to specific matters:</w:t>
      </w:r>
    </w:p>
    <w:p>
      <w:pPr>
        <w:spacing w:after="0" w:line="196" w:lineRule="exact"/>
        <w:rPr>
          <w:sz w:val="20"/>
          <w:szCs w:val="20"/>
          <w:color w:val="auto"/>
        </w:rPr>
      </w:pPr>
    </w:p>
    <w:p>
      <w:pPr>
        <w:ind w:left="960" w:hanging="438"/>
        <w:spacing w:after="0"/>
        <w:tabs>
          <w:tab w:leader="none" w:pos="96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to cure any ambiguity, defect or inconsistency in the indenture or in the debt securities of any series;</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to comply with the provisions described above under “Description of Debt Securities-Consolidation, Merger or Sale;”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to provide for uncertificated debt securities in addition to or in place of certificated debt securities;</w:t>
      </w:r>
    </w:p>
    <w:p>
      <w:pPr>
        <w:spacing w:after="0" w:line="34" w:lineRule="exact"/>
        <w:rPr>
          <w:rFonts w:ascii="MS PGothic" w:cs="MS PGothic" w:eastAsia="MS PGothic" w:hAnsi="MS PGothic"/>
          <w:sz w:val="13"/>
          <w:szCs w:val="13"/>
          <w:color w:val="auto"/>
        </w:rPr>
      </w:pPr>
    </w:p>
    <w:p>
      <w:pPr>
        <w:ind w:left="960" w:right="20" w:hanging="438"/>
        <w:spacing w:after="0" w:line="244" w:lineRule="auto"/>
        <w:tabs>
          <w:tab w:leader="none" w:pos="96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 w:lineRule="exact"/>
        <w:rPr>
          <w:rFonts w:ascii="MS PGothic" w:cs="MS PGothic" w:eastAsia="MS PGothic" w:hAnsi="MS PGothic"/>
          <w:sz w:val="13"/>
          <w:szCs w:val="13"/>
          <w:color w:val="auto"/>
        </w:rPr>
      </w:pPr>
    </w:p>
    <w:p>
      <w:pPr>
        <w:ind w:left="960" w:right="460" w:hanging="438"/>
        <w:spacing w:after="0" w:line="256" w:lineRule="auto"/>
        <w:tabs>
          <w:tab w:leader="none" w:pos="96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to add to, delete from or revise the conditions, limitations, and restrictions on the authorized amount, terms, or purposes of issue, authentication and delivery of debt securities, as set forth in the indenture;</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to make any change that does not adversely affect the interests of any holder of debt securities of any series in any material respect;</w:t>
      </w:r>
    </w:p>
    <w:p>
      <w:pPr>
        <w:spacing w:after="0" w:line="34" w:lineRule="exact"/>
        <w:rPr>
          <w:rFonts w:ascii="MS PGothic" w:cs="MS PGothic" w:eastAsia="MS PGothic" w:hAnsi="MS PGothic"/>
          <w:sz w:val="13"/>
          <w:szCs w:val="13"/>
          <w:color w:val="auto"/>
        </w:rPr>
      </w:pPr>
    </w:p>
    <w:p>
      <w:pPr>
        <w:ind w:left="960" w:right="40" w:hanging="438"/>
        <w:spacing w:after="0" w:line="248" w:lineRule="auto"/>
        <w:tabs>
          <w:tab w:leader="none" w:pos="96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to evidence and provide for the acceptance of appointment under any indenture by a successor trustee; or</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right="140"/>
        <w:spacing w:after="0" w:line="246" w:lineRule="auto"/>
        <w:rPr>
          <w:sz w:val="20"/>
          <w:szCs w:val="20"/>
          <w:color w:val="auto"/>
        </w:rPr>
      </w:pPr>
      <w:r>
        <w:rPr>
          <w:rFonts w:ascii="Arial" w:cs="Arial" w:eastAsia="Arial" w:hAnsi="Arial"/>
          <w:sz w:val="17"/>
          <w:szCs w:val="17"/>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57" w:lineRule="exact"/>
        <w:rPr>
          <w:sz w:val="20"/>
          <w:szCs w:val="20"/>
          <w:color w:val="auto"/>
        </w:rPr>
      </w:pPr>
    </w:p>
    <w:p>
      <w:pPr>
        <w:ind w:left="960" w:hanging="438"/>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extending the fixed maturity of any debt securities of any series;</w:t>
      </w:r>
    </w:p>
    <w:p>
      <w:pPr>
        <w:spacing w:after="0" w:line="35" w:lineRule="exact"/>
        <w:rPr>
          <w:rFonts w:ascii="MS PGothic" w:cs="MS PGothic" w:eastAsia="MS PGothic" w:hAnsi="MS PGothic"/>
          <w:sz w:val="13"/>
          <w:szCs w:val="13"/>
          <w:color w:val="auto"/>
        </w:rPr>
      </w:pPr>
    </w:p>
    <w:p>
      <w:pPr>
        <w:ind w:left="960" w:right="440" w:hanging="438"/>
        <w:spacing w:after="0" w:line="256" w:lineRule="auto"/>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reducing the principal amount, reducing the rate of or extending the time of payment of interest, or reducing any premium payable upon the redemption of any series of any debt securities; or</w:t>
      </w:r>
    </w:p>
    <w:p>
      <w:pPr>
        <w:spacing w:after="0" w:line="1" w:lineRule="exact"/>
        <w:rPr>
          <w:rFonts w:ascii="MS PGothic" w:cs="MS PGothic" w:eastAsia="MS PGothic" w:hAnsi="MS PGothic"/>
          <w:sz w:val="13"/>
          <w:szCs w:val="13"/>
          <w:color w:val="auto"/>
        </w:rPr>
      </w:pPr>
    </w:p>
    <w:p>
      <w:pPr>
        <w:ind w:left="960" w:right="160" w:hanging="438"/>
        <w:spacing w:after="0" w:line="273" w:lineRule="auto"/>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reducing the percentage of debt securities, the holders of which are required to consent to any amendment, supplement, modification or waiver.</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Discharge</w:t>
      </w:r>
    </w:p>
    <w:p>
      <w:pPr>
        <w:spacing w:after="0" w:line="73" w:lineRule="exact"/>
        <w:rPr>
          <w:sz w:val="20"/>
          <w:szCs w:val="20"/>
          <w:color w:val="auto"/>
        </w:rPr>
      </w:pPr>
    </w:p>
    <w:p>
      <w:pPr>
        <w:ind w:left="100" w:right="240"/>
        <w:spacing w:after="0" w:line="275" w:lineRule="auto"/>
        <w:rPr>
          <w:sz w:val="20"/>
          <w:szCs w:val="20"/>
          <w:color w:val="auto"/>
        </w:rPr>
      </w:pPr>
      <w:r>
        <w:rPr>
          <w:rFonts w:ascii="Arial" w:cs="Arial" w:eastAsia="Arial" w:hAnsi="Arial"/>
          <w:sz w:val="17"/>
          <w:szCs w:val="17"/>
          <w:color w:val="auto"/>
        </w:rPr>
        <w:t>Each indenture provides that we can elect to be discharged from our obligations with respect to one or more series of debt securities, except for specified obligations, including obligations to:</w:t>
      </w:r>
    </w:p>
    <w:p>
      <w:pPr>
        <w:spacing w:after="0" w:line="133" w:lineRule="exact"/>
        <w:rPr>
          <w:sz w:val="20"/>
          <w:szCs w:val="20"/>
          <w:color w:val="auto"/>
        </w:rPr>
      </w:pPr>
    </w:p>
    <w:p>
      <w:pPr>
        <w:ind w:left="960" w:hanging="438"/>
        <w:spacing w:after="0"/>
        <w:tabs>
          <w:tab w:leader="none" w:pos="96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provide for payment;</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register the transfer or exchange of debt securities of the series;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replace stolen, lost or mutilated debt securities of the series;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pay principal of and premium and interest on any debt securities of the series;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maintain paying agencies;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hold monies for payment in trust;</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recover excess money held by the trustee;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compensate and indemnify the trustee; and</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appoint any successor trustee.</w:t>
      </w:r>
    </w:p>
    <w:p>
      <w:pPr>
        <w:spacing w:after="0" w:line="154" w:lineRule="exact"/>
        <w:rPr>
          <w:sz w:val="20"/>
          <w:szCs w:val="20"/>
          <w:color w:val="auto"/>
        </w:rPr>
      </w:pPr>
    </w:p>
    <w:p>
      <w:pPr>
        <w:ind w:left="100"/>
        <w:spacing w:after="0" w:line="275" w:lineRule="auto"/>
        <w:rPr>
          <w:sz w:val="20"/>
          <w:szCs w:val="20"/>
          <w:color w:val="auto"/>
        </w:rPr>
      </w:pPr>
      <w:r>
        <w:rPr>
          <w:rFonts w:ascii="Arial" w:cs="Arial" w:eastAsia="Arial" w:hAnsi="Arial"/>
          <w:sz w:val="17"/>
          <w:szCs w:val="17"/>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Form, Exchange and Transfer</w:t>
      </w:r>
    </w:p>
    <w:p>
      <w:pPr>
        <w:spacing w:after="0" w:line="60" w:lineRule="exact"/>
        <w:rPr>
          <w:sz w:val="20"/>
          <w:szCs w:val="20"/>
          <w:color w:val="auto"/>
        </w:rPr>
      </w:pPr>
    </w:p>
    <w:p>
      <w:pPr>
        <w:ind w:left="100" w:right="20"/>
        <w:spacing w:after="0"/>
        <w:rPr>
          <w:sz w:val="20"/>
          <w:szCs w:val="20"/>
          <w:color w:val="auto"/>
        </w:rPr>
      </w:pPr>
      <w:r>
        <w:rPr>
          <w:rFonts w:ascii="Arial" w:cs="Arial" w:eastAsia="Arial" w:hAnsi="Arial"/>
          <w:sz w:val="17"/>
          <w:szCs w:val="17"/>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23" w:lineRule="exact"/>
        <w:rPr>
          <w:sz w:val="20"/>
          <w:szCs w:val="20"/>
          <w:color w:val="auto"/>
        </w:rPr>
      </w:pPr>
    </w:p>
    <w:p>
      <w:pPr>
        <w:jc w:val="both"/>
        <w:ind w:left="100" w:right="480"/>
        <w:spacing w:after="0" w:line="253" w:lineRule="auto"/>
        <w:rPr>
          <w:sz w:val="20"/>
          <w:szCs w:val="20"/>
          <w:color w:val="auto"/>
        </w:rPr>
      </w:pPr>
      <w:r>
        <w:rPr>
          <w:rFonts w:ascii="Arial" w:cs="Arial" w:eastAsia="Arial" w:hAnsi="Arial"/>
          <w:sz w:val="17"/>
          <w:szCs w:val="17"/>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11" w:lineRule="exact"/>
        <w:rPr>
          <w:sz w:val="20"/>
          <w:szCs w:val="20"/>
          <w:color w:val="auto"/>
        </w:rPr>
      </w:pPr>
    </w:p>
    <w:p>
      <w:pPr>
        <w:ind w:left="100"/>
        <w:spacing w:after="0" w:line="242"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60"/>
          </w:cols>
          <w:pgMar w:left="320" w:top="455" w:right="41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right="60"/>
        <w:spacing w:after="0" w:line="246" w:lineRule="auto"/>
        <w:rPr>
          <w:sz w:val="20"/>
          <w:szCs w:val="20"/>
          <w:color w:val="auto"/>
        </w:rPr>
      </w:pPr>
      <w:r>
        <w:rPr>
          <w:rFonts w:ascii="Arial" w:cs="Arial" w:eastAsia="Arial" w:hAnsi="Arial"/>
          <w:sz w:val="17"/>
          <w:szCs w:val="17"/>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If we elect to redeem the debt securities of any series, we will not be required to:</w:t>
      </w:r>
    </w:p>
    <w:p>
      <w:pPr>
        <w:spacing w:after="0" w:line="196" w:lineRule="exact"/>
        <w:rPr>
          <w:sz w:val="20"/>
          <w:szCs w:val="20"/>
          <w:color w:val="auto"/>
        </w:rPr>
      </w:pPr>
    </w:p>
    <w:p>
      <w:pPr>
        <w:jc w:val="both"/>
        <w:ind w:left="960" w:right="180" w:hanging="438"/>
        <w:spacing w:after="0" w:line="249" w:lineRule="auto"/>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ind w:left="960" w:right="80" w:hanging="438"/>
        <w:spacing w:after="0" w:line="273" w:lineRule="auto"/>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register the transfer of or exchange any debt securities so selected for redemption, in whole or in part, except the unredeemed portion of any debt securities we are redeeming in part.</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Information Concerning the Trustee</w:t>
      </w:r>
    </w:p>
    <w:p>
      <w:pPr>
        <w:spacing w:after="0" w:line="73" w:lineRule="exact"/>
        <w:rPr>
          <w:sz w:val="20"/>
          <w:szCs w:val="20"/>
          <w:color w:val="auto"/>
        </w:rPr>
      </w:pPr>
    </w:p>
    <w:p>
      <w:pPr>
        <w:ind w:left="100" w:right="20"/>
        <w:spacing w:after="0" w:line="242" w:lineRule="auto"/>
        <w:rPr>
          <w:sz w:val="20"/>
          <w:szCs w:val="20"/>
          <w:color w:val="auto"/>
        </w:rPr>
      </w:pPr>
      <w:r>
        <w:rPr>
          <w:rFonts w:ascii="Arial" w:cs="Arial" w:eastAsia="Arial" w:hAnsi="Arial"/>
          <w:sz w:val="17"/>
          <w:szCs w:val="17"/>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Payment and Paying Agents</w:t>
      </w:r>
    </w:p>
    <w:p>
      <w:pPr>
        <w:spacing w:after="0" w:line="60" w:lineRule="exact"/>
        <w:rPr>
          <w:sz w:val="20"/>
          <w:szCs w:val="20"/>
          <w:color w:val="auto"/>
        </w:rPr>
      </w:pPr>
    </w:p>
    <w:p>
      <w:pPr>
        <w:ind w:left="100" w:right="20"/>
        <w:spacing w:after="0" w:line="253" w:lineRule="auto"/>
        <w:rPr>
          <w:sz w:val="20"/>
          <w:szCs w:val="20"/>
          <w:color w:val="auto"/>
        </w:rPr>
      </w:pPr>
      <w:r>
        <w:rPr>
          <w:rFonts w:ascii="Arial" w:cs="Arial" w:eastAsia="Arial" w:hAnsi="Arial"/>
          <w:sz w:val="17"/>
          <w:szCs w:val="17"/>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23" w:lineRule="exact"/>
        <w:rPr>
          <w:sz w:val="20"/>
          <w:szCs w:val="20"/>
          <w:color w:val="auto"/>
        </w:rPr>
      </w:pPr>
    </w:p>
    <w:p>
      <w:pPr>
        <w:ind w:left="100" w:right="380"/>
        <w:spacing w:after="0" w:line="253" w:lineRule="auto"/>
        <w:rPr>
          <w:sz w:val="20"/>
          <w:szCs w:val="20"/>
          <w:color w:val="auto"/>
        </w:rPr>
      </w:pPr>
      <w:r>
        <w:rPr>
          <w:rFonts w:ascii="Arial" w:cs="Arial" w:eastAsia="Arial" w:hAnsi="Arial"/>
          <w:sz w:val="17"/>
          <w:szCs w:val="17"/>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Governing Law</w:t>
      </w:r>
    </w:p>
    <w:p>
      <w:pPr>
        <w:spacing w:after="0" w:line="60" w:lineRule="exact"/>
        <w:rPr>
          <w:sz w:val="20"/>
          <w:szCs w:val="20"/>
          <w:color w:val="auto"/>
        </w:rPr>
      </w:pPr>
    </w:p>
    <w:p>
      <w:pPr>
        <w:ind w:left="100" w:right="180"/>
        <w:spacing w:after="0" w:line="275" w:lineRule="auto"/>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 except to the extent that the Trust Indenture Act of 1939 is applicable.</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WARRANTS</w:t>
      </w:r>
    </w:p>
    <w:p>
      <w:pPr>
        <w:spacing w:after="0" w:line="316" w:lineRule="exact"/>
        <w:rPr>
          <w:sz w:val="20"/>
          <w:szCs w:val="20"/>
          <w:color w:val="auto"/>
        </w:rPr>
      </w:pPr>
    </w:p>
    <w:p>
      <w:pPr>
        <w:ind w:left="100"/>
        <w:spacing w:after="0" w:line="238"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23" w:lineRule="exact"/>
        <w:rPr>
          <w:sz w:val="20"/>
          <w:szCs w:val="20"/>
          <w:color w:val="auto"/>
        </w:rPr>
      </w:pPr>
    </w:p>
    <w:p>
      <w:pPr>
        <w:ind w:left="100"/>
        <w:spacing w:after="0" w:line="237" w:lineRule="auto"/>
        <w:rPr>
          <w:sz w:val="20"/>
          <w:szCs w:val="20"/>
          <w:color w:val="auto"/>
        </w:rPr>
      </w:pPr>
      <w:r>
        <w:rPr>
          <w:rFonts w:ascii="Arial" w:cs="Arial" w:eastAsia="Arial" w:hAnsi="Arial"/>
          <w:sz w:val="17"/>
          <w:szCs w:val="17"/>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General</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 will describe in the applicable prospectus supplement the terms of the series of warrants being offered, including:</w:t>
      </w:r>
    </w:p>
    <w:p>
      <w:pPr>
        <w:spacing w:after="0" w:line="196" w:lineRule="exact"/>
        <w:rPr>
          <w:sz w:val="20"/>
          <w:szCs w:val="20"/>
          <w:color w:val="auto"/>
        </w:rPr>
      </w:pPr>
    </w:p>
    <w:p>
      <w:pPr>
        <w:ind w:left="960" w:hanging="438"/>
        <w:spacing w:after="0"/>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the offering price and aggregate number of warrants offered;</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the currency for which the warrants may be purchased;</w:t>
      </w:r>
    </w:p>
    <w:p>
      <w:pPr>
        <w:spacing w:after="0" w:line="34" w:lineRule="exact"/>
        <w:rPr>
          <w:rFonts w:ascii="MS PGothic" w:cs="MS PGothic" w:eastAsia="MS PGothic" w:hAnsi="MS PGothic"/>
          <w:sz w:val="13"/>
          <w:szCs w:val="13"/>
          <w:color w:val="auto"/>
        </w:rPr>
      </w:pPr>
    </w:p>
    <w:p>
      <w:pPr>
        <w:ind w:left="960" w:right="300" w:hanging="438"/>
        <w:spacing w:after="0" w:line="256" w:lineRule="auto"/>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if applicable, the designation and terms of the securities with which the warrants are issued and the number of warrants issued with each such security or each principal amount of such security;</w:t>
      </w:r>
    </w:p>
    <w:p>
      <w:pPr>
        <w:spacing w:after="0" w:line="1" w:lineRule="exact"/>
        <w:rPr>
          <w:rFonts w:ascii="MS PGothic" w:cs="MS PGothic" w:eastAsia="MS PGothic" w:hAnsi="MS PGothic"/>
          <w:sz w:val="13"/>
          <w:szCs w:val="13"/>
          <w:color w:val="auto"/>
        </w:rPr>
      </w:pPr>
    </w:p>
    <w:p>
      <w:pPr>
        <w:ind w:left="960" w:right="200" w:hanging="438"/>
        <w:spacing w:after="0" w:line="256" w:lineRule="auto"/>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 w:lineRule="exact"/>
        <w:rPr>
          <w:rFonts w:ascii="MS PGothic" w:cs="MS PGothic" w:eastAsia="MS PGothic" w:hAnsi="MS PGothic"/>
          <w:sz w:val="13"/>
          <w:szCs w:val="13"/>
          <w:color w:val="auto"/>
        </w:rPr>
      </w:pPr>
    </w:p>
    <w:p>
      <w:pPr>
        <w:ind w:left="960" w:right="20" w:hanging="438"/>
        <w:spacing w:after="0" w:line="248" w:lineRule="auto"/>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the effect of any merger, consolidation, sale or other disposition of our business on the warrant agreements and the warrants;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the terms of any rights to redeem or call the warrants;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the dates on which the right to exercise the warrants will commence and expire;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the manner in which the warrant agreements and warrants may be modified;</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a discussion of any material or special U.S. federal income tax considerations of holding or exercising the warrants;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the terms of the securities issuable upon exercise of the warrants; and</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any other specific terms, preferences, rights or limitations of or restrictions on the warrants.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60"/>
          </w:cols>
          <w:pgMar w:left="320" w:top="455" w:right="41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960" w:right="120" w:hanging="438"/>
        <w:spacing w:after="0" w:line="257" w:lineRule="auto"/>
        <w:tabs>
          <w:tab w:leader="none" w:pos="96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Before exercising their warrants, holders of warrants will not have any of the rights of holders of the securities purchasable upon such exercise, including:</w:t>
      </w:r>
    </w:p>
    <w:p>
      <w:pPr>
        <w:spacing w:after="0" w:line="1" w:lineRule="exact"/>
        <w:rPr>
          <w:rFonts w:ascii="MS PGothic" w:cs="MS PGothic" w:eastAsia="MS PGothic" w:hAnsi="MS PGothic"/>
          <w:sz w:val="13"/>
          <w:szCs w:val="13"/>
          <w:color w:val="auto"/>
        </w:rPr>
      </w:pPr>
    </w:p>
    <w:p>
      <w:pPr>
        <w:ind w:left="960" w:right="160" w:hanging="438"/>
        <w:spacing w:after="0" w:line="256" w:lineRule="auto"/>
        <w:tabs>
          <w:tab w:leader="none" w:pos="96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1" w:lineRule="exact"/>
        <w:rPr>
          <w:rFonts w:ascii="MS PGothic" w:cs="MS PGothic" w:eastAsia="MS PGothic" w:hAnsi="MS PGothic"/>
          <w:sz w:val="13"/>
          <w:szCs w:val="13"/>
          <w:color w:val="auto"/>
        </w:rPr>
      </w:pPr>
    </w:p>
    <w:p>
      <w:pPr>
        <w:ind w:left="960" w:right="440" w:hanging="438"/>
        <w:spacing w:after="0" w:line="273" w:lineRule="auto"/>
        <w:tabs>
          <w:tab w:leader="none" w:pos="96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in the case of warrants to purchase common stock or preferred stock, the right to receive dividends, if any, or, payments upon our liquidation, dissolution or winding up or to exercise voting rights, if any.</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Exercise of Warrants</w:t>
      </w:r>
    </w:p>
    <w:p>
      <w:pPr>
        <w:spacing w:after="0" w:line="73" w:lineRule="exact"/>
        <w:rPr>
          <w:sz w:val="20"/>
          <w:szCs w:val="20"/>
          <w:color w:val="auto"/>
        </w:rPr>
      </w:pPr>
    </w:p>
    <w:p>
      <w:pPr>
        <w:ind w:left="100"/>
        <w:spacing w:after="0" w:line="242" w:lineRule="auto"/>
        <w:rPr>
          <w:sz w:val="20"/>
          <w:szCs w:val="20"/>
          <w:color w:val="auto"/>
        </w:rPr>
      </w:pPr>
      <w:r>
        <w:rPr>
          <w:rFonts w:ascii="Arial" w:cs="Arial" w:eastAsia="Arial" w:hAnsi="Arial"/>
          <w:sz w:val="17"/>
          <w:szCs w:val="17"/>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21" w:lineRule="exact"/>
        <w:rPr>
          <w:sz w:val="20"/>
          <w:szCs w:val="20"/>
          <w:color w:val="auto"/>
        </w:rPr>
      </w:pPr>
    </w:p>
    <w:p>
      <w:pPr>
        <w:ind w:left="100" w:right="20"/>
        <w:spacing w:after="0" w:line="246" w:lineRule="auto"/>
        <w:rPr>
          <w:sz w:val="20"/>
          <w:szCs w:val="20"/>
          <w:color w:val="auto"/>
        </w:rPr>
      </w:pPr>
      <w:r>
        <w:rPr>
          <w:rFonts w:ascii="Arial" w:cs="Arial" w:eastAsia="Arial" w:hAnsi="Arial"/>
          <w:sz w:val="17"/>
          <w:szCs w:val="17"/>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Governing Law</w:t>
      </w:r>
    </w:p>
    <w:p>
      <w:pPr>
        <w:spacing w:after="0" w:line="60" w:lineRule="exact"/>
        <w:rPr>
          <w:sz w:val="20"/>
          <w:szCs w:val="20"/>
          <w:color w:val="auto"/>
        </w:rPr>
      </w:pPr>
    </w:p>
    <w:p>
      <w:pPr>
        <w:ind w:left="100" w:right="700"/>
        <w:spacing w:after="0" w:line="275" w:lineRule="auto"/>
        <w:rPr>
          <w:sz w:val="20"/>
          <w:szCs w:val="20"/>
          <w:color w:val="auto"/>
        </w:rPr>
      </w:pPr>
      <w:r>
        <w:rPr>
          <w:rFonts w:ascii="Arial" w:cs="Arial" w:eastAsia="Arial" w:hAnsi="Arial"/>
          <w:sz w:val="17"/>
          <w:szCs w:val="17"/>
          <w:color w:val="auto"/>
        </w:rPr>
        <w:t>Unless we otherwise specify in the applicable prospectus supplement, the warrants and any warrant agreements will be governed by and construed in accordance with the laws of the State of New York.</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OWNERSHIP OF SECURITIES</w:t>
      </w:r>
    </w:p>
    <w:p>
      <w:pPr>
        <w:spacing w:after="0" w:line="316" w:lineRule="exact"/>
        <w:rPr>
          <w:sz w:val="20"/>
          <w:szCs w:val="20"/>
          <w:color w:val="auto"/>
        </w:rPr>
      </w:pPr>
    </w:p>
    <w:p>
      <w:pPr>
        <w:ind w:left="100" w:right="20"/>
        <w:spacing w:after="0"/>
        <w:rPr>
          <w:sz w:val="20"/>
          <w:szCs w:val="20"/>
          <w:color w:val="auto"/>
        </w:rPr>
      </w:pPr>
      <w:r>
        <w:rPr>
          <w:rFonts w:ascii="Arial" w:cs="Arial" w:eastAsia="Arial" w:hAnsi="Arial"/>
          <w:sz w:val="17"/>
          <w:szCs w:val="17"/>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Book-Entry Holders</w:t>
      </w:r>
    </w:p>
    <w:p>
      <w:pPr>
        <w:spacing w:after="0" w:line="73" w:lineRule="exact"/>
        <w:rPr>
          <w:sz w:val="20"/>
          <w:szCs w:val="20"/>
          <w:color w:val="auto"/>
        </w:rPr>
      </w:pPr>
    </w:p>
    <w:p>
      <w:pPr>
        <w:ind w:left="100" w:right="120"/>
        <w:spacing w:after="0" w:line="246" w:lineRule="auto"/>
        <w:rPr>
          <w:sz w:val="20"/>
          <w:szCs w:val="20"/>
          <w:color w:val="auto"/>
        </w:rPr>
      </w:pPr>
      <w:r>
        <w:rPr>
          <w:rFonts w:ascii="Arial" w:cs="Arial" w:eastAsia="Arial" w:hAnsi="Arial"/>
          <w:sz w:val="17"/>
          <w:szCs w:val="17"/>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17" w:lineRule="exact"/>
        <w:rPr>
          <w:sz w:val="20"/>
          <w:szCs w:val="20"/>
          <w:color w:val="auto"/>
        </w:rPr>
      </w:pPr>
    </w:p>
    <w:p>
      <w:pPr>
        <w:ind w:left="100" w:right="40"/>
        <w:spacing w:after="0"/>
        <w:rPr>
          <w:sz w:val="20"/>
          <w:szCs w:val="20"/>
          <w:color w:val="auto"/>
        </w:rPr>
      </w:pPr>
      <w:r>
        <w:rPr>
          <w:rFonts w:ascii="Arial" w:cs="Arial" w:eastAsia="Arial" w:hAnsi="Arial"/>
          <w:sz w:val="17"/>
          <w:szCs w:val="17"/>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23" w:lineRule="exact"/>
        <w:rPr>
          <w:sz w:val="20"/>
          <w:szCs w:val="20"/>
          <w:color w:val="auto"/>
        </w:rPr>
      </w:pPr>
    </w:p>
    <w:p>
      <w:pPr>
        <w:jc w:val="both"/>
        <w:ind w:left="100"/>
        <w:spacing w:after="0" w:line="253" w:lineRule="auto"/>
        <w:rPr>
          <w:sz w:val="20"/>
          <w:szCs w:val="20"/>
          <w:color w:val="auto"/>
        </w:rPr>
      </w:pPr>
      <w:r>
        <w:rPr>
          <w:rFonts w:ascii="Arial" w:cs="Arial" w:eastAsia="Arial" w:hAnsi="Arial"/>
          <w:sz w:val="17"/>
          <w:szCs w:val="17"/>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Street Name Holders</w:t>
      </w:r>
    </w:p>
    <w:p>
      <w:pPr>
        <w:spacing w:after="0" w:line="60" w:lineRule="exact"/>
        <w:rPr>
          <w:sz w:val="20"/>
          <w:szCs w:val="20"/>
          <w:color w:val="auto"/>
        </w:rPr>
      </w:pPr>
    </w:p>
    <w:p>
      <w:pPr>
        <w:ind w:left="100" w:right="180"/>
        <w:spacing w:after="0" w:line="246" w:lineRule="auto"/>
        <w:rPr>
          <w:sz w:val="20"/>
          <w:szCs w:val="20"/>
          <w:color w:val="auto"/>
        </w:rPr>
      </w:pPr>
      <w:r>
        <w:rPr>
          <w:rFonts w:ascii="Arial" w:cs="Arial" w:eastAsia="Arial" w:hAnsi="Arial"/>
          <w:sz w:val="17"/>
          <w:szCs w:val="17"/>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17" w:lineRule="exact"/>
        <w:rPr>
          <w:sz w:val="20"/>
          <w:szCs w:val="20"/>
          <w:color w:val="auto"/>
        </w:rPr>
      </w:pPr>
    </w:p>
    <w:p>
      <w:pPr>
        <w:ind w:left="100" w:right="380"/>
        <w:spacing w:after="0" w:line="242" w:lineRule="auto"/>
        <w:rPr>
          <w:sz w:val="20"/>
          <w:szCs w:val="20"/>
          <w:color w:val="auto"/>
        </w:rPr>
      </w:pPr>
      <w:r>
        <w:rPr>
          <w:rFonts w:ascii="Arial" w:cs="Arial" w:eastAsia="Arial" w:hAnsi="Arial"/>
          <w:sz w:val="17"/>
          <w:szCs w:val="17"/>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Legal Holders</w:t>
      </w:r>
    </w:p>
    <w:p>
      <w:pPr>
        <w:spacing w:after="0" w:line="60" w:lineRule="exact"/>
        <w:rPr>
          <w:sz w:val="20"/>
          <w:szCs w:val="20"/>
          <w:color w:val="auto"/>
        </w:rPr>
      </w:pPr>
    </w:p>
    <w:p>
      <w:pPr>
        <w:ind w:left="100" w:right="180"/>
        <w:spacing w:after="0" w:line="246" w:lineRule="auto"/>
        <w:rPr>
          <w:sz w:val="20"/>
          <w:szCs w:val="20"/>
          <w:color w:val="auto"/>
        </w:rPr>
      </w:pPr>
      <w:r>
        <w:rPr>
          <w:rFonts w:ascii="Arial" w:cs="Arial" w:eastAsia="Arial" w:hAnsi="Arial"/>
          <w:sz w:val="17"/>
          <w:szCs w:val="17"/>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7" w:lineRule="exact"/>
        <w:rPr>
          <w:sz w:val="20"/>
          <w:szCs w:val="20"/>
          <w:color w:val="auto"/>
        </w:rPr>
      </w:pPr>
    </w:p>
    <w:p>
      <w:pPr>
        <w:ind w:left="100" w:right="260"/>
        <w:spacing w:after="0" w:line="253"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60"/>
          </w:cols>
          <w:pgMar w:left="320" w:top="455" w:right="41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right="240"/>
        <w:spacing w:after="0" w:line="253" w:lineRule="auto"/>
        <w:rPr>
          <w:sz w:val="20"/>
          <w:szCs w:val="20"/>
          <w:color w:val="auto"/>
        </w:rPr>
      </w:pPr>
      <w:r>
        <w:rPr>
          <w:rFonts w:ascii="Arial" w:cs="Arial" w:eastAsia="Arial" w:hAnsi="Arial"/>
          <w:sz w:val="17"/>
          <w:szCs w:val="17"/>
          <w:color w:val="auto"/>
        </w:rPr>
        <w:t>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73" w:lineRule="exact"/>
        <w:rPr>
          <w:sz w:val="20"/>
          <w:szCs w:val="20"/>
          <w:color w:val="auto"/>
        </w:rPr>
      </w:pPr>
    </w:p>
    <w:p>
      <w:pPr>
        <w:ind w:left="100" w:right="160"/>
        <w:spacing w:after="0" w:line="275" w:lineRule="auto"/>
        <w:rPr>
          <w:sz w:val="20"/>
          <w:szCs w:val="20"/>
          <w:color w:val="auto"/>
        </w:rPr>
      </w:pPr>
      <w:r>
        <w:rPr>
          <w:rFonts w:ascii="Arial" w:cs="Arial" w:eastAsia="Arial" w:hAnsi="Arial"/>
          <w:sz w:val="17"/>
          <w:szCs w:val="17"/>
          <w:color w:val="auto"/>
        </w:rPr>
        <w:t>If you hold securities through a bank, broker or other financial institution, either in book-entry form or in street name, you should check with your own institution to find out:</w:t>
      </w:r>
    </w:p>
    <w:p>
      <w:pPr>
        <w:spacing w:after="0" w:line="133" w:lineRule="exact"/>
        <w:rPr>
          <w:sz w:val="20"/>
          <w:szCs w:val="20"/>
          <w:color w:val="auto"/>
        </w:rPr>
      </w:pPr>
    </w:p>
    <w:p>
      <w:pPr>
        <w:ind w:left="960" w:hanging="438"/>
        <w:spacing w:after="0"/>
        <w:tabs>
          <w:tab w:leader="none" w:pos="96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how it handles securities payments and notices;</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whether it imposes fees or charges;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how it would handle a request for the holders’ consent, if ever required;</w:t>
      </w:r>
    </w:p>
    <w:p>
      <w:pPr>
        <w:spacing w:after="0" w:line="34" w:lineRule="exact"/>
        <w:rPr>
          <w:rFonts w:ascii="MS PGothic" w:cs="MS PGothic" w:eastAsia="MS PGothic" w:hAnsi="MS PGothic"/>
          <w:sz w:val="13"/>
          <w:szCs w:val="13"/>
          <w:color w:val="auto"/>
        </w:rPr>
      </w:pPr>
    </w:p>
    <w:p>
      <w:pPr>
        <w:ind w:left="960" w:right="160" w:hanging="438"/>
        <w:spacing w:after="0" w:line="256" w:lineRule="auto"/>
        <w:tabs>
          <w:tab w:leader="none" w:pos="96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whether and how you can instruct it to send you securities registered in your own name so you can be a holder, if that is permitted in the future;</w:t>
      </w:r>
    </w:p>
    <w:p>
      <w:pPr>
        <w:spacing w:after="0" w:line="1" w:lineRule="exact"/>
        <w:rPr>
          <w:rFonts w:ascii="MS PGothic" w:cs="MS PGothic" w:eastAsia="MS PGothic" w:hAnsi="MS PGothic"/>
          <w:sz w:val="13"/>
          <w:szCs w:val="13"/>
          <w:color w:val="auto"/>
        </w:rPr>
      </w:pPr>
    </w:p>
    <w:p>
      <w:pPr>
        <w:ind w:left="960" w:right="160" w:hanging="438"/>
        <w:spacing w:after="0" w:line="256" w:lineRule="auto"/>
        <w:tabs>
          <w:tab w:leader="none" w:pos="96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how it would exercise rights under the securities if there were a default or other event triggering the need for holders to act to protect their interests; and</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if the securities are in book-entry form, how the depositary’s rules and procedures will affect these matters.</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Global Securities</w:t>
      </w:r>
    </w:p>
    <w:p>
      <w:pPr>
        <w:spacing w:after="0" w:line="60" w:lineRule="exact"/>
        <w:rPr>
          <w:sz w:val="20"/>
          <w:szCs w:val="20"/>
          <w:color w:val="auto"/>
        </w:rPr>
      </w:pPr>
    </w:p>
    <w:p>
      <w:pPr>
        <w:ind w:left="100" w:right="540"/>
        <w:spacing w:after="0" w:line="275" w:lineRule="auto"/>
        <w:rPr>
          <w:sz w:val="20"/>
          <w:szCs w:val="20"/>
          <w:color w:val="auto"/>
        </w:rPr>
      </w:pPr>
      <w:r>
        <w:rPr>
          <w:rFonts w:ascii="Arial" w:cs="Arial" w:eastAsia="Arial" w:hAnsi="Arial"/>
          <w:sz w:val="17"/>
          <w:szCs w:val="17"/>
          <w:color w:val="auto"/>
        </w:rPr>
        <w:t>A global security is a security that represents one or any other number of individual securities held by a depositary. Generally, all securities represented by the same global securities will have the same terms.</w:t>
      </w:r>
    </w:p>
    <w:p>
      <w:pPr>
        <w:spacing w:after="0" w:line="92" w:lineRule="exact"/>
        <w:rPr>
          <w:sz w:val="20"/>
          <w:szCs w:val="20"/>
          <w:color w:val="auto"/>
        </w:rPr>
      </w:pPr>
    </w:p>
    <w:p>
      <w:pPr>
        <w:ind w:left="100" w:right="560"/>
        <w:spacing w:after="0" w:line="253" w:lineRule="auto"/>
        <w:rPr>
          <w:sz w:val="20"/>
          <w:szCs w:val="20"/>
          <w:color w:val="auto"/>
        </w:rPr>
      </w:pPr>
      <w:r>
        <w:rPr>
          <w:rFonts w:ascii="Arial" w:cs="Arial" w:eastAsia="Arial" w:hAnsi="Arial"/>
          <w:sz w:val="17"/>
          <w:szCs w:val="17"/>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11" w:lineRule="exact"/>
        <w:rPr>
          <w:sz w:val="20"/>
          <w:szCs w:val="20"/>
          <w:color w:val="auto"/>
        </w:rPr>
      </w:pPr>
    </w:p>
    <w:p>
      <w:pPr>
        <w:ind w:left="100"/>
        <w:spacing w:after="0" w:line="239"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22" w:lineRule="exact"/>
        <w:rPr>
          <w:sz w:val="20"/>
          <w:szCs w:val="20"/>
          <w:color w:val="auto"/>
        </w:rPr>
      </w:pPr>
    </w:p>
    <w:p>
      <w:pPr>
        <w:ind w:left="100" w:right="200"/>
        <w:spacing w:after="0" w:line="253" w:lineRule="auto"/>
        <w:rPr>
          <w:sz w:val="20"/>
          <w:szCs w:val="20"/>
          <w:color w:val="auto"/>
        </w:rPr>
      </w:pPr>
      <w:r>
        <w:rPr>
          <w:rFonts w:ascii="Arial" w:cs="Arial" w:eastAsia="Arial" w:hAnsi="Arial"/>
          <w:sz w:val="17"/>
          <w:szCs w:val="17"/>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60" w:lineRule="exact"/>
        <w:rPr>
          <w:sz w:val="20"/>
          <w:szCs w:val="20"/>
          <w:color w:val="auto"/>
        </w:rPr>
      </w:pPr>
    </w:p>
    <w:p>
      <w:pPr>
        <w:jc w:val="both"/>
        <w:ind w:left="100" w:right="240"/>
        <w:spacing w:after="0" w:line="253" w:lineRule="auto"/>
        <w:rPr>
          <w:sz w:val="20"/>
          <w:szCs w:val="20"/>
          <w:color w:val="auto"/>
        </w:rPr>
      </w:pPr>
      <w:r>
        <w:rPr>
          <w:rFonts w:ascii="Arial" w:cs="Arial" w:eastAsia="Arial" w:hAnsi="Arial"/>
          <w:sz w:val="17"/>
          <w:szCs w:val="17"/>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If securities are issued only in the form of a global security, an investor should be aware of the following:</w:t>
      </w:r>
    </w:p>
    <w:p>
      <w:pPr>
        <w:spacing w:after="0" w:line="196" w:lineRule="exact"/>
        <w:rPr>
          <w:sz w:val="20"/>
          <w:szCs w:val="20"/>
          <w:color w:val="auto"/>
        </w:rPr>
      </w:pPr>
    </w:p>
    <w:p>
      <w:pPr>
        <w:ind w:left="960" w:right="360" w:hanging="438"/>
        <w:spacing w:after="0" w:line="257" w:lineRule="auto"/>
        <w:tabs>
          <w:tab w:leader="none" w:pos="96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an investor cannot cause the securities to be registered in his or her name, and cannot obtain non-global certificates for his or her interest in the securities, except in the special situations we describe below;</w:t>
      </w:r>
    </w:p>
    <w:p>
      <w:pPr>
        <w:spacing w:after="0" w:line="1" w:lineRule="exact"/>
        <w:rPr>
          <w:rFonts w:ascii="MS PGothic" w:cs="MS PGothic" w:eastAsia="MS PGothic" w:hAnsi="MS PGothic"/>
          <w:sz w:val="13"/>
          <w:szCs w:val="13"/>
          <w:color w:val="auto"/>
        </w:rPr>
      </w:pPr>
    </w:p>
    <w:p>
      <w:pPr>
        <w:ind w:left="960" w:right="200" w:hanging="438"/>
        <w:spacing w:after="0" w:line="273" w:lineRule="auto"/>
        <w:tabs>
          <w:tab w:leader="none" w:pos="96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an investor will be an indirect holder and must look to his or her own bank or broker for payments on the securities and protection of his or her legal rights relating to the securities, as we describe above;</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080"/>
          </w:cols>
          <w:pgMar w:left="320" w:top="455" w:right="49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960" w:hanging="438"/>
        <w:spacing w:after="0" w:line="257" w:lineRule="auto"/>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an investor may not be able to sell interests in the securities to some insurance companies and to other institutions that are required by law to own their securities in non-book-entry form;</w:t>
      </w:r>
    </w:p>
    <w:p>
      <w:pPr>
        <w:spacing w:after="0" w:line="1" w:lineRule="exact"/>
        <w:rPr>
          <w:rFonts w:ascii="MS PGothic" w:cs="MS PGothic" w:eastAsia="MS PGothic" w:hAnsi="MS PGothic"/>
          <w:sz w:val="13"/>
          <w:szCs w:val="13"/>
          <w:color w:val="auto"/>
        </w:rPr>
      </w:pPr>
    </w:p>
    <w:p>
      <w:pPr>
        <w:ind w:left="960" w:right="520" w:hanging="438"/>
        <w:spacing w:after="0" w:line="256" w:lineRule="auto"/>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1" w:lineRule="exact"/>
        <w:rPr>
          <w:rFonts w:ascii="MS PGothic" w:cs="MS PGothic" w:eastAsia="MS PGothic" w:hAnsi="MS PGothic"/>
          <w:sz w:val="13"/>
          <w:szCs w:val="13"/>
          <w:color w:val="auto"/>
        </w:rPr>
      </w:pPr>
    </w:p>
    <w:p>
      <w:pPr>
        <w:ind w:left="960" w:right="180" w:hanging="438"/>
        <w:spacing w:after="0" w:line="256" w:lineRule="auto"/>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w:t>
      </w:r>
    </w:p>
    <w:p>
      <w:pPr>
        <w:spacing w:after="0" w:line="1" w:lineRule="exact"/>
        <w:rPr>
          <w:rFonts w:ascii="MS PGothic" w:cs="MS PGothic" w:eastAsia="MS PGothic" w:hAnsi="MS PGothic"/>
          <w:sz w:val="13"/>
          <w:szCs w:val="13"/>
          <w:color w:val="auto"/>
        </w:rPr>
      </w:pPr>
    </w:p>
    <w:p>
      <w:pPr>
        <w:ind w:left="960" w:right="100" w:hanging="438"/>
        <w:spacing w:after="0" w:line="256" w:lineRule="auto"/>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1" w:lineRule="exact"/>
        <w:rPr>
          <w:rFonts w:ascii="MS PGothic" w:cs="MS PGothic" w:eastAsia="MS PGothic" w:hAnsi="MS PGothic"/>
          <w:sz w:val="13"/>
          <w:szCs w:val="13"/>
          <w:color w:val="auto"/>
        </w:rPr>
      </w:pPr>
    </w:p>
    <w:p>
      <w:pPr>
        <w:ind w:left="960" w:right="160" w:hanging="438"/>
        <w:spacing w:after="0" w:line="256" w:lineRule="auto"/>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1" w:lineRule="exact"/>
        <w:rPr>
          <w:rFonts w:ascii="MS PGothic" w:cs="MS PGothic" w:eastAsia="MS PGothic" w:hAnsi="MS PGothic"/>
          <w:sz w:val="13"/>
          <w:szCs w:val="13"/>
          <w:color w:val="auto"/>
        </w:rPr>
      </w:pPr>
    </w:p>
    <w:p>
      <w:pPr>
        <w:ind w:left="960" w:right="180" w:hanging="438"/>
        <w:spacing w:after="0" w:line="273" w:lineRule="auto"/>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94" w:lineRule="exact"/>
        <w:rPr>
          <w:sz w:val="20"/>
          <w:szCs w:val="20"/>
          <w:color w:val="auto"/>
        </w:rPr>
      </w:pPr>
    </w:p>
    <w:p>
      <w:pPr>
        <w:ind w:left="100" w:right="280"/>
        <w:spacing w:after="0" w:line="275" w:lineRule="auto"/>
        <w:rPr>
          <w:sz w:val="20"/>
          <w:szCs w:val="20"/>
          <w:color w:val="auto"/>
        </w:rPr>
      </w:pPr>
      <w:r>
        <w:rPr>
          <w:rFonts w:ascii="Arial" w:cs="Arial" w:eastAsia="Arial" w:hAnsi="Arial"/>
          <w:sz w:val="17"/>
          <w:szCs w:val="17"/>
          <w:color w:val="auto"/>
        </w:rPr>
        <w:t>There may be more than one financial intermediary in the chain of ownership for an investor. We do not monitor and are not responsible for the actions of any of those intermediaries.</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73" w:lineRule="exact"/>
        <w:rPr>
          <w:sz w:val="20"/>
          <w:szCs w:val="20"/>
          <w:color w:val="auto"/>
        </w:rPr>
      </w:pPr>
    </w:p>
    <w:p>
      <w:pPr>
        <w:ind w:left="100" w:right="240"/>
        <w:spacing w:after="0" w:line="246" w:lineRule="auto"/>
        <w:rPr>
          <w:sz w:val="20"/>
          <w:szCs w:val="20"/>
          <w:color w:val="auto"/>
        </w:rPr>
      </w:pPr>
      <w:r>
        <w:rPr>
          <w:rFonts w:ascii="Arial" w:cs="Arial" w:eastAsia="Arial" w:hAnsi="Arial"/>
          <w:sz w:val="17"/>
          <w:szCs w:val="17"/>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17" w:lineRule="exact"/>
        <w:rPr>
          <w:sz w:val="20"/>
          <w:szCs w:val="20"/>
          <w:color w:val="auto"/>
        </w:rPr>
      </w:pPr>
    </w:p>
    <w:p>
      <w:pPr>
        <w:ind w:left="100" w:right="460"/>
        <w:spacing w:after="0" w:line="275" w:lineRule="auto"/>
        <w:rPr>
          <w:sz w:val="20"/>
          <w:szCs w:val="20"/>
          <w:color w:val="auto"/>
        </w:rPr>
      </w:pPr>
      <w:r>
        <w:rPr>
          <w:rFonts w:ascii="Arial" w:cs="Arial" w:eastAsia="Arial" w:hAnsi="Arial"/>
          <w:sz w:val="17"/>
          <w:szCs w:val="17"/>
          <w:color w:val="auto"/>
        </w:rPr>
        <w:t>Unless we provide otherwise in the applicable prospectus supplement, the global security will terminate when the following special situations occur:</w:t>
      </w:r>
    </w:p>
    <w:p>
      <w:pPr>
        <w:spacing w:after="0" w:line="133" w:lineRule="exact"/>
        <w:rPr>
          <w:sz w:val="20"/>
          <w:szCs w:val="20"/>
          <w:color w:val="auto"/>
        </w:rPr>
      </w:pPr>
    </w:p>
    <w:p>
      <w:pPr>
        <w:ind w:left="960" w:right="80" w:hanging="438"/>
        <w:spacing w:after="0" w:line="257" w:lineRule="auto"/>
        <w:tabs>
          <w:tab w:leader="none" w:pos="96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if the depositary notifies us that it is unwilling, unable or no longer qualified to continue as depositary for that global security and we do not appoint another institution to act as depositary within 90 days;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if we notify any applicable trustee that we wish to terminate that global security; or</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if an event of default has occurred with regard to securities represented by that global security and has not been cured or waived.</w:t>
      </w:r>
    </w:p>
    <w:p>
      <w:pPr>
        <w:spacing w:after="0" w:line="154" w:lineRule="exact"/>
        <w:rPr>
          <w:sz w:val="20"/>
          <w:szCs w:val="20"/>
          <w:color w:val="auto"/>
        </w:rPr>
      </w:pPr>
    </w:p>
    <w:p>
      <w:pPr>
        <w:ind w:left="100" w:right="300"/>
        <w:spacing w:after="0" w:line="253" w:lineRule="auto"/>
        <w:rPr>
          <w:sz w:val="20"/>
          <w:szCs w:val="20"/>
          <w:color w:val="auto"/>
        </w:rPr>
      </w:pPr>
      <w:r>
        <w:rPr>
          <w:rFonts w:ascii="Arial" w:cs="Arial" w:eastAsia="Arial" w:hAnsi="Arial"/>
          <w:sz w:val="17"/>
          <w:szCs w:val="17"/>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316" w:lineRule="exact"/>
        <w:rPr>
          <w:sz w:val="20"/>
          <w:szCs w:val="20"/>
          <w:color w:val="auto"/>
        </w:rPr>
      </w:pPr>
    </w:p>
    <w:p>
      <w:pPr>
        <w:ind w:left="100" w:right="180"/>
        <w:spacing w:after="0" w:line="253" w:lineRule="auto"/>
        <w:rPr>
          <w:sz w:val="20"/>
          <w:szCs w:val="20"/>
          <w:color w:val="auto"/>
        </w:rPr>
      </w:pPr>
      <w:r>
        <w:rPr>
          <w:rFonts w:ascii="Arial" w:cs="Arial" w:eastAsia="Arial" w:hAnsi="Arial"/>
          <w:sz w:val="17"/>
          <w:szCs w:val="17"/>
          <w:color w:val="auto"/>
        </w:rPr>
        <w:t>We may sell the securities from time to time pursuant to underwritten public offerings, direct sales to the public,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151" w:lineRule="exact"/>
        <w:rPr>
          <w:sz w:val="20"/>
          <w:szCs w:val="20"/>
          <w:color w:val="auto"/>
        </w:rPr>
      </w:pPr>
    </w:p>
    <w:p>
      <w:pPr>
        <w:ind w:left="960" w:hanging="438"/>
        <w:spacing w:after="0"/>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at a fixed price or prices, which may be changed;</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at market prices prevailing at the time of sale;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at prices related to such prevailing market prices; or</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at negotiated prices.</w:t>
      </w:r>
    </w:p>
    <w:p>
      <w:pPr>
        <w:spacing w:after="0" w:line="154" w:lineRule="exact"/>
        <w:rPr>
          <w:sz w:val="20"/>
          <w:szCs w:val="20"/>
          <w:color w:val="auto"/>
        </w:rPr>
      </w:pPr>
    </w:p>
    <w:p>
      <w:pPr>
        <w:ind w:left="100" w:right="140"/>
        <w:spacing w:after="0" w:line="275" w:lineRule="auto"/>
        <w:rPr>
          <w:sz w:val="20"/>
          <w:szCs w:val="20"/>
          <w:color w:val="auto"/>
        </w:rPr>
      </w:pPr>
      <w:r>
        <w:rPr>
          <w:rFonts w:ascii="Arial" w:cs="Arial" w:eastAsia="Arial" w:hAnsi="Arial"/>
          <w:sz w:val="17"/>
          <w:szCs w:val="17"/>
          <w:color w:val="auto"/>
        </w:rPr>
        <w:t>A prospectus supplement or supplements (and any related free writing prospectus that we may authorize to be provided to you) will describe the terms of the offering of the securities, including, to the extent applicable:</w:t>
      </w:r>
    </w:p>
    <w:p>
      <w:pPr>
        <w:spacing w:after="0" w:line="133" w:lineRule="exact"/>
        <w:rPr>
          <w:sz w:val="20"/>
          <w:szCs w:val="20"/>
          <w:color w:val="auto"/>
        </w:rPr>
      </w:pPr>
    </w:p>
    <w:p>
      <w:pPr>
        <w:ind w:left="960" w:hanging="438"/>
        <w:spacing w:after="0"/>
        <w:tabs>
          <w:tab w:leader="none" w:pos="96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name or names of the underwriters, if any;</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purchase price of the securities or other consideration therefor, and the proceeds, if any, we will receive from the sale;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any options under which underwriters may purchase additional securities from us;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any agency fees or underwriting discounts and other items constituting agents’ or underwriters’ compensation;</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any public offering price;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any discounts or concessions allowed or reallowed or paid to dealers; and</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any securities exchange or market on which the securities may be listed.</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Only underwriters named in the prospectus supplement will be underwriters of the securities offered by the prospectus supplement.</w:t>
      </w:r>
    </w:p>
    <w:p>
      <w:pPr>
        <w:spacing w:after="0" w:line="156" w:lineRule="exact"/>
        <w:rPr>
          <w:sz w:val="20"/>
          <w:szCs w:val="20"/>
          <w:color w:val="auto"/>
        </w:rPr>
      </w:pPr>
    </w:p>
    <w:p>
      <w:pPr>
        <w:ind w:left="100"/>
        <w:spacing w:after="0" w:line="238" w:lineRule="auto"/>
        <w:rPr>
          <w:sz w:val="20"/>
          <w:szCs w:val="20"/>
          <w:color w:val="auto"/>
        </w:rPr>
      </w:pPr>
      <w:r>
        <w:rPr>
          <w:rFonts w:ascii="Arial" w:cs="Arial" w:eastAsia="Arial" w:hAnsi="Arial"/>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securities from us.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23" w:lineRule="exact"/>
        <w:rPr>
          <w:sz w:val="20"/>
          <w:szCs w:val="20"/>
          <w:color w:val="auto"/>
        </w:rPr>
      </w:pPr>
    </w:p>
    <w:p>
      <w:pPr>
        <w:ind w:left="100" w:right="220"/>
        <w:spacing w:after="0" w:line="253" w:lineRule="auto"/>
        <w:rPr>
          <w:sz w:val="20"/>
          <w:szCs w:val="20"/>
          <w:color w:val="auto"/>
        </w:rPr>
      </w:pPr>
      <w:r>
        <w:rPr>
          <w:rFonts w:ascii="Arial" w:cs="Arial" w:eastAsia="Arial" w:hAnsi="Arial"/>
          <w:sz w:val="17"/>
          <w:szCs w:val="17"/>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11" w:lineRule="exact"/>
        <w:rPr>
          <w:sz w:val="20"/>
          <w:szCs w:val="20"/>
          <w:color w:val="auto"/>
        </w:rPr>
      </w:pPr>
    </w:p>
    <w:p>
      <w:pPr>
        <w:ind w:left="100" w:right="20"/>
        <w:spacing w:after="0" w:line="246" w:lineRule="auto"/>
        <w:rPr>
          <w:sz w:val="20"/>
          <w:szCs w:val="20"/>
          <w:color w:val="auto"/>
        </w:rPr>
      </w:pPr>
      <w:r>
        <w:rPr>
          <w:rFonts w:ascii="Arial" w:cs="Arial" w:eastAsia="Arial" w:hAnsi="Arial"/>
          <w:sz w:val="17"/>
          <w:szCs w:val="17"/>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17" w:lineRule="exact"/>
        <w:rPr>
          <w:sz w:val="20"/>
          <w:szCs w:val="20"/>
          <w:color w:val="auto"/>
        </w:rPr>
      </w:pPr>
    </w:p>
    <w:p>
      <w:pPr>
        <w:ind w:left="100" w:right="240"/>
        <w:spacing w:after="0" w:line="253" w:lineRule="auto"/>
        <w:rPr>
          <w:sz w:val="20"/>
          <w:szCs w:val="20"/>
          <w:color w:val="auto"/>
        </w:rPr>
      </w:pPr>
      <w:r>
        <w:rPr>
          <w:rFonts w:ascii="Arial" w:cs="Arial" w:eastAsia="Arial" w:hAnsi="Arial"/>
          <w:sz w:val="17"/>
          <w:szCs w:val="17"/>
          <w:color w:val="auto"/>
        </w:rPr>
        <w:t>We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right="220"/>
        <w:spacing w:after="0" w:line="253" w:lineRule="auto"/>
        <w:rPr>
          <w:sz w:val="20"/>
          <w:szCs w:val="20"/>
          <w:color w:val="auto"/>
        </w:rPr>
      </w:pPr>
      <w:r>
        <w:rPr>
          <w:rFonts w:ascii="Arial" w:cs="Arial" w:eastAsia="Arial" w:hAnsi="Arial"/>
          <w:sz w:val="17"/>
          <w:szCs w:val="17"/>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11" w:lineRule="exact"/>
        <w:rPr>
          <w:sz w:val="20"/>
          <w:szCs w:val="20"/>
          <w:color w:val="auto"/>
        </w:rPr>
      </w:pPr>
    </w:p>
    <w:p>
      <w:pPr>
        <w:ind w:left="100"/>
        <w:spacing w:after="0" w:line="238" w:lineRule="auto"/>
        <w:rPr>
          <w:sz w:val="20"/>
          <w:szCs w:val="20"/>
          <w:color w:val="auto"/>
        </w:rPr>
      </w:pPr>
      <w:r>
        <w:rPr>
          <w:rFonts w:ascii="Arial" w:cs="Arial" w:eastAsia="Arial" w:hAnsi="Arial"/>
          <w:sz w:val="17"/>
          <w:szCs w:val="17"/>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23" w:lineRule="exact"/>
        <w:rPr>
          <w:sz w:val="20"/>
          <w:szCs w:val="20"/>
          <w:color w:val="auto"/>
        </w:rPr>
      </w:pPr>
    </w:p>
    <w:p>
      <w:pPr>
        <w:ind w:left="100" w:right="60"/>
        <w:spacing w:after="0" w:line="238" w:lineRule="auto"/>
        <w:rPr>
          <w:sz w:val="20"/>
          <w:szCs w:val="20"/>
          <w:color w:val="auto"/>
        </w:rPr>
      </w:pPr>
      <w:r>
        <w:rPr>
          <w:rFonts w:ascii="Arial" w:cs="Arial" w:eastAsia="Arial" w:hAnsi="Arial"/>
          <w:sz w:val="17"/>
          <w:szCs w:val="17"/>
          <w:color w:val="auto"/>
        </w:rPr>
        <w:t>Any underwriters or agents that are qualified market makers on The Nasdaq Global Select Market may engage in passive market making transactions in the common stock on The Nasdaq Global Select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ind w:left="100" w:right="60"/>
        <w:spacing w:after="0" w:line="246" w:lineRule="auto"/>
        <w:rPr>
          <w:sz w:val="20"/>
          <w:szCs w:val="20"/>
          <w:color w:val="auto"/>
        </w:rPr>
      </w:pPr>
      <w:r>
        <w:rPr>
          <w:rFonts w:ascii="Arial" w:cs="Arial" w:eastAsia="Arial" w:hAnsi="Arial"/>
          <w:sz w:val="17"/>
          <w:szCs w:val="17"/>
          <w:color w:val="auto"/>
        </w:rPr>
        <w:t>Cooley LLP will pass upon the validity of the securities offered by this prospectus, and any supplement thereto, unless otherwise indicated in the applicable prospectus supplement. GC&amp;H Investments, LLC, an entity that includes current and former partners and associates of Cooley LLP, beneficially owns 10,000 shares of our common stock. Additional legal matters may be passed upon for us or any underwriters, dealers or agents by counsel that we will name in the applicable prospectus supplement.</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ind w:left="100" w:right="20"/>
        <w:spacing w:after="0" w:line="246"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2019, as set forth in their report, which is incorporated by reference in this prospectus and elsewhere in this registration statement. Our consolidated financial statements are incorporated by reference in reliance on Ernst &amp; Young LLP’s report, given on their authority as experts in accounting and auditing.</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316" w:lineRule="exact"/>
        <w:rPr>
          <w:sz w:val="20"/>
          <w:szCs w:val="20"/>
          <w:color w:val="auto"/>
        </w:rPr>
      </w:pPr>
    </w:p>
    <w:p>
      <w:pPr>
        <w:ind w:left="100" w:right="80"/>
        <w:spacing w:after="0"/>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001-38853):</w:t>
      </w:r>
    </w:p>
    <w:p>
      <w:pPr>
        <w:spacing w:after="0" w:line="164" w:lineRule="exact"/>
        <w:rPr>
          <w:sz w:val="20"/>
          <w:szCs w:val="20"/>
          <w:color w:val="auto"/>
        </w:rPr>
      </w:pPr>
    </w:p>
    <w:p>
      <w:pPr>
        <w:ind w:left="960" w:hanging="438"/>
        <w:spacing w:after="0"/>
        <w:tabs>
          <w:tab w:leader="none" w:pos="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122">
        <w:r>
          <w:rPr>
            <w:rFonts w:ascii="Arial" w:cs="Arial" w:eastAsia="Arial" w:hAnsi="Arial"/>
            <w:sz w:val="17"/>
            <w:szCs w:val="17"/>
            <w:u w:val="single" w:color="auto"/>
            <w:color w:val="0000EE"/>
          </w:rPr>
          <w:t>Form 10-K</w:t>
        </w:r>
      </w:hyperlink>
      <w:r>
        <w:rPr>
          <w:rFonts w:ascii="Arial" w:cs="Arial" w:eastAsia="Arial" w:hAnsi="Arial"/>
          <w:sz w:val="17"/>
          <w:szCs w:val="17"/>
          <w:color w:val="auto"/>
        </w:rPr>
        <w:t>, for the year ended December 31, 2019, filed with the SEC on March 17, 2020;</w:t>
      </w:r>
    </w:p>
    <w:p>
      <w:pPr>
        <w:spacing w:after="0" w:line="35" w:lineRule="exact"/>
        <w:rPr>
          <w:rFonts w:ascii="Arial" w:cs="Arial" w:eastAsia="Arial" w:hAnsi="Arial"/>
          <w:sz w:val="17"/>
          <w:szCs w:val="17"/>
          <w:color w:val="auto"/>
        </w:rPr>
      </w:pPr>
    </w:p>
    <w:p>
      <w:pPr>
        <w:ind w:left="960" w:right="940" w:hanging="438"/>
        <w:spacing w:after="0" w:line="256" w:lineRule="auto"/>
        <w:tabs>
          <w:tab w:leader="none" w:pos="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our Definitive Proxy Statement on </w:t>
      </w:r>
      <w:hyperlink r:id="rId123">
        <w:r>
          <w:rPr>
            <w:rFonts w:ascii="Arial" w:cs="Arial" w:eastAsia="Arial" w:hAnsi="Arial"/>
            <w:sz w:val="17"/>
            <w:szCs w:val="17"/>
            <w:u w:val="single" w:color="auto"/>
            <w:color w:val="0000EE"/>
          </w:rPr>
          <w:t>Schedule 14A</w:t>
        </w:r>
      </w:hyperlink>
      <w:r>
        <w:rPr>
          <w:rFonts w:ascii="Arial" w:cs="Arial" w:eastAsia="Arial" w:hAnsi="Arial"/>
          <w:sz w:val="17"/>
          <w:szCs w:val="17"/>
          <w:color w:val="auto"/>
        </w:rPr>
        <w:t>, filed with the SEC on April 8, 2020 (excluding those portions that are not incorporated by reference into our Annual Report on Form 10-K for the year ended December 31, 2019);</w:t>
      </w:r>
    </w:p>
    <w:p>
      <w:pPr>
        <w:spacing w:after="0" w:line="1" w:lineRule="exact"/>
        <w:rPr>
          <w:rFonts w:ascii="Arial" w:cs="Arial" w:eastAsia="Arial" w:hAnsi="Arial"/>
          <w:sz w:val="17"/>
          <w:szCs w:val="17"/>
          <w:color w:val="auto"/>
        </w:rPr>
      </w:pPr>
    </w:p>
    <w:p>
      <w:pPr>
        <w:ind w:left="960" w:hanging="438"/>
        <w:spacing w:after="0"/>
        <w:tabs>
          <w:tab w:leader="none" w:pos="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our Quarterly Report on </w:t>
      </w:r>
      <w:hyperlink r:id="rId124">
        <w:r>
          <w:rPr>
            <w:rFonts w:ascii="Arial" w:cs="Arial" w:eastAsia="Arial" w:hAnsi="Arial"/>
            <w:sz w:val="17"/>
            <w:szCs w:val="17"/>
            <w:u w:val="single" w:color="auto"/>
            <w:color w:val="0000EE"/>
          </w:rPr>
          <w:t>Form 10-Q</w:t>
        </w:r>
      </w:hyperlink>
      <w:r>
        <w:rPr>
          <w:rFonts w:ascii="Arial" w:cs="Arial" w:eastAsia="Arial" w:hAnsi="Arial"/>
          <w:sz w:val="17"/>
          <w:szCs w:val="17"/>
          <w:color w:val="auto"/>
        </w:rPr>
        <w:t>, for the quarter ended March 31, 2020, filed with the SEC on May 13, 2020;</w:t>
      </w:r>
    </w:p>
    <w:p>
      <w:pPr>
        <w:spacing w:after="0" w:line="34" w:lineRule="exact"/>
        <w:rPr>
          <w:rFonts w:ascii="Arial" w:cs="Arial" w:eastAsia="Arial" w:hAnsi="Arial"/>
          <w:sz w:val="17"/>
          <w:szCs w:val="17"/>
          <w:color w:val="auto"/>
        </w:rPr>
      </w:pPr>
    </w:p>
    <w:p>
      <w:pPr>
        <w:ind w:left="960" w:hanging="438"/>
        <w:spacing w:after="0"/>
        <w:tabs>
          <w:tab w:leader="none" w:pos="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167">
        <w:r>
          <w:rPr>
            <w:rFonts w:ascii="Arial" w:cs="Arial" w:eastAsia="Arial" w:hAnsi="Arial"/>
            <w:sz w:val="17"/>
            <w:szCs w:val="17"/>
            <w:u w:val="single" w:color="auto"/>
            <w:color w:val="0000EE"/>
          </w:rPr>
          <w:t>February 13, 2020</w:t>
        </w:r>
      </w:hyperlink>
      <w:r>
        <w:rPr>
          <w:rFonts w:ascii="Arial" w:cs="Arial" w:eastAsia="Arial" w:hAnsi="Arial"/>
          <w:sz w:val="17"/>
          <w:szCs w:val="17"/>
          <w:color w:val="auto"/>
        </w:rPr>
        <w:t xml:space="preserve">, </w:t>
      </w:r>
      <w:hyperlink r:id="rId168">
        <w:r>
          <w:rPr>
            <w:rFonts w:ascii="Arial" w:cs="Arial" w:eastAsia="Arial" w:hAnsi="Arial"/>
            <w:sz w:val="17"/>
            <w:szCs w:val="17"/>
            <w:u w:val="single" w:color="auto"/>
            <w:color w:val="0000EE"/>
          </w:rPr>
          <w:t>February 24, 2020</w:t>
        </w:r>
      </w:hyperlink>
      <w:r>
        <w:rPr>
          <w:rFonts w:ascii="Arial" w:cs="Arial" w:eastAsia="Arial" w:hAnsi="Arial"/>
          <w:sz w:val="17"/>
          <w:szCs w:val="17"/>
          <w:color w:val="auto"/>
        </w:rPr>
        <w:t xml:space="preserve">, </w:t>
      </w:r>
      <w:hyperlink r:id="rId169">
        <w:r>
          <w:rPr>
            <w:rFonts w:ascii="Arial" w:cs="Arial" w:eastAsia="Arial" w:hAnsi="Arial"/>
            <w:sz w:val="17"/>
            <w:szCs w:val="17"/>
            <w:u w:val="single" w:color="auto"/>
            <w:color w:val="0000EE"/>
          </w:rPr>
          <w:t>March 9,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127">
        <w:r>
          <w:rPr>
            <w:rFonts w:ascii="Arial" w:cs="Arial" w:eastAsia="Arial" w:hAnsi="Arial"/>
            <w:sz w:val="17"/>
            <w:szCs w:val="17"/>
            <w:u w:val="single" w:color="auto"/>
            <w:color w:val="0000EE"/>
          </w:rPr>
          <w:t>May 27, 2020</w:t>
        </w:r>
      </w:hyperlink>
      <w:r>
        <w:rPr>
          <w:rFonts w:ascii="Arial" w:cs="Arial" w:eastAsia="Arial" w:hAnsi="Arial"/>
          <w:sz w:val="17"/>
          <w:szCs w:val="17"/>
          <w:color w:val="auto"/>
        </w:rPr>
        <w:t>; and</w:t>
      </w:r>
    </w:p>
    <w:p>
      <w:pPr>
        <w:spacing w:after="0" w:line="34" w:lineRule="exact"/>
        <w:rPr>
          <w:rFonts w:ascii="Arial" w:cs="Arial" w:eastAsia="Arial" w:hAnsi="Arial"/>
          <w:sz w:val="17"/>
          <w:szCs w:val="17"/>
          <w:color w:val="auto"/>
        </w:rPr>
      </w:pPr>
    </w:p>
    <w:p>
      <w:pPr>
        <w:ind w:left="960" w:right="620" w:hanging="438"/>
        <w:spacing w:after="0" w:line="273" w:lineRule="auto"/>
        <w:tabs>
          <w:tab w:leader="none" w:pos="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set forth in our registration statement on </w:t>
      </w:r>
      <w:hyperlink r:id="rId129">
        <w:r>
          <w:rPr>
            <w:rFonts w:ascii="Arial" w:cs="Arial" w:eastAsia="Arial" w:hAnsi="Arial"/>
            <w:sz w:val="17"/>
            <w:szCs w:val="17"/>
            <w:u w:val="single" w:color="auto"/>
            <w:color w:val="0000EE"/>
          </w:rPr>
          <w:t>Form 8-A</w:t>
        </w:r>
      </w:hyperlink>
      <w:r>
        <w:rPr>
          <w:rFonts w:ascii="Arial" w:cs="Arial" w:eastAsia="Arial" w:hAnsi="Arial"/>
          <w:sz w:val="17"/>
          <w:szCs w:val="17"/>
          <w:color w:val="auto"/>
        </w:rPr>
        <w:t>, filed with the SEC on March 29, 2019, including any amendment or report filed for the purpose of updating such description.</w:t>
      </w:r>
    </w:p>
    <w:p>
      <w:pPr>
        <w:spacing w:after="0" w:line="91"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spacing w:after="0" w:line="236"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NGM Biopharmaceuticals,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333 Oyster Point Boulevard</w:t>
      </w:r>
    </w:p>
    <w:p>
      <w:pPr>
        <w:jc w:val="center"/>
        <w:ind w:right="-99"/>
        <w:spacing w:after="0" w:line="232" w:lineRule="auto"/>
        <w:rPr>
          <w:sz w:val="20"/>
          <w:szCs w:val="20"/>
          <w:color w:val="auto"/>
        </w:rPr>
      </w:pPr>
      <w:r>
        <w:rPr>
          <w:rFonts w:ascii="Arial" w:cs="Arial" w:eastAsia="Arial" w:hAnsi="Arial"/>
          <w:sz w:val="17"/>
          <w:szCs w:val="17"/>
          <w:color w:val="auto"/>
        </w:rPr>
        <w:t>South San Francisco, California 94080</w:t>
      </w:r>
    </w:p>
    <w:p>
      <w:pPr>
        <w:jc w:val="both"/>
        <w:ind w:left="5060" w:right="4960" w:hanging="20"/>
        <w:spacing w:after="0" w:line="278" w:lineRule="auto"/>
        <w:tabs>
          <w:tab w:leader="none" w:pos="5487" w:val="left"/>
        </w:tabs>
        <w:numPr>
          <w:ilvl w:val="0"/>
          <w:numId w:val="74"/>
        </w:numPr>
        <w:rPr>
          <w:rFonts w:ascii="Arial" w:cs="Arial" w:eastAsia="Arial" w:hAnsi="Arial"/>
          <w:sz w:val="16"/>
          <w:szCs w:val="16"/>
          <w:color w:val="auto"/>
        </w:rPr>
      </w:pPr>
      <w:r>
        <w:rPr>
          <w:rFonts w:ascii="Arial" w:cs="Arial" w:eastAsia="Arial" w:hAnsi="Arial"/>
          <w:sz w:val="16"/>
          <w:szCs w:val="16"/>
          <w:color w:val="auto"/>
        </w:rPr>
        <w:t>392-1768 Attn: Secretary</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60"/>
          </w:cols>
          <w:pgMar w:left="320" w:top="455" w:right="419" w:bottom="1440" w:gutter="0" w:footer="0" w:header="0"/>
        </w:sectPr>
      </w:pPr>
    </w:p>
    <w:bookmarkStart w:id="123" w:name="page124"/>
    <w:bookmarkEnd w:id="12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292735</wp:posOffset>
            </wp:positionV>
            <wp:extent cx="6995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500"/>
          </w:cols>
          <w:pgMar w:left="320" w:top="45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Arial" w:cs="Arial" w:eastAsia="Arial" w:hAnsi="Arial"/>
          <w:sz w:val="25"/>
          <w:szCs w:val="25"/>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256540</wp:posOffset>
            </wp:positionV>
            <wp:extent cx="1345565" cy="7372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134556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00"/>
        <w:spacing w:after="0"/>
        <w:rPr>
          <w:sz w:val="20"/>
          <w:szCs w:val="20"/>
          <w:color w:val="auto"/>
        </w:rPr>
      </w:pPr>
      <w:r>
        <w:rPr>
          <w:rFonts w:ascii="Arial" w:cs="Arial" w:eastAsia="Arial" w:hAnsi="Arial"/>
          <w:sz w:val="32"/>
          <w:szCs w:val="32"/>
          <w:b w:val="1"/>
          <w:bCs w:val="1"/>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39"/>
        <w:spacing w:after="0"/>
        <w:rPr>
          <w:sz w:val="20"/>
          <w:szCs w:val="20"/>
          <w:color w:val="auto"/>
        </w:rPr>
      </w:pPr>
      <w:r>
        <w:rPr>
          <w:rFonts w:ascii="Arial" w:cs="Arial" w:eastAsia="Arial" w:hAnsi="Arial"/>
          <w:sz w:val="25"/>
          <w:szCs w:val="25"/>
          <w:color w:val="auto"/>
        </w:rPr>
        <w:t>Common Stock</w:t>
      </w:r>
    </w:p>
    <w:p>
      <w:pPr>
        <w:spacing w:after="0" w:line="195" w:lineRule="exact"/>
        <w:rPr>
          <w:sz w:val="20"/>
          <w:szCs w:val="20"/>
          <w:color w:val="auto"/>
        </w:rPr>
      </w:pPr>
    </w:p>
    <w:p>
      <w:pPr>
        <w:jc w:val="center"/>
        <w:ind w:right="-739"/>
        <w:spacing w:after="0"/>
        <w:rPr>
          <w:sz w:val="20"/>
          <w:szCs w:val="20"/>
          <w:color w:val="auto"/>
        </w:rPr>
      </w:pPr>
      <w:r>
        <w:rPr>
          <w:rFonts w:ascii="Arial" w:cs="Arial" w:eastAsia="Arial" w:hAnsi="Arial"/>
          <w:sz w:val="25"/>
          <w:szCs w:val="25"/>
          <w:b w:val="1"/>
          <w:bCs w:val="1"/>
          <w:color w:val="auto"/>
        </w:rPr>
        <w:t>PRELIMINARY PROSPECTUS SUPPLEMENT</w:t>
      </w:r>
    </w:p>
    <w:p>
      <w:pPr>
        <w:spacing w:after="0" w:line="226" w:lineRule="exact"/>
        <w:rPr>
          <w:sz w:val="20"/>
          <w:szCs w:val="20"/>
          <w:color w:val="auto"/>
        </w:rPr>
      </w:pPr>
    </w:p>
    <w:p>
      <w:pPr>
        <w:ind w:left="120"/>
        <w:spacing w:after="0"/>
        <w:tabs>
          <w:tab w:leader="none" w:pos="6600" w:val="left"/>
          <w:tab w:leader="none" w:pos="966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2428240</wp:posOffset>
            </wp:positionV>
            <wp:extent cx="6995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2479675</wp:posOffset>
            </wp:positionV>
            <wp:extent cx="699516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0500"/>
      </w:cols>
      <w:pgMar w:left="320" w:top="455" w:right="10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decimal"/>
      <w:start w:val="1"/>
    </w:lvl>
  </w:abstractNum>
  <w:abstractNum w:abstractNumId="1">
    <w:nsid w:val="5C482A97"/>
    <w:multiLevelType w:val="hybridMultilevel"/>
    <w:lvl w:ilvl="0">
      <w:lvlJc w:val="left"/>
      <w:lvlText w:val="1"/>
      <w:numFmt w:val="bullet"/>
      <w:start w:val="1"/>
    </w:lvl>
  </w:abstractNum>
  <w:abstractNum w:abstractNumId="2">
    <w:nsid w:val="2463B9EA"/>
    <w:multiLevelType w:val="hybridMultilevel"/>
    <w:lvl w:ilvl="0">
      <w:lvlJc w:val="left"/>
      <w:lvlText w:val="2"/>
      <w:numFmt w:val="bullet"/>
      <w:start w:val="1"/>
    </w:lvl>
  </w:abstractNum>
  <w:abstractNum w:abstractNumId="3">
    <w:nsid w:val="5E884ADC"/>
    <w:multiLevelType w:val="hybridMultilevel"/>
    <w:lvl w:ilvl="0">
      <w:lvlJc w:val="left"/>
      <w:lvlText w:val="3"/>
      <w:numFmt w:val="bullet"/>
      <w:start w:val="1"/>
    </w:lvl>
  </w:abstractNum>
  <w:abstractNum w:abstractNumId="4">
    <w:nsid w:val="51EAD36B"/>
    <w:multiLevelType w:val="hybridMultilevel"/>
    <w:lvl w:ilvl="0">
      <w:lvlJc w:val="left"/>
      <w:lvlText w:val="4"/>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1)"/>
      <w:numFmt w:val="lowerRoman"/>
      <w:start w:val="2"/>
    </w:lvl>
  </w:abstractNum>
  <w:abstractNum w:abstractNumId="41">
    <w:nsid w:val="235BA861"/>
    <w:multiLevelType w:val="hybridMultilevel"/>
    <w:lvl w:ilvl="0">
      <w:lvlJc w:val="left"/>
      <w:lvlText w:val="(%1)"/>
      <w:numFmt w:val="lowerLetter"/>
      <w:start w:val="1"/>
    </w:lvl>
  </w:abstractNum>
  <w:abstractNum w:abstractNumId="42">
    <w:nsid w:val="47398C89"/>
    <w:multiLevelType w:val="hybridMultilevel"/>
    <w:lvl w:ilvl="0">
      <w:lvlJc w:val="left"/>
      <w:lvlText w:val="(%1)"/>
      <w:numFmt w:val="lowerRoman"/>
      <w:start w:val="2"/>
    </w:lvl>
  </w:abstractNum>
  <w:abstractNum w:abstractNumId="43">
    <w:nsid w:val="354FE9F9"/>
    <w:multiLevelType w:val="hybridMultilevel"/>
    <w:lvl w:ilvl="0">
      <w:lvlJc w:val="left"/>
      <w:lvlText w:val="(%1)"/>
      <w:numFmt w:val="lowerLetter"/>
      <w:start w:val="1"/>
    </w:lvl>
    <w:lvl w:ilvl="1">
      <w:lvlJc w:val="left"/>
      <w:lvlText w:val="(%2)"/>
      <w:numFmt w:val="lowerRoman"/>
      <w:start w:val="1"/>
    </w:lvl>
  </w:abstractNum>
  <w:abstractNum w:abstractNumId="44">
    <w:nsid w:val="15B5AF5C"/>
    <w:multiLevelType w:val="hybridMultilevel"/>
    <w:lvl w:ilvl="0">
      <w:lvlJc w:val="left"/>
      <w:lvlText w:val="(%1)"/>
      <w:numFmt w:val="lowerLetter"/>
      <w:start w:val="2"/>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1)"/>
      <w:numFmt w:val="decimal"/>
      <w:start w:val="650"/>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jpe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jpeg"/><Relationship Id="rId175" Type="http://schemas.openxmlformats.org/officeDocument/2006/relationships/image" Target="media/image156.png"/><Relationship Id="rId176" Type="http://schemas.openxmlformats.org/officeDocument/2006/relationships/image" Target="media/image157.png"/><Relationship Id="rId122" Type="http://schemas.openxmlformats.org/officeDocument/2006/relationships/hyperlink" Target="http://www.sec.gov/Archives/edgar/data/1426332/000156459020011422/ngm-10k_20191231.htm" TargetMode="External"/><Relationship Id="rId123" Type="http://schemas.openxmlformats.org/officeDocument/2006/relationships/hyperlink" Target="http://www.sec.gov/Archives/edgar/data/1426332/000156459020015813/ngm-def14a_20200520.htm" TargetMode="External"/><Relationship Id="rId124" Type="http://schemas.openxmlformats.org/officeDocument/2006/relationships/hyperlink" Target="http://www.sec.gov/Archives/edgar/data/1426332/000156459020025077/ngm-10q_20200331.htm" TargetMode="External"/><Relationship Id="rId125" Type="http://schemas.openxmlformats.org/officeDocument/2006/relationships/hyperlink" Target="http://www.sec.gov/Archives/edgar/data/1426332/000156459020039692/ngm-10q_20200630.htm" TargetMode="External"/><Relationship Id="rId126" Type="http://schemas.openxmlformats.org/officeDocument/2006/relationships/hyperlink" Target="http://www.sec.gov/Archives/edgar/data/1426332/000156459020053614/ngm-10q_20200930.htm" TargetMode="External"/><Relationship Id="rId127" Type="http://schemas.openxmlformats.org/officeDocument/2006/relationships/hyperlink" Target="http://www.sec.gov/Archives/edgar/data/1426332/000156459020027030/ngm-8k_20200520.htm" TargetMode="External"/><Relationship Id="rId128" Type="http://schemas.openxmlformats.org/officeDocument/2006/relationships/hyperlink" Target="http://www.sec.gov/Archives/edgar/data/1426332/000156459020028617/ngm-8k_20200605.htm" TargetMode="External"/><Relationship Id="rId129" Type="http://schemas.openxmlformats.org/officeDocument/2006/relationships/hyperlink" Target="http://www.sec.gov/Archives/edgar/data/1426332/000119312519092888/d730351d8a12b.htm" TargetMode="External"/><Relationship Id="rId130" Type="http://schemas.openxmlformats.org/officeDocument/2006/relationships/hyperlink" Target="http://www.sec.gov/Archives/edgar/data/1426332/000156459020011422/ngm-ex43_293.htm" TargetMode="External"/><Relationship Id="rId167" Type="http://schemas.openxmlformats.org/officeDocument/2006/relationships/hyperlink" Target="http://www.sec.gov/Archives/edgar/data/1426332/000156459020004611/ngm-8k_20200211.htm" TargetMode="External"/><Relationship Id="rId168" Type="http://schemas.openxmlformats.org/officeDocument/2006/relationships/hyperlink" Target="http://www.sec.gov/Archives/edgar/data/1426332/000156459020005893/ngm-8k_20200224.htm" TargetMode="External"/><Relationship Id="rId169" Type="http://schemas.openxmlformats.org/officeDocument/2006/relationships/hyperlink" Target="http://www.sec.gov/Archives/edgar/data/1426332/000156459020009378/ngm-8k_202003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2021-01-04T15:12:34Z</dcterms:created>
  <dcterms:modified xsi:type="dcterms:W3CDTF">2021-01-04T15:12:34Z</dcterms:modified>
</cp:coreProperties>
</file>