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654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05/07/2019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5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102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40" w:type="dxa"/>
            <w:vAlign w:val="bottom"/>
            <w:gridSpan w:val="9"/>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274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 or</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Arial" w:cs="Arial" w:eastAsia="Arial" w:hAnsi="Arial"/>
                <w:sz w:val="18"/>
                <w:szCs w:val="18"/>
                <w:color w:val="0000FF"/>
              </w:rPr>
              <w:t>05/07/2019</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0000FF"/>
              </w:rPr>
              <w:t>57,000</w:t>
            </w:r>
            <w:r>
              <w:rPr>
                <w:rFonts w:ascii="Arial" w:cs="Arial" w:eastAsia="Arial" w:hAnsi="Arial"/>
                <w:sz w:val="22"/>
                <w:szCs w:val="22"/>
                <w:color w:val="008000"/>
                <w:vertAlign w:val="superscript"/>
              </w:rPr>
              <w:t>(1)</w:t>
            </w:r>
          </w:p>
        </w:tc>
        <w:tc>
          <w:tcPr>
            <w:tcW w:w="400" w:type="dxa"/>
            <w:vAlign w:val="bottom"/>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14.1</w:t>
            </w:r>
          </w:p>
        </w:tc>
        <w:tc>
          <w:tcPr>
            <w:tcW w:w="60" w:type="dxa"/>
            <w:vAlign w:val="bottom"/>
          </w:tcPr>
          <w:p>
            <w:pPr>
              <w:spacing w:after="0"/>
              <w:rPr>
                <w:sz w:val="24"/>
                <w:szCs w:val="24"/>
                <w:color w:val="auto"/>
              </w:rPr>
            </w:pPr>
          </w:p>
        </w:tc>
        <w:tc>
          <w:tcPr>
            <w:tcW w:w="1140" w:type="dxa"/>
            <w:vAlign w:val="bottom"/>
            <w:gridSpan w:val="2"/>
          </w:tcPr>
          <w:p>
            <w:pPr>
              <w:jc w:val="center"/>
              <w:ind w:right="73"/>
              <w:spacing w:after="0"/>
              <w:rPr>
                <w:sz w:val="20"/>
                <w:szCs w:val="20"/>
                <w:color w:val="auto"/>
              </w:rPr>
            </w:pPr>
            <w:r>
              <w:rPr>
                <w:rFonts w:ascii="Arial" w:cs="Arial" w:eastAsia="Arial" w:hAnsi="Arial"/>
                <w:sz w:val="18"/>
                <w:szCs w:val="18"/>
                <w:color w:val="0000FF"/>
                <w:w w:val="88"/>
              </w:rPr>
              <w:t>15,501,091</w:t>
            </w:r>
            <w:r>
              <w:rPr>
                <w:rFonts w:ascii="Arial" w:cs="Arial" w:eastAsia="Arial" w:hAnsi="Arial"/>
                <w:sz w:val="22"/>
                <w:szCs w:val="22"/>
                <w:color w:val="008000"/>
                <w:w w:val="88"/>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(3)(4)(5)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(6)(7)(8)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right"/>
              <w:ind w:right="313"/>
              <w:spacing w:after="0"/>
              <w:rPr>
                <w:sz w:val="20"/>
                <w:szCs w:val="20"/>
                <w:color w:val="auto"/>
              </w:rPr>
            </w:pPr>
            <w:r>
              <w:rPr>
                <w:rFonts w:ascii="Arial" w:cs="Arial" w:eastAsia="Arial" w:hAnsi="Arial"/>
                <w:sz w:val="18"/>
                <w:szCs w:val="18"/>
                <w:color w:val="0000FF"/>
              </w:rPr>
              <w:t>20,000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32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40" w:type="dxa"/>
            <w:vAlign w:val="bottom"/>
            <w:gridSpan w:val="13"/>
          </w:tcPr>
          <w:p>
            <w:pPr>
              <w:jc w:val="center"/>
              <w:ind w:right="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2"/>
              </w:rPr>
              <w:t>Date</w:t>
            </w:r>
          </w:p>
        </w:tc>
        <w:tc>
          <w:tcPr>
            <w:tcW w:w="124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28,500 shares held directly by Ponoi Capital, LP ("Ponoi LP") and 28,500 shares held directly by Ponoi Capital II, LP ("Ponoi II LP").</w:t>
      </w:r>
    </w:p>
    <w:p>
      <w:pPr>
        <w:spacing w:after="0" w:line="41" w:lineRule="exact"/>
        <w:rPr>
          <w:rFonts w:ascii="Arial" w:cs="Arial" w:eastAsia="Arial" w:hAnsi="Arial"/>
          <w:sz w:val="14"/>
          <w:szCs w:val="14"/>
          <w:color w:val="008000"/>
        </w:rPr>
      </w:pPr>
    </w:p>
    <w:p>
      <w:pPr>
        <w:ind w:left="40" w:right="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966,000 shares of Common Stock held directly by Ponoi LP and 966,000 shares of Common Stock held directly by Ponoi II LP. The Reporting Person disclaims beneficial ownership of the securities except to the extent of his pecuniary interest therein.</w:t>
      </w:r>
    </w:p>
    <w:p>
      <w:pPr>
        <w:spacing w:after="0" w:line="3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tbl>
      <w:tblPr>
        <w:tblLayout w:type="fixed"/>
        <w:tblInd w:w="6860" w:type="dxa"/>
        <w:tblCellMar>
          <w:top w:w="0" w:type="dxa"/>
          <w:left w:w="0" w:type="dxa"/>
          <w:bottom w:w="0" w:type="dxa"/>
          <w:right w:w="0" w:type="dxa"/>
        </w:tblCellMar>
      </w:tblPr>
      <w:tr>
        <w:trPr>
          <w:trHeight w:val="199"/>
        </w:trPr>
        <w:tc>
          <w:tcPr>
            <w:tcW w:w="15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05/09/2019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2019-12-24T08:49:50Z</dcterms:created>
  <dcterms:modified xsi:type="dcterms:W3CDTF">2019-12-24T08:49:50Z</dcterms:modified>
</cp:coreProperties>
</file>