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6"/>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07/24/2020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0000FF"/>
              </w:rPr>
              <w:t>68,749</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17.93</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1,609,013</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07/27/2020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32"/>
              <w:spacing w:after="0"/>
              <w:rPr>
                <w:sz w:val="20"/>
                <w:szCs w:val="20"/>
                <w:color w:val="auto"/>
              </w:rPr>
            </w:pPr>
            <w:r>
              <w:rPr>
                <w:rFonts w:ascii="Arial" w:cs="Arial" w:eastAsia="Arial" w:hAnsi="Arial"/>
                <w:sz w:val="17"/>
                <w:szCs w:val="17"/>
                <w:color w:val="0000FF"/>
              </w:rPr>
              <w:t>3,834</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17.99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1,612,847</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44,000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0000FF"/>
                <w:w w:val="91"/>
              </w:rPr>
              <w:t>190,000</w:t>
            </w:r>
          </w:p>
        </w:tc>
        <w:tc>
          <w:tcPr>
            <w:tcW w:w="3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-6726555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FRANCISCO</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GOEDDEL DAVID V</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Svennilson Peter</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-8258175</wp:posOffset>
            </wp:positionV>
            <wp:extent cx="2783840" cy="8326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783840" cy="832612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32,287 shares of Common Stock held directly by The Column Group III, LP ("TCG III LP") and 36,462 shares of Common Stock held directly by The Column Group III-A, LP ("TCG III-A LP").</w:t>
      </w:r>
    </w:p>
    <w:p>
      <w:pPr>
        <w:spacing w:after="0" w:line="1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1,801 shares of Common Stock held directly by TCG III LP and 2,033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w:t>
      </w:r>
    </w:p>
    <w:p>
      <w:pPr>
        <w:sectPr>
          <w:pgSz w:w="11900" w:h="16838" w:orient="portrait"/>
          <w:cols w:equalWidth="0" w:num="1">
            <w:col w:w="10900"/>
          </w:cols>
          <w:pgMar w:left="480" w:top="131" w:right="519" w:bottom="0" w:gutter="0" w:footer="0" w:header="0"/>
        </w:sectPr>
      </w:pPr>
    </w:p>
    <w:bookmarkStart w:id="2" w:name="page3"/>
    <w:bookmarkEnd w:id="2"/>
    <w:p>
      <w:pPr>
        <w:spacing w:after="0"/>
        <w:rPr>
          <w:sz w:val="20"/>
          <w:szCs w:val="20"/>
          <w:color w:val="auto"/>
        </w:rPr>
      </w:pPr>
      <w:r>
        <w:rPr>
          <w:rFonts w:ascii="Arial" w:cs="Arial" w:eastAsia="Arial" w:hAnsi="Arial"/>
          <w:sz w:val="12"/>
          <w:szCs w:val="12"/>
          <w:color w:val="008000"/>
        </w:rPr>
        <w:t>investment power with respect to such shares. Each individual managing partner disclaims beneficial ownership of these shares, except to the extent of his pecuniary interest in such shares.</w:t>
      </w:r>
    </w:p>
    <w:p>
      <w:pPr>
        <w:spacing w:after="0" w:line="62" w:lineRule="exact"/>
        <w:rPr>
          <w:sz w:val="20"/>
          <w:szCs w:val="20"/>
          <w:color w:val="auto"/>
        </w:rPr>
      </w:pPr>
    </w:p>
    <w:p>
      <w:pPr>
        <w:ind w:right="140" w:firstLine="7"/>
        <w:spacing w:after="0" w:line="30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right="140"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right="4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07/28/2020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0965" TargetMode="External"/><Relationship Id="rId20" Type="http://schemas.openxmlformats.org/officeDocument/2006/relationships/hyperlink" Target="http://www.sec.gov/cgi-bin/browse-edgar?action=getcompany&amp;CIK=0001182464" TargetMode="External"/><Relationship Id="rId21"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2020-07-28T16:41:47Z</dcterms:created>
  <dcterms:modified xsi:type="dcterms:W3CDTF">2020-07-28T16:41:47Z</dcterms:modified>
</cp:coreProperties>
</file>