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01/10/2023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92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920" w:type="dxa"/>
            <w:vAlign w:val="bottom"/>
            <w:gridSpan w:val="8"/>
            <w:vMerge w:val="continue"/>
          </w:tcPr>
          <w:p>
            <w:pPr>
              <w:spacing w:after="0"/>
              <w:rPr>
                <w:sz w:val="8"/>
                <w:szCs w:val="8"/>
                <w:color w:val="auto"/>
              </w:rPr>
            </w:pPr>
          </w:p>
        </w:tc>
        <w:tc>
          <w:tcPr>
            <w:tcW w:w="334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40" w:type="dxa"/>
            <w:vAlign w:val="bottom"/>
            <w:gridSpan w:val="9"/>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1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01/10/2023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100,070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4.8418</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480,542</w:t>
            </w:r>
          </w:p>
        </w:tc>
        <w:tc>
          <w:tcPr>
            <w:tcW w:w="340" w:type="dxa"/>
            <w:vAlign w:val="bottom"/>
          </w:tcPr>
          <w:p>
            <w:pPr>
              <w:spacing w:after="0"/>
              <w:rPr>
                <w:sz w:val="21"/>
                <w:szCs w:val="21"/>
                <w:color w:val="auto"/>
              </w:rPr>
            </w:pPr>
          </w:p>
        </w:tc>
        <w:tc>
          <w:tcPr>
            <w:tcW w:w="580" w:type="dxa"/>
            <w:vAlign w:val="bottom"/>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Times New Roman" w:cs="Times New Roman" w:eastAsia="Times New Roman" w:hAnsi="Times New Roman"/>
                <w:sz w:val="17"/>
                <w:szCs w:val="17"/>
                <w:color w:val="0000FF"/>
              </w:rPr>
              <w:t>01/11/2023</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209,000</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4.76</w:t>
            </w: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689,542</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130,000</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61"/>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190,000</w:t>
            </w:r>
          </w:p>
        </w:tc>
        <w:tc>
          <w:tcPr>
            <w:tcW w:w="340" w:type="dxa"/>
            <w:vAlign w:val="bottom"/>
          </w:tcPr>
          <w:p>
            <w:pPr>
              <w:spacing w:after="0"/>
              <w:rPr>
                <w:sz w:val="21"/>
                <w:szCs w:val="21"/>
                <w:color w:val="auto"/>
              </w:rPr>
            </w:pPr>
          </w:p>
        </w:tc>
        <w:tc>
          <w:tcPr>
            <w:tcW w:w="580" w:type="dxa"/>
            <w:vAlign w:val="bottom"/>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2,650,177</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90,442</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11,103,333</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858,035</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968,990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2,265,758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6"/>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301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3018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price reported in Column 4 is a weighted average price. These shares were acquired in multiple transactions at prices ranging from $4.70 to $4.98, inclusive. The Reporting Persons undertake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2"/>
          </w:tcPr>
          <w:p>
            <w:pPr>
              <w:ind w:left="40"/>
              <w:spacing w:after="0" w:line="80" w:lineRule="exact"/>
              <w:rPr>
                <w:sz w:val="20"/>
                <w:szCs w:val="20"/>
                <w:color w:val="auto"/>
              </w:rPr>
            </w:pPr>
            <w:r>
              <w:rPr>
                <w:rFonts w:ascii="Times New Roman" w:cs="Times New Roman" w:eastAsia="Times New Roman" w:hAnsi="Times New Roman"/>
                <w:sz w:val="9"/>
                <w:szCs w:val="9"/>
                <w:color w:val="008000"/>
              </w:rPr>
              <w:t>provide to the Issuer or the staff of the Securities and Exchange Commission, upon request, full information regarding the number of shares acquired at each separate price within the ranges set forth in</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0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6"/>
        </w:trPr>
        <w:tc>
          <w:tcPr>
            <w:tcW w:w="26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3"/>
                <w:szCs w:val="13"/>
                <w:color w:val="008000"/>
              </w:rPr>
              <w:t>this footnote 1 to this Form 4.</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2"/>
          </w:tcPr>
          <w:p>
            <w:pPr>
              <w:ind w:left="40"/>
              <w:spacing w:after="0" w:line="27" w:lineRule="exact"/>
              <w:rPr>
                <w:sz w:val="20"/>
                <w:szCs w:val="20"/>
                <w:color w:val="auto"/>
              </w:rPr>
            </w:pPr>
            <w:r>
              <w:rPr>
                <w:rFonts w:ascii="Times New Roman" w:cs="Times New Roman" w:eastAsia="Times New Roman" w:hAnsi="Times New Roman"/>
                <w:sz w:val="3"/>
                <w:szCs w:val="3"/>
                <w:color w:val="008000"/>
              </w:rPr>
              <w:t>2. The securities are directly held by The Column Group Opportunity III, LP ("TCG Opportunity III LP"). The Column Group Opportunity III GP, LP ("TCG Opportunity III GP LP") is the general</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0"/>
        <w:spacing w:after="0" w:line="196" w:lineRule="auto"/>
        <w:rPr>
          <w:sz w:val="20"/>
          <w:szCs w:val="20"/>
          <w:color w:val="auto"/>
        </w:rPr>
      </w:pPr>
      <w:r>
        <w:rPr>
          <w:rFonts w:ascii="Times New Roman" w:cs="Times New Roman" w:eastAsia="Times New Roman" w:hAnsi="Times New Roman"/>
          <w:sz w:val="11"/>
          <w:szCs w:val="11"/>
          <w:color w:val="008000"/>
        </w:rPr>
        <w:t>partner of TCG Opportunity III LP and may be deemed to have voting, investment and dispositive power with respect to these securities. TCG Opportunity III GP, LLC ("TCG Opportunity III GP LLC")</w:t>
      </w:r>
    </w:p>
    <w:p>
      <w:pPr>
        <w:ind w:left="4680"/>
        <w:spacing w:after="0" w:line="180" w:lineRule="auto"/>
        <w:rPr>
          <w:sz w:val="20"/>
          <w:szCs w:val="20"/>
          <w:color w:val="auto"/>
        </w:rPr>
      </w:pPr>
      <w:r>
        <w:rPr>
          <w:rFonts w:ascii="Arial" w:cs="Arial" w:eastAsia="Arial" w:hAnsi="Arial"/>
          <w:sz w:val="5"/>
          <w:szCs w:val="5"/>
          <w:b w:val="1"/>
          <w:bCs w:val="1"/>
          <w:color w:val="auto"/>
        </w:rPr>
        <w:t>and 5)</w:t>
      </w:r>
    </w:p>
    <w:p>
      <w:pPr>
        <w:ind w:left="40" w:right="440"/>
        <w:spacing w:after="0" w:line="242" w:lineRule="auto"/>
        <w:rPr>
          <w:sz w:val="20"/>
          <w:szCs w:val="20"/>
          <w:color w:val="auto"/>
        </w:rPr>
      </w:pPr>
      <w:r>
        <w:rPr>
          <w:rFonts w:ascii="Times New Roman" w:cs="Times New Roman" w:eastAsia="Times New Roman" w:hAnsi="Times New Roman"/>
          <w:sz w:val="13"/>
          <w:szCs w:val="13"/>
          <w:color w:val="008000"/>
        </w:rPr>
        <w:t>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7" w:lineRule="exact"/>
        <w:rPr>
          <w:sz w:val="20"/>
          <w:szCs w:val="20"/>
          <w:color w:val="auto"/>
        </w:rPr>
      </w:pPr>
    </w:p>
    <w:p>
      <w:pPr>
        <w:ind w:left="40" w:right="640"/>
        <w:spacing w:after="0" w:line="194" w:lineRule="auto"/>
        <w:rPr>
          <w:sz w:val="20"/>
          <w:szCs w:val="20"/>
          <w:color w:val="auto"/>
        </w:rPr>
      </w:pPr>
      <w:r>
        <w:rPr>
          <w:rFonts w:ascii="Times New Roman" w:cs="Times New Roman" w:eastAsia="Times New Roman" w:hAnsi="Times New Roman"/>
          <w:sz w:val="12"/>
          <w:szCs w:val="12"/>
          <w:color w:val="008000"/>
        </w:rPr>
        <w:t>3. (Continued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ind w:left="7340"/>
        <w:spacing w:after="0" w:line="233" w:lineRule="auto"/>
        <w:rPr>
          <w:sz w:val="20"/>
          <w:szCs w:val="20"/>
          <w:color w:val="auto"/>
        </w:rPr>
      </w:pPr>
      <w:r>
        <w:rPr>
          <w:rFonts w:ascii="Arial" w:cs="Arial" w:eastAsia="Arial" w:hAnsi="Arial"/>
          <w:sz w:val="12"/>
          <w:szCs w:val="12"/>
          <w:b w:val="1"/>
          <w:bCs w:val="1"/>
          <w:color w:val="auto"/>
        </w:rPr>
        <w:t>Amount</w:t>
      </w:r>
    </w:p>
    <w:p>
      <w:pPr>
        <w:ind w:left="40"/>
        <w:spacing w:after="0" w:line="214" w:lineRule="auto"/>
        <w:rPr>
          <w:sz w:val="20"/>
          <w:szCs w:val="20"/>
          <w:color w:val="auto"/>
        </w:rPr>
      </w:pPr>
      <w:r>
        <w:rPr>
          <w:rFonts w:ascii="Times New Roman" w:cs="Times New Roman" w:eastAsia="Times New Roman" w:hAnsi="Times New Roman"/>
          <w:sz w:val="13"/>
          <w:szCs w:val="13"/>
          <w:color w:val="008000"/>
        </w:rPr>
        <w:t>4. The securities are directly held by the David V. Goeddel and Alena Z. Goeddel 2004 Trust for which the Reporting Person and Alena Z</w:t>
      </w:r>
      <w:r>
        <w:rPr>
          <w:rFonts w:ascii="Arial" w:cs="Arial" w:eastAsia="Arial" w:hAnsi="Arial"/>
          <w:sz w:val="11"/>
          <w:szCs w:val="11"/>
          <w:b w:val="1"/>
          <w:bCs w:val="1"/>
          <w:color w:val="000000"/>
        </w:rPr>
        <w:t>or</w:t>
      </w:r>
      <w:r>
        <w:rPr>
          <w:rFonts w:ascii="Times New Roman" w:cs="Times New Roman" w:eastAsia="Times New Roman" w:hAnsi="Times New Roman"/>
          <w:sz w:val="13"/>
          <w:szCs w:val="13"/>
          <w:color w:val="008000"/>
        </w:rPr>
        <w:t>. Goeddel serve as co-trustee.</w:t>
      </w:r>
    </w:p>
    <w:p>
      <w:pPr>
        <w:ind w:left="7340"/>
        <w:spacing w:after="0" w:line="182" w:lineRule="auto"/>
        <w:rPr>
          <w:sz w:val="20"/>
          <w:szCs w:val="20"/>
          <w:color w:val="auto"/>
        </w:rPr>
      </w:pPr>
      <w:r>
        <w:rPr>
          <w:rFonts w:ascii="Arial" w:cs="Arial" w:eastAsia="Arial" w:hAnsi="Arial"/>
          <w:sz w:val="8"/>
          <w:szCs w:val="8"/>
          <w:b w:val="1"/>
          <w:bCs w:val="1"/>
          <w:color w:val="auto"/>
        </w:rPr>
        <w:t>Number</w:t>
      </w:r>
    </w:p>
    <w:p>
      <w:pPr>
        <w:ind w:left="40"/>
        <w:spacing w:after="0" w:line="190" w:lineRule="auto"/>
        <w:rPr>
          <w:sz w:val="20"/>
          <w:szCs w:val="20"/>
          <w:color w:val="auto"/>
        </w:rPr>
      </w:pPr>
      <w:r>
        <w:rPr>
          <w:rFonts w:ascii="Times New Roman" w:cs="Times New Roman" w:eastAsia="Times New Roman" w:hAnsi="Times New Roman"/>
          <w:sz w:val="7"/>
          <w:szCs w:val="7"/>
          <w:color w:val="008000"/>
        </w:rPr>
        <w:t>5. The securities are directly held by The Column Group IV, LP ("TCG IV LP"). The Column Group IV GP, LP ("TCG IV GP LP") is the general partner of TCG IV LP and may be deemed to have</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p>
      <w:pPr>
        <w:ind w:left="40"/>
        <w:spacing w:after="0" w:line="183" w:lineRule="auto"/>
        <w:rPr>
          <w:sz w:val="20"/>
          <w:szCs w:val="20"/>
          <w:color w:val="auto"/>
        </w:rPr>
      </w:pPr>
      <w:r>
        <w:rPr>
          <w:rFonts w:ascii="Times New Roman" w:cs="Times New Roman" w:eastAsia="Times New Roman" w:hAnsi="Times New Roman"/>
          <w:sz w:val="11"/>
          <w:szCs w:val="11"/>
          <w:color w:val="008000"/>
        </w:rPr>
        <w:t>voting, investment and dispositive power with respect to these securities.</w:t>
      </w:r>
      <w:r>
        <w:rPr>
          <w:rFonts w:ascii="Arial" w:cs="Arial" w:eastAsia="Arial" w:hAnsi="Arial"/>
          <w:sz w:val="9"/>
          <w:szCs w:val="9"/>
          <w:b w:val="1"/>
          <w:bCs w:val="1"/>
          <w:color w:val="000000"/>
        </w:rPr>
        <w:t>Code</w:t>
      </w:r>
      <w:r>
        <w:rPr>
          <w:rFonts w:ascii="Times New Roman" w:cs="Times New Roman" w:eastAsia="Times New Roman" w:hAnsi="Times New Roman"/>
          <w:sz w:val="11"/>
          <w:szCs w:val="11"/>
          <w:color w:val="008000"/>
        </w:rPr>
        <w:t>TCG IV</w:t>
      </w:r>
      <w:r>
        <w:rPr>
          <w:rFonts w:ascii="Arial" w:cs="Arial" w:eastAsia="Arial" w:hAnsi="Arial"/>
          <w:sz w:val="9"/>
          <w:szCs w:val="9"/>
          <w:b w:val="1"/>
          <w:bCs w:val="1"/>
          <w:color w:val="000000"/>
        </w:rPr>
        <w:t>V</w:t>
      </w:r>
      <w:r>
        <w:rPr>
          <w:rFonts w:ascii="Times New Roman" w:cs="Times New Roman" w:eastAsia="Times New Roman" w:hAnsi="Times New Roman"/>
          <w:sz w:val="11"/>
          <w:szCs w:val="11"/>
          <w:color w:val="008000"/>
        </w:rPr>
        <w:t xml:space="preserve"> GP LLC</w:t>
      </w:r>
      <w:r>
        <w:rPr>
          <w:rFonts w:ascii="Arial" w:cs="Arial" w:eastAsia="Arial" w:hAnsi="Arial"/>
          <w:sz w:val="9"/>
          <w:szCs w:val="9"/>
          <w:b w:val="1"/>
          <w:bCs w:val="1"/>
          <w:color w:val="000000"/>
        </w:rPr>
        <w:t>(A)</w:t>
      </w:r>
      <w:r>
        <w:rPr>
          <w:rFonts w:ascii="Times New Roman" w:cs="Times New Roman" w:eastAsia="Times New Roman" w:hAnsi="Times New Roman"/>
          <w:sz w:val="11"/>
          <w:szCs w:val="11"/>
          <w:color w:val="008000"/>
        </w:rPr>
        <w:t xml:space="preserve"> ("TCG</w:t>
      </w:r>
      <w:r>
        <w:rPr>
          <w:rFonts w:ascii="Arial" w:cs="Arial" w:eastAsia="Arial" w:hAnsi="Arial"/>
          <w:sz w:val="9"/>
          <w:szCs w:val="9"/>
          <w:b w:val="1"/>
          <w:bCs w:val="1"/>
          <w:color w:val="000000"/>
        </w:rPr>
        <w:t>(D)</w:t>
      </w:r>
      <w:r>
        <w:rPr>
          <w:rFonts w:ascii="Times New Roman" w:cs="Times New Roman" w:eastAsia="Times New Roman" w:hAnsi="Times New Roman"/>
          <w:sz w:val="11"/>
          <w:szCs w:val="11"/>
          <w:color w:val="008000"/>
        </w:rPr>
        <w:t xml:space="preserve"> IV</w:t>
      </w:r>
      <w:r>
        <w:rPr>
          <w:rFonts w:ascii="Arial" w:cs="Arial" w:eastAsia="Arial" w:hAnsi="Arial"/>
          <w:sz w:val="9"/>
          <w:szCs w:val="9"/>
          <w:b w:val="1"/>
          <w:bCs w:val="1"/>
          <w:color w:val="000000"/>
        </w:rPr>
        <w:t>Exercisable</w:t>
      </w:r>
      <w:r>
        <w:rPr>
          <w:rFonts w:ascii="Times New Roman" w:cs="Times New Roman" w:eastAsia="Times New Roman" w:hAnsi="Times New Roman"/>
          <w:sz w:val="11"/>
          <w:szCs w:val="11"/>
          <w:color w:val="008000"/>
        </w:rPr>
        <w:t>LLC")isthe general</w:t>
      </w:r>
      <w:r>
        <w:rPr>
          <w:rFonts w:ascii="Arial" w:cs="Arial" w:eastAsia="Arial" w:hAnsi="Arial"/>
          <w:sz w:val="9"/>
          <w:szCs w:val="9"/>
          <w:b w:val="1"/>
          <w:bCs w:val="1"/>
          <w:color w:val="000000"/>
        </w:rPr>
        <w:t>Date</w:t>
      </w:r>
      <w:r>
        <w:rPr>
          <w:rFonts w:ascii="Times New Roman" w:cs="Times New Roman" w:eastAsia="Times New Roman" w:hAnsi="Times New Roman"/>
          <w:sz w:val="11"/>
          <w:szCs w:val="11"/>
          <w:color w:val="008000"/>
        </w:rPr>
        <w:t xml:space="preserve"> partner</w:t>
      </w:r>
      <w:r>
        <w:rPr>
          <w:rFonts w:ascii="Arial" w:cs="Arial" w:eastAsia="Arial" w:hAnsi="Arial"/>
          <w:sz w:val="9"/>
          <w:szCs w:val="9"/>
          <w:b w:val="1"/>
          <w:bCs w:val="1"/>
          <w:color w:val="000000"/>
        </w:rPr>
        <w:t>Title</w:t>
      </w:r>
      <w:r>
        <w:rPr>
          <w:rFonts w:ascii="Times New Roman" w:cs="Times New Roman" w:eastAsia="Times New Roman" w:hAnsi="Times New Roman"/>
          <w:sz w:val="11"/>
          <w:szCs w:val="11"/>
          <w:color w:val="008000"/>
        </w:rPr>
        <w:t>ofTCG</w:t>
      </w:r>
      <w:r>
        <w:rPr>
          <w:rFonts w:ascii="Arial" w:cs="Arial" w:eastAsia="Arial" w:hAnsi="Arial"/>
          <w:sz w:val="9"/>
          <w:szCs w:val="9"/>
          <w:b w:val="1"/>
          <w:bCs w:val="1"/>
          <w:color w:val="000000"/>
        </w:rPr>
        <w:t>Shares</w:t>
      </w:r>
      <w:r>
        <w:rPr>
          <w:rFonts w:ascii="Times New Roman" w:cs="Times New Roman" w:eastAsia="Times New Roman" w:hAnsi="Times New Roman"/>
          <w:sz w:val="11"/>
          <w:szCs w:val="11"/>
          <w:color w:val="008000"/>
        </w:rPr>
        <w:t>IVGP LP and the ultimate general partner of TCG IV LP and</w:t>
      </w:r>
    </w:p>
    <w:p>
      <w:pPr>
        <w:ind w:left="40" w:right="380"/>
        <w:spacing w:after="0" w:line="242" w:lineRule="auto"/>
        <w:rPr>
          <w:sz w:val="20"/>
          <w:szCs w:val="20"/>
          <w:color w:val="auto"/>
        </w:rPr>
      </w:pPr>
      <w:r>
        <w:rPr>
          <w:rFonts w:ascii="Times New Roman" w:cs="Times New Roman" w:eastAsia="Times New Roman" w:hAnsi="Times New Roman"/>
          <w:sz w:val="13"/>
          <w:szCs w:val="13"/>
          <w:color w:val="008000"/>
        </w:rPr>
        <w:t>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7" w:lineRule="exact"/>
        <w:rPr>
          <w:sz w:val="20"/>
          <w:szCs w:val="20"/>
          <w:color w:val="auto"/>
        </w:rPr>
      </w:pPr>
    </w:p>
    <w:p>
      <w:pPr>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the Reporting Person,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300" w:firstLine="7"/>
        <w:spacing w:after="0" w:line="247"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01/12/2023</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2023-01-12T15:34:35Z</dcterms:created>
  <dcterms:modified xsi:type="dcterms:W3CDTF">2023-01-12T15:34:35Z</dcterms:modified>
</cp:coreProperties>
</file>