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740" w:right="1640" w:hanging="3732"/>
        <w:spacing w:after="0" w:line="392" w:lineRule="auto"/>
        <w:tabs>
          <w:tab w:leader="none" w:pos="51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51" w:lineRule="exact"/>
        <w:rPr>
          <w:sz w:val="24"/>
          <w:szCs w:val="24"/>
          <w:color w:val="auto"/>
        </w:rPr>
      </w:pPr>
    </w:p>
    <w:p>
      <w:pPr>
        <w:ind w:left="3580" w:right="1660" w:hanging="3572"/>
        <w:spacing w:after="0" w:line="477"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1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001-38853</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2"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4360" w:type="dxa"/>
            <w:vAlign w:val="bottom"/>
          </w:tcPr>
          <w:p>
            <w:pPr>
              <w:jc w:val="center"/>
              <w:ind w:right="1923"/>
              <w:spacing w:after="0"/>
              <w:rPr>
                <w:sz w:val="20"/>
                <w:szCs w:val="20"/>
                <w:color w:val="auto"/>
              </w:rPr>
            </w:pPr>
            <w:r>
              <w:rPr>
                <w:rFonts w:ascii="Arial" w:cs="Arial" w:eastAsia="Arial" w:hAnsi="Arial"/>
                <w:sz w:val="18"/>
                <w:szCs w:val="18"/>
                <w:b w:val="1"/>
                <w:bCs w:val="1"/>
                <w:color w:val="auto"/>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26-1679911</w:t>
            </w:r>
          </w:p>
        </w:tc>
      </w:tr>
      <w:tr>
        <w:trPr>
          <w:trHeight w:val="135"/>
        </w:trPr>
        <w:tc>
          <w:tcPr>
            <w:tcW w:w="4360" w:type="dxa"/>
            <w:vAlign w:val="bottom"/>
          </w:tcPr>
          <w:p>
            <w:pPr>
              <w:jc w:val="center"/>
              <w:ind w:right="1923"/>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60" w:type="dxa"/>
            <w:vAlign w:val="bottom"/>
          </w:tcPr>
          <w:p>
            <w:pPr>
              <w:jc w:val="center"/>
              <w:ind w:left="1926"/>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4"/>
        </w:trPr>
        <w:tc>
          <w:tcPr>
            <w:tcW w:w="4360" w:type="dxa"/>
            <w:vAlign w:val="bottom"/>
          </w:tcPr>
          <w:p>
            <w:pPr>
              <w:jc w:val="center"/>
              <w:ind w:right="1923"/>
              <w:spacing w:after="0" w:line="134" w:lineRule="exact"/>
              <w:rPr>
                <w:sz w:val="20"/>
                <w:szCs w:val="20"/>
                <w:color w:val="auto"/>
              </w:rPr>
            </w:pPr>
            <w:r>
              <w:rPr>
                <w:rFonts w:ascii="Arial" w:cs="Arial" w:eastAsia="Arial" w:hAnsi="Arial"/>
                <w:sz w:val="13"/>
                <w:szCs w:val="13"/>
                <w:b w:val="1"/>
                <w:bCs w:val="1"/>
                <w:color w:val="auto"/>
                <w:w w:val="96"/>
              </w:rPr>
              <w:t>incorporation or organization)</w:t>
            </w:r>
          </w:p>
        </w:tc>
        <w:tc>
          <w:tcPr>
            <w:tcW w:w="3060" w:type="dxa"/>
            <w:vAlign w:val="bottom"/>
          </w:tcPr>
          <w:p>
            <w:pPr>
              <w:jc w:val="center"/>
              <w:ind w:left="1926"/>
              <w:spacing w:after="0" w:line="134" w:lineRule="exact"/>
              <w:rPr>
                <w:sz w:val="20"/>
                <w:szCs w:val="20"/>
                <w:color w:val="auto"/>
              </w:rPr>
            </w:pPr>
            <w:r>
              <w:rPr>
                <w:rFonts w:ascii="Arial" w:cs="Arial" w:eastAsia="Arial" w:hAnsi="Arial"/>
                <w:sz w:val="13"/>
                <w:szCs w:val="13"/>
                <w:b w:val="1"/>
                <w:bCs w:val="1"/>
                <w:color w:val="auto"/>
                <w:w w:val="96"/>
              </w:rPr>
              <w:t>Identification No.)</w:t>
            </w:r>
          </w:p>
        </w:tc>
      </w:tr>
      <w:tr>
        <w:trPr>
          <w:trHeight w:val="203"/>
        </w:trPr>
        <w:tc>
          <w:tcPr>
            <w:tcW w:w="4360" w:type="dxa"/>
            <w:vAlign w:val="bottom"/>
          </w:tcPr>
          <w:p>
            <w:pPr>
              <w:jc w:val="center"/>
              <w:ind w:right="1923"/>
              <w:spacing w:after="0" w:line="202" w:lineRule="exact"/>
              <w:rPr>
                <w:sz w:val="20"/>
                <w:szCs w:val="20"/>
                <w:color w:val="auto"/>
              </w:rPr>
            </w:pPr>
            <w:r>
              <w:rPr>
                <w:rFonts w:ascii="Arial" w:cs="Arial" w:eastAsia="Arial" w:hAnsi="Arial"/>
                <w:sz w:val="18"/>
                <w:szCs w:val="18"/>
                <w:b w:val="1"/>
                <w:bCs w:val="1"/>
                <w:color w:val="auto"/>
              </w:rPr>
              <w:t>333 Oyster Point Boulevard</w:t>
            </w:r>
          </w:p>
        </w:tc>
        <w:tc>
          <w:tcPr>
            <w:tcW w:w="3060" w:type="dxa"/>
            <w:vAlign w:val="bottom"/>
          </w:tcPr>
          <w:p>
            <w:pPr>
              <w:spacing w:after="0"/>
              <w:rPr>
                <w:sz w:val="17"/>
                <w:szCs w:val="17"/>
                <w:color w:val="auto"/>
              </w:rPr>
            </w:pPr>
          </w:p>
        </w:tc>
      </w:tr>
      <w:tr>
        <w:trPr>
          <w:trHeight w:val="203"/>
        </w:trPr>
        <w:tc>
          <w:tcPr>
            <w:tcW w:w="4360" w:type="dxa"/>
            <w:vAlign w:val="bottom"/>
          </w:tcPr>
          <w:p>
            <w:pPr>
              <w:jc w:val="center"/>
              <w:ind w:right="1923"/>
              <w:spacing w:after="0" w:line="203" w:lineRule="exact"/>
              <w:rPr>
                <w:sz w:val="20"/>
                <w:szCs w:val="20"/>
                <w:color w:val="auto"/>
              </w:rPr>
            </w:pPr>
            <w:r>
              <w:rPr>
                <w:rFonts w:ascii="Arial" w:cs="Arial" w:eastAsia="Arial" w:hAnsi="Arial"/>
                <w:sz w:val="18"/>
                <w:szCs w:val="18"/>
                <w:b w:val="1"/>
                <w:bCs w:val="1"/>
                <w:color w:val="auto"/>
              </w:rPr>
              <w:t>South San Francisco, CA</w:t>
            </w:r>
          </w:p>
        </w:tc>
        <w:tc>
          <w:tcPr>
            <w:tcW w:w="30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94080</w:t>
            </w:r>
          </w:p>
        </w:tc>
      </w:tr>
      <w:tr>
        <w:trPr>
          <w:trHeight w:val="168"/>
        </w:trPr>
        <w:tc>
          <w:tcPr>
            <w:tcW w:w="4360" w:type="dxa"/>
            <w:vAlign w:val="bottom"/>
          </w:tcPr>
          <w:p>
            <w:pPr>
              <w:jc w:val="center"/>
              <w:ind w:right="1923"/>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60" w:type="dxa"/>
            <w:vAlign w:val="bottom"/>
          </w:tcPr>
          <w:p>
            <w:pPr>
              <w:jc w:val="center"/>
              <w:ind w:left="1926"/>
              <w:spacing w:after="0"/>
              <w:rPr>
                <w:sz w:val="20"/>
                <w:szCs w:val="20"/>
                <w:color w:val="auto"/>
              </w:rPr>
            </w:pPr>
            <w:r>
              <w:rPr>
                <w:rFonts w:ascii="Arial" w:cs="Arial" w:eastAsia="Arial" w:hAnsi="Arial"/>
                <w:sz w:val="13"/>
                <w:szCs w:val="13"/>
                <w:b w:val="1"/>
                <w:bCs w:val="1"/>
                <w:color w:val="auto"/>
                <w:w w:val="96"/>
              </w:rPr>
              <w:t>(Zip Code)</w:t>
            </w:r>
          </w:p>
        </w:tc>
      </w:tr>
    </w:tbl>
    <w:p>
      <w:pPr>
        <w:spacing w:after="0" w:line="74"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28"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 w:lineRule="exact"/>
        <w:rPr>
          <w:sz w:val="24"/>
          <w:szCs w:val="24"/>
          <w:color w:val="auto"/>
        </w:rPr>
      </w:pPr>
    </w:p>
    <w:tbl>
      <w:tblPr>
        <w:tblLayout w:type="fixed"/>
        <w:tblInd w:w="130" w:type="dxa"/>
        <w:tblCellMar>
          <w:top w:w="0" w:type="dxa"/>
          <w:left w:w="0" w:type="dxa"/>
          <w:bottom w:w="0" w:type="dxa"/>
          <w:right w:w="0" w:type="dxa"/>
        </w:tblCellMar>
      </w:tblPr>
      <w:tr>
        <w:trPr>
          <w:trHeight w:val="273"/>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5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207"/>
        </w:trPr>
        <w:tc>
          <w:tcPr>
            <w:tcW w:w="4720" w:type="dxa"/>
            <w:vAlign w:val="bottom"/>
            <w:tcBorders>
              <w:left w:val="single" w:sz="8" w:color="auto"/>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5440" w:type="dxa"/>
            <w:vAlign w:val="bottom"/>
            <w:tcBorders>
              <w:bottom w:val="single" w:sz="8" w:color="auto"/>
              <w:right w:val="single" w:sz="8" w:color="auto"/>
            </w:tcBorders>
          </w:tcPr>
          <w:p>
            <w:pPr>
              <w:spacing w:after="0"/>
              <w:rPr>
                <w:sz w:val="18"/>
                <w:szCs w:val="18"/>
                <w:color w:val="auto"/>
              </w:rPr>
            </w:pP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5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10" w:lineRule="exact"/>
        <w:rPr>
          <w:sz w:val="24"/>
          <w:szCs w:val="24"/>
          <w:color w:val="auto"/>
        </w:rPr>
      </w:pPr>
    </w:p>
    <w:p>
      <w:pPr>
        <w:ind w:firstLine="60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20" w:firstLine="608"/>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2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40" w:firstLine="60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111" w:lineRule="exact"/>
        <w:rPr>
          <w:sz w:val="24"/>
          <w:szCs w:val="24"/>
          <w:color w:val="auto"/>
        </w:rPr>
      </w:pPr>
    </w:p>
    <w:p>
      <w:pPr>
        <w:ind w:right="220" w:firstLine="60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620" w:right="13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10, 2019, the registrant had 66,021,863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326390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r>
      <w:tr>
        <w:trPr>
          <w:trHeight w:val="62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INFORMATION</w:t>
              </w:r>
            </w:hyperlink>
          </w:p>
        </w:tc>
        <w:tc>
          <w:tcPr>
            <w:tcW w:w="4840" w:type="dxa"/>
            <w:vAlign w:val="bottom"/>
            <w:gridSpan w:val="11"/>
          </w:tcPr>
          <w:p>
            <w:pPr>
              <w:spacing w:after="0"/>
              <w:rPr>
                <w:sz w:val="24"/>
                <w:szCs w:val="24"/>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2160" w:type="dxa"/>
            <w:vAlign w:val="bottom"/>
            <w:gridSpan w:val="3"/>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32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Convertible Preferred Stock and Stockholders’ Deficit</w:t>
              </w:r>
            </w:hyperlink>
          </w:p>
        </w:tc>
        <w:tc>
          <w:tcPr>
            <w:tcW w:w="760" w:type="dxa"/>
            <w:vAlign w:val="bottom"/>
          </w:tcPr>
          <w:p>
            <w:pPr>
              <w:spacing w:after="0"/>
              <w:rPr>
                <w:sz w:val="19"/>
                <w:szCs w:val="19"/>
                <w:color w:val="auto"/>
              </w:rPr>
            </w:pPr>
          </w:p>
        </w:tc>
      </w:tr>
      <w:tr>
        <w:trPr>
          <w:trHeight w:val="237"/>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r>
      <w:tr>
        <w:trPr>
          <w:trHeight w:val="210"/>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380" w:type="dxa"/>
            <w:vAlign w:val="bottom"/>
            <w:gridSpan w:val="5"/>
          </w:tcPr>
          <w:p>
            <w:pPr>
              <w:spacing w:after="0"/>
              <w:rPr>
                <w:sz w:val="18"/>
                <w:szCs w:val="18"/>
                <w:color w:val="auto"/>
              </w:rPr>
            </w:pPr>
          </w:p>
        </w:tc>
      </w:tr>
      <w:tr>
        <w:trPr>
          <w:trHeight w:val="23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100" w:type="dxa"/>
            <w:vAlign w:val="bottom"/>
            <w:gridSpan w:val="12"/>
          </w:tcPr>
          <w:p>
            <w:pPr>
              <w:spacing w:after="0"/>
              <w:rPr>
                <w:sz w:val="20"/>
                <w:szCs w:val="20"/>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5160" w:type="dxa"/>
            <w:vAlign w:val="bottom"/>
            <w:gridSpan w:val="13"/>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2240" w:type="dxa"/>
            <w:vAlign w:val="bottom"/>
            <w:gridSpan w:val="4"/>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4540" w:type="dxa"/>
            <w:vAlign w:val="bottom"/>
            <w:gridSpan w:val="10"/>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83">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w:t>
              </w:r>
            </w:hyperlink>
          </w:p>
        </w:tc>
      </w:tr>
      <w:tr>
        <w:trPr>
          <w:trHeight w:val="223"/>
        </w:trPr>
        <w:tc>
          <w:tcPr>
            <w:tcW w:w="124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8890</wp:posOffset>
            </wp:positionV>
            <wp:extent cx="574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ectPr>
          <w:pgSz w:w="11900" w:h="16838" w:orient="portrait"/>
          <w:cols w:equalWidth="0" w:num="2">
            <w:col w:w="10060" w:space="720"/>
            <w:col w:w="620"/>
          </w:cols>
          <w:pgMar w:left="240" w:top="11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7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10"/>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146,126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FF0FC"/>
            </w:tcBorders>
          </w:tcPr>
          <w:p>
            <w:pPr>
              <w:spacing w:after="0"/>
              <w:rPr>
                <w:sz w:val="18"/>
                <w:szCs w:val="18"/>
                <w:color w:val="auto"/>
              </w:rPr>
            </w:pPr>
          </w:p>
        </w:tc>
      </w:tr>
      <w:tr>
        <w:trPr>
          <w:trHeight w:val="21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199,145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IPO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FF0FC"/>
          </w:tcPr>
          <w:p>
            <w:pPr>
              <w:spacing w:after="0"/>
              <w:rPr>
                <w:sz w:val="18"/>
                <w:szCs w:val="18"/>
                <w:color w:val="auto"/>
              </w:rPr>
            </w:pPr>
          </w:p>
        </w:tc>
      </w:tr>
      <w:tr>
        <w:trPr>
          <w:trHeight w:val="250"/>
        </w:trPr>
        <w:tc>
          <w:tcPr>
            <w:tcW w:w="67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231,627</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Pr>
          <w:p>
            <w:pPr>
              <w:spacing w:after="0"/>
              <w:rPr>
                <w:sz w:val="21"/>
                <w:szCs w:val="21"/>
                <w:color w:val="auto"/>
              </w:rPr>
            </w:pPr>
          </w:p>
        </w:tc>
      </w:tr>
      <w:tr>
        <w:trPr>
          <w:trHeight w:val="197"/>
        </w:trPr>
        <w:tc>
          <w:tcPr>
            <w:tcW w:w="6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1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Borders>
              <w:bottom w:val="single" w:sz="8" w:color="CFF0FC"/>
            </w:tcBorders>
          </w:tcPr>
          <w:p>
            <w:pPr>
              <w:spacing w:after="0"/>
              <w:rPr>
                <w:sz w:val="18"/>
                <w:szCs w:val="18"/>
                <w:color w:val="auto"/>
              </w:rPr>
            </w:pPr>
          </w:p>
        </w:tc>
      </w:tr>
      <w:tr>
        <w:trPr>
          <w:trHeight w:val="21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8"/>
                <w:szCs w:val="18"/>
                <w:color w:val="auto"/>
              </w:rPr>
            </w:pPr>
          </w:p>
        </w:tc>
      </w:tr>
      <w:tr>
        <w:trPr>
          <w:trHeight w:val="210"/>
        </w:trPr>
        <w:tc>
          <w:tcPr>
            <w:tcW w:w="6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1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55,733</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Borders>
              <w:bottom w:val="single" w:sz="8" w:color="CFF0FC"/>
            </w:tcBorders>
          </w:tcPr>
          <w:p>
            <w:pPr>
              <w:spacing w:after="0"/>
              <w:rPr>
                <w:sz w:val="18"/>
                <w:szCs w:val="18"/>
                <w:color w:val="auto"/>
              </w:rPr>
            </w:pPr>
          </w:p>
        </w:tc>
      </w:tr>
      <w:tr>
        <w:trPr>
          <w:trHeight w:val="21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Convertible preferred stock, $0.001 par value;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96,268,206 shares authorized at March 31, 2019 and December 31,</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2018; 47,283,846 and 47,267,466 shares issued and outstanding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at March 31, 2019 and December 31, 2018, respectively;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aggregate liquidation preference of $277,802 and $277,774 at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60"/>
              <w:spacing w:after="0" w:line="203" w:lineRule="exact"/>
              <w:rPr>
                <w:sz w:val="20"/>
                <w:szCs w:val="20"/>
                <w:color w:val="auto"/>
              </w:rPr>
            </w:pPr>
            <w:r>
              <w:rPr>
                <w:rFonts w:ascii="Arial" w:cs="Arial" w:eastAsia="Arial" w:hAnsi="Arial"/>
                <w:sz w:val="18"/>
                <w:szCs w:val="18"/>
                <w:color w:val="auto"/>
              </w:rPr>
              <w:t>March 31, 2019 and December 31, 2018, respectively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295,072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294,874</w:t>
            </w:r>
          </w:p>
        </w:tc>
        <w:tc>
          <w:tcPr>
            <w:tcW w:w="120" w:type="dxa"/>
            <w:vAlign w:val="bottom"/>
          </w:tcPr>
          <w:p>
            <w:pPr>
              <w:spacing w:after="0"/>
              <w:rPr>
                <w:sz w:val="17"/>
                <w:szCs w:val="17"/>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Common stock, $0.001 par value; 129,000,000 shares authorized at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March 31, 2019 and December 31, 2018; 7,026,717 and 6,937,890</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shares issued and outstanding at March 31, 2019 and December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60"/>
              <w:spacing w:after="0" w:line="203" w:lineRule="exact"/>
              <w:rPr>
                <w:sz w:val="20"/>
                <w:szCs w:val="20"/>
                <w:color w:val="auto"/>
              </w:rPr>
            </w:pPr>
            <w:r>
              <w:rPr>
                <w:rFonts w:ascii="Arial" w:cs="Arial" w:eastAsia="Arial" w:hAnsi="Arial"/>
                <w:sz w:val="18"/>
                <w:szCs w:val="18"/>
                <w:color w:val="auto"/>
              </w:rPr>
              <w:t>31, 2018, respectively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(161,617)</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(147,193)</w:t>
            </w:r>
          </w:p>
        </w:tc>
      </w:tr>
      <w:tr>
        <w:trPr>
          <w:trHeight w:val="20"/>
        </w:trPr>
        <w:tc>
          <w:tcPr>
            <w:tcW w:w="6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00" w:type="dxa"/>
            <w:vAlign w:val="bottom"/>
          </w:tcPr>
          <w:p>
            <w:pPr>
              <w:ind w:left="500"/>
              <w:spacing w:after="0"/>
              <w:rPr>
                <w:sz w:val="20"/>
                <w:szCs w:val="20"/>
                <w:color w:val="auto"/>
              </w:rPr>
            </w:pPr>
            <w:r>
              <w:rPr>
                <w:rFonts w:ascii="Arial" w:cs="Arial" w:eastAsia="Arial" w:hAnsi="Arial"/>
                <w:sz w:val="18"/>
                <w:szCs w:val="18"/>
                <w:color w:val="auto"/>
              </w:rPr>
              <w:t>Total deficit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(119,178)</w:t>
            </w: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(108,195)</w:t>
            </w:r>
          </w:p>
        </w:tc>
      </w:tr>
      <w:tr>
        <w:trPr>
          <w:trHeight w:val="210"/>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231,627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condensed consolidated balance sheet as of December 31, 2018 has been derived from the audited financial statements as of that date.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34,894</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(9,342)</w:t>
            </w: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(8,268)</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5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(1.21)</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96"/>
        </w:trPr>
        <w:tc>
          <w:tcPr>
            <w:tcW w:w="65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 per common</w:t>
            </w:r>
          </w:p>
        </w:tc>
        <w:tc>
          <w:tcPr>
            <w:tcW w:w="13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share, basic and diluted</w:t>
            </w:r>
          </w:p>
        </w:tc>
        <w:tc>
          <w:tcPr>
            <w:tcW w:w="1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6,812,129</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6,127,040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5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638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(8,268)</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(3,941)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 marketable</w:t>
            </w:r>
          </w:p>
        </w:tc>
        <w:tc>
          <w:tcPr>
            <w:tcW w:w="1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3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1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(223)</w:t>
            </w: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38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146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(8,046)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(4,164)</w:t>
            </w: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CONVERTIBLE PREFERRED STOCK AND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spacing w:after="0"/>
              <w:rPr>
                <w:sz w:val="14"/>
                <w:szCs w:val="14"/>
                <w:color w:val="auto"/>
              </w:rPr>
            </w:pPr>
          </w:p>
        </w:tc>
        <w:tc>
          <w:tcPr>
            <w:tcW w:w="180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5"/>
                <w:szCs w:val="15"/>
                <w:b w:val="1"/>
                <w:bCs w:val="1"/>
                <w:color w:val="auto"/>
              </w:rPr>
              <w:t>Convertible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rPr>
              <w:t>Additional</w:t>
            </w:r>
          </w:p>
        </w:tc>
        <w:tc>
          <w:tcPr>
            <w:tcW w:w="2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r>
      <w:tr>
        <w:trPr>
          <w:trHeight w:val="183"/>
        </w:trPr>
        <w:tc>
          <w:tcPr>
            <w:tcW w:w="3160" w:type="dxa"/>
            <w:vAlign w:val="bottom"/>
          </w:tcPr>
          <w:p>
            <w:pPr>
              <w:spacing w:after="0"/>
              <w:rPr>
                <w:sz w:val="15"/>
                <w:szCs w:val="15"/>
                <w:color w:val="auto"/>
              </w:rPr>
            </w:pPr>
          </w:p>
        </w:tc>
        <w:tc>
          <w:tcPr>
            <w:tcW w:w="180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5"/>
                <w:szCs w:val="15"/>
                <w:b w:val="1"/>
                <w:bCs w:val="1"/>
                <w:color w:val="auto"/>
              </w:rPr>
              <w:t>Preferred Stock</w:t>
            </w:r>
          </w:p>
        </w:tc>
        <w:tc>
          <w:tcPr>
            <w:tcW w:w="8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Arial" w:cs="Arial" w:eastAsia="Arial" w:hAnsi="Arial"/>
                <w:sz w:val="15"/>
                <w:szCs w:val="15"/>
                <w:b w:val="1"/>
                <w:bCs w:val="1"/>
                <w:color w:val="auto"/>
              </w:rPr>
              <w:t>Common Stock</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9"/>
              </w:rPr>
              <w:t>Paid-In</w:t>
            </w:r>
          </w:p>
        </w:tc>
        <w:tc>
          <w:tcPr>
            <w:tcW w:w="1360" w:type="dxa"/>
            <w:vAlign w:val="bottom"/>
            <w:gridSpan w:val="3"/>
          </w:tcPr>
          <w:p>
            <w:pPr>
              <w:spacing w:after="0"/>
              <w:rPr>
                <w:sz w:val="20"/>
                <w:szCs w:val="20"/>
                <w:color w:val="auto"/>
              </w:rPr>
            </w:pPr>
            <w:r>
              <w:rPr>
                <w:rFonts w:ascii="Arial" w:cs="Arial" w:eastAsia="Arial" w:hAnsi="Arial"/>
                <w:sz w:val="15"/>
                <w:szCs w:val="15"/>
                <w:b w:val="1"/>
                <w:bCs w:val="1"/>
                <w:color w:val="auto"/>
              </w:rPr>
              <w:t>Comprehensive</w:t>
            </w:r>
          </w:p>
        </w:tc>
        <w:tc>
          <w:tcPr>
            <w:tcW w:w="1180" w:type="dxa"/>
            <w:vAlign w:val="bottom"/>
            <w:gridSpan w:val="3"/>
          </w:tcPr>
          <w:p>
            <w:pPr>
              <w:spacing w:after="0"/>
              <w:rPr>
                <w:sz w:val="20"/>
                <w:szCs w:val="20"/>
                <w:color w:val="auto"/>
              </w:rPr>
            </w:pPr>
            <w:r>
              <w:rPr>
                <w:rFonts w:ascii="Arial" w:cs="Arial" w:eastAsia="Arial" w:hAnsi="Arial"/>
                <w:sz w:val="15"/>
                <w:szCs w:val="15"/>
                <w:b w:val="1"/>
                <w:bCs w:val="1"/>
                <w:color w:val="auto"/>
              </w:rPr>
              <w:t>Accumulated</w:t>
            </w:r>
          </w:p>
        </w:tc>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Stockholders'</w:t>
            </w:r>
          </w:p>
        </w:tc>
      </w:tr>
      <w:tr>
        <w:trPr>
          <w:trHeight w:val="169"/>
        </w:trPr>
        <w:tc>
          <w:tcPr>
            <w:tcW w:w="3160" w:type="dxa"/>
            <w:vAlign w:val="bottom"/>
            <w:tcBorders>
              <w:bottom w:val="single" w:sz="8" w:color="CFF0FC"/>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top w:val="single" w:sz="8" w:color="auto"/>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4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
              <w:spacing w:after="0" w:line="169" w:lineRule="exact"/>
              <w:rPr>
                <w:sz w:val="20"/>
                <w:szCs w:val="20"/>
                <w:color w:val="auto"/>
              </w:rPr>
            </w:pPr>
            <w:r>
              <w:rPr>
                <w:rFonts w:ascii="Arial" w:cs="Arial" w:eastAsia="Arial" w:hAnsi="Arial"/>
                <w:sz w:val="15"/>
                <w:szCs w:val="15"/>
                <w:b w:val="1"/>
                <w:bCs w:val="1"/>
                <w:color w:val="auto"/>
              </w:rPr>
              <w:t>Shares</w:t>
            </w:r>
          </w:p>
        </w:tc>
        <w:tc>
          <w:tcPr>
            <w:tcW w:w="12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b w:val="1"/>
                <w:bCs w:val="1"/>
                <w:color w:val="auto"/>
                <w:w w:val="99"/>
              </w:rPr>
              <w:t>Capital</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3"/>
              <w:spacing w:after="0" w:line="169" w:lineRule="exact"/>
              <w:rPr>
                <w:sz w:val="20"/>
                <w:szCs w:val="20"/>
                <w:color w:val="auto"/>
              </w:rPr>
            </w:pPr>
            <w:r>
              <w:rPr>
                <w:rFonts w:ascii="Arial" w:cs="Arial" w:eastAsia="Arial" w:hAnsi="Arial"/>
                <w:sz w:val="15"/>
                <w:szCs w:val="15"/>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3"/>
              <w:spacing w:after="0" w:line="169" w:lineRule="exact"/>
              <w:rPr>
                <w:sz w:val="20"/>
                <w:szCs w:val="20"/>
                <w:color w:val="auto"/>
              </w:rPr>
            </w:pPr>
            <w:r>
              <w:rPr>
                <w:rFonts w:ascii="Arial" w:cs="Arial" w:eastAsia="Arial" w:hAnsi="Arial"/>
                <w:sz w:val="15"/>
                <w:szCs w:val="15"/>
                <w:b w:val="1"/>
                <w:bCs w:val="1"/>
                <w:color w:val="auto"/>
              </w:rPr>
              <w:t>Deficit</w:t>
            </w:r>
          </w:p>
        </w:tc>
        <w:tc>
          <w:tcPr>
            <w:tcW w:w="80" w:type="dxa"/>
            <w:vAlign w:val="bottom"/>
            <w:tcBorders>
              <w:bottom w:val="single" w:sz="8" w:color="CFF0FC"/>
            </w:tcBorders>
          </w:tcPr>
          <w:p>
            <w:pPr>
              <w:spacing w:after="0"/>
              <w:rPr>
                <w:sz w:val="14"/>
                <w:szCs w:val="14"/>
                <w:color w:val="auto"/>
              </w:rPr>
            </w:pPr>
          </w:p>
        </w:tc>
      </w:tr>
      <w:tr>
        <w:trPr>
          <w:trHeight w:val="169"/>
        </w:trPr>
        <w:tc>
          <w:tcPr>
            <w:tcW w:w="3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2017</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$ 294,874</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6,105</w:t>
            </w: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323"/>
              <w:spacing w:after="0" w:line="169"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26,147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(431)</w:t>
            </w:r>
          </w:p>
        </w:tc>
        <w:tc>
          <w:tcPr>
            <w:tcW w:w="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(146,700)</w:t>
            </w:r>
          </w:p>
        </w:tc>
        <w:tc>
          <w:tcPr>
            <w:tcW w:w="1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(120,978)</w:t>
            </w:r>
          </w:p>
        </w:tc>
      </w:tr>
      <w:tr>
        <w:trPr>
          <w:trHeight w:val="166"/>
        </w:trPr>
        <w:tc>
          <w:tcPr>
            <w:tcW w:w="3160" w:type="dxa"/>
            <w:vAlign w:val="bottom"/>
          </w:tcPr>
          <w:p>
            <w:pPr>
              <w:ind w:left="260"/>
              <w:spacing w:after="0" w:line="166" w:lineRule="exact"/>
              <w:rPr>
                <w:sz w:val="20"/>
                <w:szCs w:val="20"/>
                <w:color w:val="auto"/>
              </w:rPr>
            </w:pPr>
            <w:r>
              <w:rPr>
                <w:rFonts w:ascii="Arial" w:cs="Arial" w:eastAsia="Arial" w:hAnsi="Arial"/>
                <w:sz w:val="15"/>
                <w:szCs w:val="15"/>
                <w:color w:val="auto"/>
              </w:rPr>
              <w:t>Vesting of common stock from early</w:t>
            </w: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160" w:type="dxa"/>
            <w:vAlign w:val="bottom"/>
          </w:tcPr>
          <w:p>
            <w:pPr>
              <w:ind w:left="380"/>
              <w:spacing w:after="0" w:line="166" w:lineRule="exact"/>
              <w:rPr>
                <w:sz w:val="20"/>
                <w:szCs w:val="20"/>
                <w:color w:val="auto"/>
              </w:rPr>
            </w:pPr>
            <w:r>
              <w:rPr>
                <w:rFonts w:ascii="Arial" w:cs="Arial" w:eastAsia="Arial" w:hAnsi="Arial"/>
                <w:sz w:val="15"/>
                <w:szCs w:val="15"/>
                <w:color w:val="auto"/>
              </w:rPr>
              <w:t>exercises</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80" w:type="dxa"/>
            <w:vAlign w:val="bottom"/>
          </w:tcPr>
          <w:p>
            <w:pPr>
              <w:spacing w:after="0"/>
              <w:rPr>
                <w:sz w:val="14"/>
                <w:szCs w:val="14"/>
                <w:color w:val="auto"/>
              </w:rPr>
            </w:pP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Exercise of stock options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80" w:type="dxa"/>
            <w:vAlign w:val="bottom"/>
            <w:shd w:val="clear" w:color="auto" w:fill="CFF0FC"/>
          </w:tcPr>
          <w:p>
            <w:pPr>
              <w:spacing w:after="0"/>
              <w:rPr>
                <w:sz w:val="15"/>
                <w:szCs w:val="15"/>
                <w:color w:val="auto"/>
              </w:rPr>
            </w:pPr>
          </w:p>
        </w:tc>
      </w:tr>
      <w:tr>
        <w:trPr>
          <w:trHeight w:val="176"/>
        </w:trPr>
        <w:tc>
          <w:tcPr>
            <w:tcW w:w="3160" w:type="dxa"/>
            <w:vAlign w:val="bottom"/>
          </w:tcPr>
          <w:p>
            <w:pPr>
              <w:ind w:left="260"/>
              <w:spacing w:after="0"/>
              <w:rPr>
                <w:sz w:val="20"/>
                <w:szCs w:val="20"/>
                <w:color w:val="auto"/>
              </w:rPr>
            </w:pPr>
            <w:r>
              <w:rPr>
                <w:rFonts w:ascii="Arial" w:cs="Arial" w:eastAsia="Arial" w:hAnsi="Arial"/>
                <w:sz w:val="15"/>
                <w:szCs w:val="15"/>
                <w:color w:val="auto"/>
              </w:rPr>
              <w:t>Repurchase of common stock</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(185)</w:t>
            </w:r>
          </w:p>
        </w:tc>
        <w:tc>
          <w:tcPr>
            <w:tcW w:w="2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(185)</w:t>
            </w: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2,179</w:t>
            </w:r>
          </w:p>
        </w:tc>
        <w:tc>
          <w:tcPr>
            <w:tcW w:w="80" w:type="dxa"/>
            <w:vAlign w:val="bottom"/>
            <w:shd w:val="clear" w:color="auto" w:fill="CFF0FC"/>
          </w:tcPr>
          <w:p>
            <w:pPr>
              <w:spacing w:after="0"/>
              <w:rPr>
                <w:sz w:val="15"/>
                <w:szCs w:val="15"/>
                <w:color w:val="auto"/>
              </w:rPr>
            </w:pPr>
          </w:p>
        </w:tc>
      </w:tr>
      <w:tr>
        <w:trPr>
          <w:trHeight w:val="172"/>
        </w:trPr>
        <w:tc>
          <w:tcPr>
            <w:tcW w:w="3160" w:type="dxa"/>
            <w:vAlign w:val="bottom"/>
          </w:tcPr>
          <w:p>
            <w:pPr>
              <w:ind w:left="260"/>
              <w:spacing w:after="0"/>
              <w:rPr>
                <w:sz w:val="20"/>
                <w:szCs w:val="20"/>
                <w:color w:val="auto"/>
              </w:rPr>
            </w:pPr>
            <w:r>
              <w:rPr>
                <w:rFonts w:ascii="Arial" w:cs="Arial" w:eastAsia="Arial" w:hAnsi="Arial"/>
                <w:sz w:val="15"/>
                <w:szCs w:val="15"/>
                <w:color w:val="auto"/>
              </w:rPr>
              <w:t>Changes in unrealized gain 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160" w:type="dxa"/>
            <w:vAlign w:val="bottom"/>
          </w:tcPr>
          <w:p>
            <w:pPr>
              <w:ind w:left="380"/>
              <w:spacing w:after="0" w:line="166" w:lineRule="exact"/>
              <w:rPr>
                <w:sz w:val="20"/>
                <w:szCs w:val="20"/>
                <w:color w:val="auto"/>
              </w:rPr>
            </w:pPr>
            <w:r>
              <w:rPr>
                <w:rFonts w:ascii="Arial" w:cs="Arial" w:eastAsia="Arial" w:hAnsi="Arial"/>
                <w:sz w:val="15"/>
                <w:szCs w:val="15"/>
                <w:color w:val="auto"/>
              </w:rPr>
              <w:t>available-for-sale securities</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(223)</w:t>
            </w:r>
          </w:p>
        </w:tc>
        <w:tc>
          <w:tcPr>
            <w:tcW w:w="160" w:type="dxa"/>
            <w:vAlign w:val="bottom"/>
          </w:tcPr>
          <w:p>
            <w:pPr>
              <w:spacing w:after="0"/>
              <w:rPr>
                <w:sz w:val="14"/>
                <w:szCs w:val="14"/>
                <w:color w:val="auto"/>
              </w:rPr>
            </w:pPr>
          </w:p>
        </w:tc>
        <w:tc>
          <w:tcPr>
            <w:tcW w:w="10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(223)</w:t>
            </w: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 and comprehensive loss</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(3,941)</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(3,941)</w:t>
            </w:r>
          </w:p>
        </w:tc>
      </w:tr>
      <w:tr>
        <w:trPr>
          <w:trHeight w:val="20"/>
        </w:trPr>
        <w:tc>
          <w:tcPr>
            <w:tcW w:w="3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3160" w:type="dxa"/>
            <w:vAlign w:val="bottom"/>
          </w:tcPr>
          <w:p>
            <w:pPr>
              <w:spacing w:after="0" w:line="169" w:lineRule="exact"/>
              <w:rPr>
                <w:sz w:val="20"/>
                <w:szCs w:val="20"/>
                <w:color w:val="auto"/>
              </w:rPr>
            </w:pPr>
            <w:r>
              <w:rPr>
                <w:rFonts w:ascii="Arial" w:cs="Arial" w:eastAsia="Arial" w:hAnsi="Arial"/>
                <w:sz w:val="15"/>
                <w:szCs w:val="15"/>
                <w:color w:val="auto"/>
              </w:rPr>
              <w:t>Balance at March 31, 2018</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47,267</w:t>
            </w:r>
          </w:p>
        </w:tc>
        <w:tc>
          <w:tcPr>
            <w:tcW w:w="220" w:type="dxa"/>
            <w:vAlign w:val="bottom"/>
          </w:tcPr>
          <w:p>
            <w:pPr>
              <w:spacing w:after="0"/>
              <w:rPr>
                <w:sz w:val="16"/>
                <w:szCs w:val="16"/>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w w:val="95"/>
              </w:rPr>
              <w:t>$ 294,874</w:t>
            </w: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6,152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323"/>
              <w:spacing w:after="0" w:line="169" w:lineRule="exact"/>
              <w:rPr>
                <w:sz w:val="20"/>
                <w:szCs w:val="20"/>
                <w:color w:val="auto"/>
              </w:rPr>
            </w:pPr>
            <w:r>
              <w:rPr>
                <w:rFonts w:ascii="Arial" w:cs="Arial" w:eastAsia="Arial" w:hAnsi="Arial"/>
                <w:sz w:val="15"/>
                <w:szCs w:val="15"/>
                <w:color w:val="auto"/>
                <w:w w:val="95"/>
              </w:rPr>
              <w:t>$</w:t>
            </w:r>
          </w:p>
        </w:tc>
        <w:tc>
          <w:tcPr>
            <w:tcW w:w="18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6"/>
                <w:szCs w:val="16"/>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28,320</w:t>
            </w:r>
          </w:p>
        </w:tc>
        <w:tc>
          <w:tcPr>
            <w:tcW w:w="220" w:type="dxa"/>
            <w:vAlign w:val="bottom"/>
          </w:tcPr>
          <w:p>
            <w:pPr>
              <w:spacing w:after="0"/>
              <w:rPr>
                <w:sz w:val="16"/>
                <w:szCs w:val="16"/>
                <w:color w:val="auto"/>
              </w:rPr>
            </w:pPr>
          </w:p>
        </w:tc>
        <w:tc>
          <w:tcPr>
            <w:tcW w:w="2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(654)</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(150,641)</w:t>
            </w:r>
          </w:p>
        </w:tc>
        <w:tc>
          <w:tcPr>
            <w:tcW w:w="1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(122,969)</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56"/>
        </w:trPr>
        <w:tc>
          <w:tcPr>
            <w:tcW w:w="31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Balance at December 31, 2018</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47,267</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$ 294,874</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6,733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23"/>
              <w:spacing w:after="0" w:line="156" w:lineRule="exact"/>
              <w:rPr>
                <w:sz w:val="20"/>
                <w:szCs w:val="20"/>
                <w:color w:val="auto"/>
              </w:rPr>
            </w:pPr>
            <w:r>
              <w:rPr>
                <w:rFonts w:ascii="Arial" w:cs="Arial" w:eastAsia="Arial" w:hAnsi="Arial"/>
                <w:sz w:val="15"/>
                <w:szCs w:val="15"/>
                <w:color w:val="auto"/>
                <w:w w:val="95"/>
              </w:rPr>
              <w:t>$</w:t>
            </w:r>
          </w:p>
        </w:tc>
        <w:tc>
          <w:tcPr>
            <w:tcW w:w="1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39,258</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5"/>
                <w:szCs w:val="15"/>
                <w:color w:val="auto"/>
              </w:rPr>
              <w:t>(267)</w:t>
            </w:r>
          </w:p>
        </w:tc>
        <w:tc>
          <w:tcPr>
            <w:tcW w:w="1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5"/>
                <w:szCs w:val="15"/>
                <w:color w:val="auto"/>
              </w:rPr>
              <w:t>(147,193)</w:t>
            </w:r>
          </w:p>
        </w:tc>
        <w:tc>
          <w:tcPr>
            <w:tcW w:w="1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(108,195)</w:t>
            </w:r>
          </w:p>
        </w:tc>
      </w:tr>
      <w:tr>
        <w:trPr>
          <w:trHeight w:val="166"/>
        </w:trPr>
        <w:tc>
          <w:tcPr>
            <w:tcW w:w="3160" w:type="dxa"/>
            <w:vAlign w:val="bottom"/>
          </w:tcPr>
          <w:p>
            <w:pPr>
              <w:ind w:left="260"/>
              <w:spacing w:after="0" w:line="166" w:lineRule="exact"/>
              <w:rPr>
                <w:sz w:val="20"/>
                <w:szCs w:val="20"/>
                <w:color w:val="auto"/>
              </w:rPr>
            </w:pPr>
            <w:r>
              <w:rPr>
                <w:rFonts w:ascii="Arial" w:cs="Arial" w:eastAsia="Arial" w:hAnsi="Arial"/>
                <w:sz w:val="15"/>
                <w:szCs w:val="15"/>
                <w:color w:val="auto"/>
              </w:rPr>
              <w:t>Issuance of common stock to</w:t>
            </w: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160" w:type="dxa"/>
            <w:vAlign w:val="bottom"/>
          </w:tcPr>
          <w:p>
            <w:pPr>
              <w:ind w:left="380"/>
              <w:spacing w:after="0" w:line="166" w:lineRule="exact"/>
              <w:rPr>
                <w:sz w:val="20"/>
                <w:szCs w:val="20"/>
                <w:color w:val="auto"/>
              </w:rPr>
            </w:pPr>
            <w:r>
              <w:rPr>
                <w:rFonts w:ascii="Arial" w:cs="Arial" w:eastAsia="Arial" w:hAnsi="Arial"/>
                <w:sz w:val="15"/>
                <w:szCs w:val="15"/>
                <w:color w:val="auto"/>
              </w:rPr>
              <w:t>participants in 401(k) Plan</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98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98</w:t>
            </w:r>
          </w:p>
        </w:tc>
        <w:tc>
          <w:tcPr>
            <w:tcW w:w="80" w:type="dxa"/>
            <w:vAlign w:val="bottom"/>
          </w:tcPr>
          <w:p>
            <w:pPr>
              <w:spacing w:after="0"/>
              <w:rPr>
                <w:sz w:val="14"/>
                <w:szCs w:val="14"/>
                <w:color w:val="auto"/>
              </w:rPr>
            </w:pPr>
          </w:p>
        </w:tc>
      </w:tr>
      <w:tr>
        <w:trPr>
          <w:trHeight w:val="172"/>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5"/>
        </w:trPr>
        <w:tc>
          <w:tcPr>
            <w:tcW w:w="316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exercises</w:t>
            </w:r>
          </w:p>
        </w:tc>
        <w:tc>
          <w:tcPr>
            <w:tcW w:w="880" w:type="dxa"/>
            <w:vAlign w:val="bottom"/>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shd w:val="clear" w:color="auto" w:fill="CFF0FC"/>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237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237</w:t>
            </w:r>
          </w:p>
        </w:tc>
        <w:tc>
          <w:tcPr>
            <w:tcW w:w="80" w:type="dxa"/>
            <w:vAlign w:val="bottom"/>
            <w:shd w:val="clear" w:color="auto" w:fill="CFF0FC"/>
          </w:tcPr>
          <w:p>
            <w:pPr>
              <w:spacing w:after="0"/>
              <w:rPr>
                <w:sz w:val="14"/>
                <w:szCs w:val="14"/>
                <w:color w:val="auto"/>
              </w:rPr>
            </w:pPr>
          </w:p>
        </w:tc>
      </w:tr>
      <w:tr>
        <w:trPr>
          <w:trHeight w:val="176"/>
        </w:trPr>
        <w:tc>
          <w:tcPr>
            <w:tcW w:w="316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279</w:t>
            </w:r>
          </w:p>
        </w:tc>
        <w:tc>
          <w:tcPr>
            <w:tcW w:w="80" w:type="dxa"/>
            <w:vAlign w:val="bottom"/>
          </w:tcPr>
          <w:p>
            <w:pPr>
              <w:spacing w:after="0"/>
              <w:rPr>
                <w:sz w:val="15"/>
                <w:szCs w:val="15"/>
                <w:color w:val="auto"/>
              </w:rPr>
            </w:pP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w:t>
            </w:r>
          </w:p>
        </w:tc>
        <w:tc>
          <w:tcPr>
            <w:tcW w:w="80" w:type="dxa"/>
            <w:vAlign w:val="bottom"/>
            <w:shd w:val="clear" w:color="auto" w:fill="CFF0FC"/>
          </w:tcPr>
          <w:p>
            <w:pPr>
              <w:spacing w:after="0"/>
              <w:rPr>
                <w:sz w:val="15"/>
                <w:szCs w:val="15"/>
                <w:color w:val="auto"/>
              </w:rPr>
            </w:pPr>
          </w:p>
        </w:tc>
      </w:tr>
      <w:tr>
        <w:trPr>
          <w:trHeight w:val="172"/>
        </w:trPr>
        <w:tc>
          <w:tcPr>
            <w:tcW w:w="3160" w:type="dxa"/>
            <w:vAlign w:val="bottom"/>
          </w:tcPr>
          <w:p>
            <w:pPr>
              <w:ind w:left="260"/>
              <w:spacing w:after="0"/>
              <w:rPr>
                <w:sz w:val="20"/>
                <w:szCs w:val="20"/>
                <w:color w:val="auto"/>
              </w:rPr>
            </w:pPr>
            <w:r>
              <w:rPr>
                <w:rFonts w:ascii="Arial" w:cs="Arial" w:eastAsia="Arial" w:hAnsi="Arial"/>
                <w:sz w:val="15"/>
                <w:szCs w:val="15"/>
                <w:color w:val="auto"/>
              </w:rPr>
              <w:t>Changes in unrealized loss 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160" w:type="dxa"/>
            <w:vAlign w:val="bottom"/>
          </w:tcPr>
          <w:p>
            <w:pPr>
              <w:ind w:left="380"/>
              <w:spacing w:after="0" w:line="166" w:lineRule="exact"/>
              <w:rPr>
                <w:sz w:val="20"/>
                <w:szCs w:val="20"/>
                <w:color w:val="auto"/>
              </w:rPr>
            </w:pPr>
            <w:r>
              <w:rPr>
                <w:rFonts w:ascii="Arial" w:cs="Arial" w:eastAsia="Arial" w:hAnsi="Arial"/>
                <w:sz w:val="15"/>
                <w:szCs w:val="15"/>
                <w:color w:val="auto"/>
              </w:rPr>
              <w:t>available-for-sale securities</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5"/>
                <w:szCs w:val="15"/>
                <w:color w:val="auto"/>
              </w:rPr>
              <w:t>222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222</w:t>
            </w:r>
          </w:p>
        </w:tc>
        <w:tc>
          <w:tcPr>
            <w:tcW w:w="80" w:type="dxa"/>
            <w:vAlign w:val="bottom"/>
          </w:tcPr>
          <w:p>
            <w:pPr>
              <w:spacing w:after="0"/>
              <w:rPr>
                <w:sz w:val="14"/>
                <w:szCs w:val="14"/>
                <w:color w:val="auto"/>
              </w:rPr>
            </w:pPr>
          </w:p>
        </w:tc>
      </w:tr>
      <w:tr>
        <w:trPr>
          <w:trHeight w:val="172"/>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exercise of preferred stock warrant</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5"/>
        </w:trPr>
        <w:tc>
          <w:tcPr>
            <w:tcW w:w="316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to Series A preferred stock</w:t>
            </w: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198</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line="166" w:lineRule="exact"/>
              <w:rPr>
                <w:sz w:val="20"/>
                <w:szCs w:val="20"/>
                <w:color w:val="auto"/>
              </w:rPr>
            </w:pPr>
            <w:r>
              <w:rPr>
                <w:rFonts w:ascii="Arial" w:cs="Arial" w:eastAsia="Arial" w:hAnsi="Arial"/>
                <w:sz w:val="15"/>
                <w:szCs w:val="15"/>
                <w:color w:val="auto"/>
              </w:rPr>
              <w:t>—</w:t>
            </w:r>
          </w:p>
        </w:tc>
      </w:tr>
      <w:tr>
        <w:trPr>
          <w:trHeight w:val="172"/>
        </w:trPr>
        <w:tc>
          <w:tcPr>
            <w:tcW w:w="3160" w:type="dxa"/>
            <w:vAlign w:val="bottom"/>
          </w:tcPr>
          <w:p>
            <w:pPr>
              <w:ind w:left="260"/>
              <w:spacing w:after="0"/>
              <w:rPr>
                <w:sz w:val="20"/>
                <w:szCs w:val="20"/>
                <w:color w:val="auto"/>
              </w:rPr>
            </w:pPr>
            <w:r>
              <w:rPr>
                <w:rFonts w:ascii="Arial" w:cs="Arial" w:eastAsia="Arial" w:hAnsi="Arial"/>
                <w:sz w:val="15"/>
                <w:szCs w:val="15"/>
                <w:color w:val="auto"/>
              </w:rPr>
              <w:t>Cumulative effect adjustment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160" w:type="dxa"/>
            <w:vAlign w:val="bottom"/>
          </w:tcPr>
          <w:p>
            <w:pPr>
              <w:ind w:left="380"/>
              <w:spacing w:after="0" w:line="166" w:lineRule="exact"/>
              <w:rPr>
                <w:sz w:val="20"/>
                <w:szCs w:val="20"/>
                <w:color w:val="auto"/>
              </w:rPr>
            </w:pPr>
            <w:r>
              <w:rPr>
                <w:rFonts w:ascii="Arial" w:cs="Arial" w:eastAsia="Arial" w:hAnsi="Arial"/>
                <w:sz w:val="15"/>
                <w:szCs w:val="15"/>
                <w:color w:val="auto"/>
              </w:rPr>
              <w:t>adoption of ASU 2014-09</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(6,156)</w:t>
            </w:r>
          </w:p>
        </w:tc>
        <w:tc>
          <w:tcPr>
            <w:tcW w:w="180" w:type="dxa"/>
            <w:vAlign w:val="bottom"/>
          </w:tcPr>
          <w:p>
            <w:pPr>
              <w:spacing w:after="0"/>
              <w:rPr>
                <w:sz w:val="14"/>
                <w:szCs w:val="14"/>
                <w:color w:val="auto"/>
              </w:rPr>
            </w:pPr>
          </w:p>
        </w:tc>
        <w:tc>
          <w:tcPr>
            <w:tcW w:w="92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(6,156)</w:t>
            </w: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 and comprehensive loss</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(8,268)</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(8,268)</w:t>
            </w:r>
          </w:p>
        </w:tc>
      </w:tr>
      <w:tr>
        <w:trPr>
          <w:trHeight w:val="20"/>
        </w:trPr>
        <w:tc>
          <w:tcPr>
            <w:tcW w:w="3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3160" w:type="dxa"/>
            <w:vAlign w:val="bottom"/>
          </w:tcPr>
          <w:p>
            <w:pPr>
              <w:spacing w:after="0" w:line="169" w:lineRule="exact"/>
              <w:rPr>
                <w:sz w:val="20"/>
                <w:szCs w:val="20"/>
                <w:color w:val="auto"/>
              </w:rPr>
            </w:pPr>
            <w:r>
              <w:rPr>
                <w:rFonts w:ascii="Arial" w:cs="Arial" w:eastAsia="Arial" w:hAnsi="Arial"/>
                <w:sz w:val="15"/>
                <w:szCs w:val="15"/>
                <w:color w:val="auto"/>
              </w:rPr>
              <w:t>Balance at March 31, 2019</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47,283</w:t>
            </w:r>
          </w:p>
        </w:tc>
        <w:tc>
          <w:tcPr>
            <w:tcW w:w="2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w w:val="95"/>
              </w:rPr>
              <w:t>$ 295,072</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6,855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23"/>
              <w:spacing w:after="0" w:line="169" w:lineRule="exact"/>
              <w:rPr>
                <w:sz w:val="20"/>
                <w:szCs w:val="20"/>
                <w:color w:val="auto"/>
              </w:rPr>
            </w:pPr>
            <w:r>
              <w:rPr>
                <w:rFonts w:ascii="Arial" w:cs="Arial" w:eastAsia="Arial" w:hAnsi="Arial"/>
                <w:sz w:val="15"/>
                <w:szCs w:val="15"/>
                <w:color w:val="auto"/>
                <w:w w:val="95"/>
              </w:rPr>
              <w:t>$</w:t>
            </w:r>
          </w:p>
        </w:tc>
        <w:tc>
          <w:tcPr>
            <w:tcW w:w="18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c>
          <w:tcPr>
            <w:tcW w:w="22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42,477</w:t>
            </w:r>
          </w:p>
        </w:tc>
        <w:tc>
          <w:tcPr>
            <w:tcW w:w="220" w:type="dxa"/>
            <w:vAlign w:val="bottom"/>
          </w:tcPr>
          <w:p>
            <w:pPr>
              <w:spacing w:after="0"/>
              <w:rPr>
                <w:sz w:val="14"/>
                <w:szCs w:val="14"/>
                <w:color w:val="auto"/>
              </w:rPr>
            </w:pPr>
          </w:p>
        </w:tc>
        <w:tc>
          <w:tcPr>
            <w:tcW w:w="2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(45)</w:t>
            </w:r>
          </w:p>
        </w:tc>
        <w:tc>
          <w:tcPr>
            <w:tcW w:w="1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(161,617)</w:t>
            </w:r>
          </w:p>
        </w:tc>
        <w:tc>
          <w:tcPr>
            <w:tcW w:w="1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(119,178)</w:t>
            </w:r>
          </w:p>
        </w:tc>
      </w:tr>
      <w:tr>
        <w:trPr>
          <w:trHeight w:val="20"/>
        </w:trPr>
        <w:tc>
          <w:tcPr>
            <w:tcW w:w="3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spacing w:after="0"/>
              <w:rPr>
                <w:sz w:val="19"/>
                <w:szCs w:val="19"/>
                <w:color w:val="auto"/>
              </w:rPr>
            </w:pPr>
          </w:p>
        </w:tc>
        <w:tc>
          <w:tcPr>
            <w:tcW w:w="34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(8,268)</w:t>
            </w:r>
          </w:p>
        </w:tc>
        <w:tc>
          <w:tcPr>
            <w:tcW w:w="134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marketable securities</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8"/>
                <w:szCs w:val="18"/>
                <w:color w:val="auto"/>
              </w:rPr>
              <w:t>Stock-based compensation expenses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 from related party collaboration</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72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(72,734)</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(36,966)</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exercise of</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400"/>
              <w:spacing w:after="0" w:line="203" w:lineRule="exact"/>
              <w:rPr>
                <w:sz w:val="20"/>
                <w:szCs w:val="20"/>
                <w:color w:val="auto"/>
              </w:rPr>
            </w:pPr>
            <w:r>
              <w:rPr>
                <w:rFonts w:ascii="Arial" w:cs="Arial" w:eastAsia="Arial" w:hAnsi="Arial"/>
                <w:sz w:val="18"/>
                <w:szCs w:val="18"/>
                <w:color w:val="auto"/>
              </w:rPr>
              <w:t>stock options</w:t>
            </w:r>
          </w:p>
        </w:tc>
        <w:tc>
          <w:tcPr>
            <w:tcW w:w="1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deferred financing costs</w:t>
            </w: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(9,610)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2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49,562</w:t>
            </w:r>
          </w:p>
        </w:tc>
        <w:tc>
          <w:tcPr>
            <w:tcW w:w="180" w:type="dxa"/>
            <w:vAlign w:val="bottom"/>
          </w:tcPr>
          <w:p>
            <w:pPr>
              <w:spacing w:after="0"/>
              <w:rPr>
                <w:sz w:val="22"/>
                <w:szCs w:val="22"/>
                <w:color w:val="auto"/>
              </w:rPr>
            </w:pPr>
          </w:p>
        </w:tc>
        <w:tc>
          <w:tcPr>
            <w:tcW w:w="134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53,839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1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60"/>
              <w:spacing w:after="0"/>
              <w:rPr>
                <w:sz w:val="20"/>
                <w:szCs w:val="20"/>
                <w:color w:val="auto"/>
              </w:rPr>
            </w:pPr>
            <w:r>
              <w:rPr>
                <w:rFonts w:ascii="Arial" w:cs="Arial" w:eastAsia="Arial" w:hAnsi="Arial"/>
                <w:sz w:val="18"/>
                <w:szCs w:val="18"/>
                <w:color w:val="auto"/>
              </w:rPr>
              <w:t>Net exercise of convertible preferred stock warrant to Series</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400"/>
              <w:spacing w:after="0" w:line="203" w:lineRule="exact"/>
              <w:rPr>
                <w:sz w:val="20"/>
                <w:szCs w:val="20"/>
                <w:color w:val="auto"/>
              </w:rPr>
            </w:pPr>
            <w:r>
              <w:rPr>
                <w:rFonts w:ascii="Arial" w:cs="Arial" w:eastAsia="Arial" w:hAnsi="Arial"/>
                <w:sz w:val="18"/>
                <w:szCs w:val="18"/>
                <w:color w:val="auto"/>
              </w:rPr>
              <w:t>A preferred stock</w:t>
            </w:r>
          </w:p>
        </w:tc>
        <w:tc>
          <w:tcPr>
            <w:tcW w:w="1200" w:type="dxa"/>
            <w:vAlign w:val="bottom"/>
          </w:tcPr>
          <w:p>
            <w:pPr>
              <w:jc w:val="right"/>
              <w:ind w:right="101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198</w:t>
            </w:r>
          </w:p>
        </w:tc>
        <w:tc>
          <w:tcPr>
            <w:tcW w:w="180" w:type="dxa"/>
            <w:vAlign w:val="bottom"/>
          </w:tcPr>
          <w:p>
            <w:pPr>
              <w:spacing w:after="0"/>
              <w:rPr>
                <w:sz w:val="17"/>
                <w:szCs w:val="17"/>
                <w:color w:val="auto"/>
              </w:rPr>
            </w:pPr>
          </w:p>
        </w:tc>
        <w:tc>
          <w:tcPr>
            <w:tcW w:w="1340" w:type="dxa"/>
            <w:vAlign w:val="bottom"/>
            <w:gridSpan w:val="2"/>
          </w:tcPr>
          <w:p>
            <w:pPr>
              <w:jc w:val="right"/>
              <w:ind w:right="114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stock from early exercises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60"/>
              <w:spacing w:after="0"/>
              <w:rPr>
                <w:sz w:val="20"/>
                <w:szCs w:val="20"/>
                <w:color w:val="auto"/>
              </w:rPr>
            </w:pPr>
            <w:r>
              <w:rPr>
                <w:rFonts w:ascii="Arial" w:cs="Arial" w:eastAsia="Arial" w:hAnsi="Arial"/>
                <w:sz w:val="18"/>
                <w:szCs w:val="18"/>
                <w:color w:val="auto"/>
              </w:rPr>
              <w:t>Cost of property and equipment in accounts payable and</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400"/>
              <w:spacing w:after="0" w:line="203" w:lineRule="exact"/>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925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IPO costs in accounts payable and accrued</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liabilities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1,122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CONDSENSED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6"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 -driven,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diabetes, obesity, oncology and age-related macular degeneration, or AMD.</w:t>
      </w:r>
    </w:p>
    <w:p>
      <w:pPr>
        <w:spacing w:after="0" w:line="203" w:lineRule="exact"/>
        <w:rPr>
          <w:sz w:val="20"/>
          <w:szCs w:val="20"/>
          <w:color w:val="auto"/>
        </w:rPr>
      </w:pPr>
    </w:p>
    <w:p>
      <w:pPr>
        <w:ind w:right="160" w:firstLine="518"/>
        <w:spacing w:after="0" w:line="246" w:lineRule="auto"/>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 South San Francisco, California 94080. The Company operates in one business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6"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0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condensed consolidated financial statements should be read in conjunction with the audited consolidated financial statements and notes for the year ended December 31, 2018, included in the Company’s final prospectus filed with the SEC pursuant to Rule 424(b) under the Securities Act of 1933, as amended, on April 4, 2019 (the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two-for-one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condensed consolidated financial statements have been retrospectively adjusted to reflect the effect of the Reverse Stock Split for all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Company filed its S-1 on September 28, 2018 and the first amendment to the S-1 on March 25, 2019. The Company disclosed 7,666,667 shares of its common stock would be registered, which included 1,000,000 shares of its common stock issued pursuant to the over-allotment option granted to the underwriters, at an estimated price range to the public of $14.00 to $16.00 per share. It also announced the Company had applied to list its stock on the Nasdaq Global Select Market under the ticker symbol “NGM”. Refer to Note 12 for more information on the Company’s initial public offering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clinical trial accruals and revenue in accordance with Accounting Standards Codification 606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three months ended March 31, 2019 and 2018, the Company incurred net losses of $ 8.3 million and $3.9 million, respectively. At March 31, 2019, the Company had an accumulated deficit of $161.6 million and does not expect to experience positive cash flows from operations in the near future. The Company had $193.4 million of cash, cash equivalents and marketable securities at March 31, 2019. To fully implement the Company’s business plan and fund its operations, the Company intends to raise capital through the issuance of equity securities or debt financings, collaborations, strategic alliances and licensing arrangements, government or other third-party funding or a combination of these. However, if capital is not available at adequate levels, the Company will need to reevaluate its operating plan and may be required to delay the development of its product candidates. The Company expects that its cash and cash equivalents and investments will be sufficient to fund its operations for a period of at least one year from the date the unaudited condensed financial statements are filed with the Securities and Exchange Commission (“SEC”).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6"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Costs incurred in connection with the IPO primarily consist of direct incremental legal, printing and accounting fees. Initial public offering costs are capitalized as incurred and will be offset against proceeds upon consummation of this offering. As of March 31, 2019 and December 31, 2018, there were $3.7 million and $2.3 million, respectively, of deferred initial public offering costs included on the accompanying condensed 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receivables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March 31, 2019 and December 31, 2018, cash and cash equivalents consisted of bank deposits and investments in money market funds.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3" w:lineRule="exact"/>
        <w:rPr>
          <w:sz w:val="20"/>
          <w:szCs w:val="20"/>
          <w:color w:val="auto"/>
        </w:rPr>
      </w:pPr>
    </w:p>
    <w:p>
      <w:pPr>
        <w:ind w:right="260" w:firstLine="518"/>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right="240" w:firstLine="518"/>
        <w:spacing w:after="0"/>
        <w:rPr>
          <w:sz w:val="20"/>
          <w:szCs w:val="20"/>
          <w:color w:val="auto"/>
        </w:rPr>
      </w:pPr>
      <w:r>
        <w:rPr>
          <w:rFonts w:ascii="Arial" w:cs="Arial" w:eastAsia="Arial" w:hAnsi="Arial"/>
          <w:sz w:val="18"/>
          <w:szCs w:val="18"/>
          <w:color w:val="auto"/>
        </w:rPr>
        <w:t>As of March 31, 2019 and December 31, 2018, the Company had $ 2.2 million of restricted cash classified as a non-current asset. The restricted cash serves as collateral for a facility lease entered into in 2015 (Note 7). Restricted cash is classified as a current asset if the collateral will be returned in less than 12 months.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6"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2"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Receivables and related party receivables from collaborations (Notes 5 and 6) are typically unsecured. Accordingly, the Company may be exposed to credit risk generally associated with its current collaboration agreement (“Collaboration Agreement”) with Merck Sharp &amp; Dohme Corp. (“Merck”) and any future collaboration agreements with other collaboration partners. To date, the Company has not experienced any losses related to these receivables.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Merck accounted for 100% of the Company’s revenue for the three months ended March 31, 2019 and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jc w:val="both"/>
        <w:ind w:firstLine="518"/>
        <w:spacing w:after="0" w:line="239"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900" w:type="dxa"/>
            <w:vAlign w:val="bottom"/>
            <w:shd w:val="clear" w:color="auto" w:fill="CFF0FC"/>
          </w:tcPr>
          <w:p>
            <w:pPr>
              <w:ind w:left="2220"/>
              <w:spacing w:after="0"/>
              <w:rPr>
                <w:sz w:val="20"/>
                <w:szCs w:val="20"/>
                <w:color w:val="auto"/>
              </w:rPr>
            </w:pPr>
            <w:r>
              <w:rPr>
                <w:rFonts w:ascii="Arial" w:cs="Arial" w:eastAsia="Arial" w:hAnsi="Arial"/>
                <w:sz w:val="18"/>
                <w:szCs w:val="18"/>
                <w:color w:val="auto"/>
              </w:rPr>
              <w:t>3 years</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900" w:type="dxa"/>
            <w:vAlign w:val="bottom"/>
          </w:tcPr>
          <w:p>
            <w:pPr>
              <w:ind w:left="222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900" w:type="dxa"/>
            <w:vAlign w:val="bottom"/>
            <w:shd w:val="clear" w:color="auto" w:fill="CFF0FC"/>
          </w:tcPr>
          <w:p>
            <w:pPr>
              <w:ind w:left="222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March 31, 2019 and December 31, 2018, no revision to the remaining useful lives or write-down of long-lived assets was required.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Freestanding warrants to purchase the Company’s convertible preferred stock are classified as a liability on the condensed consolidated balance sheet at December 31, 2018. The convertible preferred stock warrants are recorded as a liability and subject to remeasurement at each balance sheet date, with changes in estimated fair value recognized as a component of total other income (expense), net in the Company’s consolidated statements of operations, because the underlying shares of convertible preferred stock are contingently redeemable, which, therefore, may obligate the Company to transfer assets at some point in the future to settle these warrants. On February 3, 2019 all convertible preferred stock warrants were automatically exercised on a net basis into 16,380 shares of Series A convertible preferred stock at a fair value of $0.2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On January 1, 2019, the Company adopted Accounting Standards Update 2014-09, Revenue from Contracts with Customers, and subsequent amendments (ASC 606),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Accounting Standards Codification Topic 605, Revenue Recognition (“ASC 605”).</w:t>
      </w:r>
    </w:p>
    <w:p>
      <w:pPr>
        <w:spacing w:after="0" w:line="203"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w:t>
      </w:r>
    </w:p>
    <w:p>
      <w:pPr>
        <w:spacing w:after="0" w:line="2" w:lineRule="exact"/>
        <w:rPr>
          <w:sz w:val="20"/>
          <w:szCs w:val="20"/>
          <w:color w:val="auto"/>
        </w:rPr>
      </w:pPr>
    </w:p>
    <w:p>
      <w:pPr>
        <w:ind w:right="40" w:firstLine="8"/>
        <w:spacing w:after="0" w:line="246"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97"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8"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variable consideration related to the performance of research and development services. The Company typically submits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1" w:name="page12"/>
    <w:bookmarkEnd w:id="11"/>
    <w:p>
      <w:pPr>
        <w:spacing w:after="0" w:line="236" w:lineRule="auto"/>
        <w:rPr>
          <w:sz w:val="20"/>
          <w:szCs w:val="20"/>
          <w:color w:val="auto"/>
        </w:rPr>
      </w:pPr>
      <w:r>
        <w:rPr>
          <w:rFonts w:ascii="Arial" w:cs="Arial" w:eastAsia="Arial" w:hAnsi="Arial"/>
          <w:sz w:val="18"/>
          <w:szCs w:val="18"/>
          <w:color w:val="auto"/>
        </w:rPr>
        <w:t>the transaction price by using the most likely amount method. If it is probable that a significant revenue reversal would not occur, the associated milestone value is included in the transaction price. Milestone payments that are not within the Company’s or its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0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Prior to the adoption of ASC 606, the Company’s revenue from collaboration agreements was recognized when the Company determined that persuasive evidence of an arrangement exists, services had been rendered, the price was fixed or determinable, and collectability was reasonably assured. The Company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the Company used the best estimate of selling price for that deliverable.</w:t>
      </w:r>
    </w:p>
    <w:p>
      <w:pPr>
        <w:spacing w:after="0" w:line="208"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most significant change to the Company’s policies upon the adoption of ASC 606 is the estimation of an arrangement’s total transaction price, which would include any variable consideration and the recognition of that transaction price based on a cost-based input method that requires significant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quarter ending March 31, 2019 or in future periods (see Recently Adopted Accounting Pronouncements).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3"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 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6"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 w:name="page13"/>
    <w:bookmarkEnd w:id="12"/>
    <w:p>
      <w:pPr>
        <w:ind w:right="220"/>
        <w:spacing w:after="0" w:line="246" w:lineRule="auto"/>
        <w:rPr>
          <w:sz w:val="20"/>
          <w:szCs w:val="20"/>
          <w:color w:val="auto"/>
        </w:rPr>
      </w:pPr>
      <w:r>
        <w:rPr>
          <w:rFonts w:ascii="Arial" w:cs="Arial" w:eastAsia="Arial" w:hAnsi="Arial"/>
          <w:sz w:val="18"/>
          <w:szCs w:val="18"/>
          <w:color w:val="auto"/>
        </w:rPr>
        <w:t>are remeasured to U.S. dollars using the average exchange rates in effect during the period. Remeasurement gains and losses are recorded as other income (expense).</w:t>
      </w:r>
    </w:p>
    <w:p>
      <w:pPr>
        <w:spacing w:after="0" w:line="197" w:lineRule="exact"/>
        <w:rPr>
          <w:sz w:val="20"/>
          <w:szCs w:val="20"/>
          <w:color w:val="auto"/>
        </w:rPr>
      </w:pPr>
    </w:p>
    <w:p>
      <w:pPr>
        <w:jc w:val="both"/>
        <w:ind w:right="120" w:firstLine="518"/>
        <w:spacing w:after="0" w:line="239"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and the Euro. Payments on contracts denominated in foreign currencies are made at the spot rate on the day of payment. Changes in the exchange rate between billing dates and payment dates are recorded to other income (expense), net on the condensed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jc w:val="both"/>
        <w:ind w:right="80" w:firstLine="518"/>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three months ended March 31, 2019 and 2018, the difference between comprehensive loss and net loss consisted of changes in net unrealized gain on marketable securities of $0.2 million, and changes in net unrealized loss on marketable securities of $0.2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three months ended March 31, 2019 and 2018, all potential common shares were determined to be anti-dilutive.</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share and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56"/>
        </w:trPr>
        <w:tc>
          <w:tcPr>
            <w:tcW w:w="71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(8,268)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r>
      <w:tr>
        <w:trPr>
          <w:trHeight w:val="197"/>
        </w:trPr>
        <w:tc>
          <w:tcPr>
            <w:tcW w:w="71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7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Weighted-average number of common shares used in calculating net income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710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per share—basic and diluted</w:t>
            </w:r>
          </w:p>
        </w:tc>
        <w:tc>
          <w:tcPr>
            <w:tcW w:w="7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6,812,129</w:t>
            </w:r>
          </w:p>
        </w:tc>
        <w:tc>
          <w:tcPr>
            <w:tcW w:w="2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6,127,040</w:t>
            </w:r>
          </w:p>
        </w:tc>
        <w:tc>
          <w:tcPr>
            <w:tcW w:w="120" w:type="dxa"/>
            <w:vAlign w:val="bottom"/>
            <w:tcBorders>
              <w:bottom w:val="single" w:sz="8" w:color="CFF0FC"/>
            </w:tcBorders>
          </w:tcPr>
          <w:p>
            <w:pPr>
              <w:spacing w:after="0"/>
              <w:rPr>
                <w:sz w:val="21"/>
                <w:szCs w:val="21"/>
                <w:color w:val="auto"/>
              </w:rPr>
            </w:pPr>
          </w:p>
        </w:tc>
      </w:tr>
      <w:tr>
        <w:trPr>
          <w:trHeight w:val="197"/>
        </w:trPr>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0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(1.21)</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(0.64)</w:t>
            </w:r>
          </w:p>
        </w:tc>
      </w:tr>
      <w:tr>
        <w:trPr>
          <w:trHeight w:val="20"/>
        </w:trPr>
        <w:tc>
          <w:tcPr>
            <w:tcW w:w="7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ind w:right="420" w:firstLine="518"/>
        <w:spacing w:after="0" w:line="246"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35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7860" w:type="dxa"/>
            <w:vAlign w:val="bottom"/>
          </w:tcPr>
          <w:p>
            <w:pPr>
              <w:spacing w:after="0"/>
              <w:rPr>
                <w:sz w:val="19"/>
                <w:szCs w:val="19"/>
                <w:color w:val="auto"/>
              </w:rPr>
            </w:pPr>
          </w:p>
        </w:tc>
        <w:tc>
          <w:tcPr>
            <w:tcW w:w="228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86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47,283,846</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11,183,787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9,648,987</w:t>
            </w: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convertible preferred stock</w:t>
            </w:r>
          </w:p>
        </w:tc>
        <w:tc>
          <w:tcPr>
            <w:tcW w:w="228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shd w:val="clear" w:color="auto" w:fill="CFF0FC"/>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58,467,633</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56,936,090</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three months ended March 31, 2019 and 2018, the Company’s revenues were entirely within the United States based upon the location of the customers.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condensed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In November 2016, the FASB issued ASU No. 2016-18, Statement of Cash Flows (Topic 230)—Restricted Cash,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using the retrospective transition method to each period presented having no effect within the classification of its condensed consolidated statements of cash flows due to there being no changes in the Company’s restricted cash balances for any of the years presented.</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(ASC 606), which requires an entity to recognize the amount of revenue to which it expects to be entitled for the transfer of promised goods or services to customers. ASU 2014-09 replaced existing revenue recognition guidance and permits the use of either the full retrospective or modified retrospective transition method. Additionally, in March 2016, the FASB issued ASU No. 2016-08, Revenue from Contracts with Customers (ASC 606): Principal versus Agent Considerations (Reporting Revenue Gross versus Net), which clarifies the implementation guidance on principal versus agent considerations in ASU No. 2014-09. In April 2016, the FASB issued ASU No. 2016-10, Revenue from Contracts with Customers (ASC 606): Identifying Performance Obligations and Licensing, which clarifies certain aspects of identifying performance obligations and licensing implementation guidance. In May 2016, the FASB issued ASU No. 2016-12, Revenue from Contracts with Customers (ASC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For the Company, these standards (collectively ASC 606) have the same effective date and transition date of January 1, 2019.</w:t>
      </w:r>
    </w:p>
    <w:p>
      <w:pPr>
        <w:spacing w:after="0" w:line="20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Company adopted ASC 606 on January 1, 2019, using the modified retrospective transition method and, therefore, evaluated its contract with Merck under ASC 606. The Company recorded adjustments upon the adoption of ASC 606 as a result of the Company concluding that licenses and research and development services promised in the agreement are a single combined performance obligation. This determination impacts the timing of recognition of both the non-refundable upfront fee and the payments related to the services. Under previous guidance, the upfront fee was recognized ratably over the contract term, and fees related to the services were recognized in the period the services were performed. Under ASC 606, revenue for the single performance obligation is recognized over time using a cost-based input method to measure progress toward completion of the single combined performance obligation. The adoption of ASC 606 impacted the Company’s contract liabilities and accumulated deficit balance as of January 1, 2019 as follows (in thousands):</w:t>
      </w: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3"/>
          </w:tcPr>
          <w:p>
            <w:pPr>
              <w:jc w:val="center"/>
              <w:ind w:right="220"/>
              <w:spacing w:after="0" w:line="187" w:lineRule="exact"/>
              <w:rPr>
                <w:sz w:val="20"/>
                <w:szCs w:val="20"/>
                <w:color w:val="auto"/>
              </w:rPr>
            </w:pPr>
            <w:r>
              <w:rPr>
                <w:rFonts w:ascii="Arial" w:cs="Arial" w:eastAsia="Arial" w:hAnsi="Arial"/>
                <w:sz w:val="18"/>
                <w:szCs w:val="18"/>
                <w:b w:val="1"/>
                <w:bCs w:val="1"/>
                <w:color w:val="auto"/>
                <w:w w:val="99"/>
              </w:rPr>
              <w:t>Adjustments due to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December 31,</w:t>
            </w:r>
          </w:p>
        </w:tc>
        <w:tc>
          <w:tcPr>
            <w:tcW w:w="20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the Adoption of ASC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37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606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January 1, 2019</w:t>
            </w:r>
          </w:p>
        </w:tc>
        <w:tc>
          <w:tcPr>
            <w:tcW w:w="120" w:type="dxa"/>
            <w:vAlign w:val="bottom"/>
            <w:tcBorders>
              <w:bottom w:val="single" w:sz="8" w:color="CFF0FC"/>
            </w:tcBorders>
          </w:tcPr>
          <w:p>
            <w:pPr>
              <w:spacing w:after="0"/>
              <w:rPr>
                <w:sz w:val="19"/>
                <w:szCs w:val="19"/>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24,196</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(147,193)</w:t>
            </w: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(153,349)</w:t>
            </w:r>
          </w:p>
        </w:tc>
      </w:tr>
    </w:tbl>
    <w:p>
      <w:pPr>
        <w:spacing w:after="0" w:line="215"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The impact of the adoption of ASC 606 on the condensed consolidated balance sheet as of March 31, 2019, condensed consolidated statement of operations and cash flows for the three months ended March 31, 2019 was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March 31, 2019</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right"/>
              <w:ind w:right="60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310"/>
              <w:spacing w:after="0" w:line="187" w:lineRule="exact"/>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ASC 605</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16,877</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(156,453)</w:t>
            </w:r>
          </w:p>
        </w:tc>
        <w:tc>
          <w:tcPr>
            <w:tcW w:w="22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(161,617)</w:t>
            </w:r>
          </w:p>
        </w:tc>
        <w:tc>
          <w:tcPr>
            <w:tcW w:w="20" w:type="dxa"/>
            <w:vAlign w:val="bottom"/>
          </w:tcPr>
          <w:p>
            <w:pPr>
              <w:spacing w:after="0"/>
              <w:rPr>
                <w:sz w:val="19"/>
                <w:szCs w:val="19"/>
                <w:color w:val="auto"/>
              </w:rPr>
            </w:pPr>
          </w:p>
        </w:tc>
      </w:tr>
      <w:tr>
        <w:trPr>
          <w:trHeight w:val="419"/>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09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40" w:type="dxa"/>
            <w:vAlign w:val="bottom"/>
            <w:gridSpan w:val="8"/>
          </w:tcPr>
          <w:p>
            <w:pPr>
              <w:jc w:val="right"/>
              <w:ind w:right="1640"/>
              <w:spacing w:after="0"/>
              <w:rPr>
                <w:sz w:val="20"/>
                <w:szCs w:val="20"/>
                <w:color w:val="auto"/>
              </w:rPr>
            </w:pPr>
            <w:r>
              <w:rPr>
                <w:rFonts w:ascii="Arial" w:cs="Arial" w:eastAsia="Arial" w:hAnsi="Arial"/>
                <w:sz w:val="18"/>
                <w:szCs w:val="18"/>
                <w:b w:val="1"/>
                <w:bCs w:val="1"/>
                <w:color w:val="auto"/>
              </w:rPr>
              <w:t>Three Months Ended March 31, 2019</w:t>
            </w:r>
          </w:p>
        </w:tc>
      </w:tr>
      <w:tr>
        <w:trPr>
          <w:trHeight w:val="187"/>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right"/>
              <w:ind w:right="60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310"/>
              <w:spacing w:after="0" w:line="187" w:lineRule="exact"/>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16"/>
                <w:szCs w:val="16"/>
                <w:color w:val="auto"/>
              </w:rPr>
            </w:pPr>
          </w:p>
        </w:tc>
      </w:tr>
      <w:tr>
        <w:trPr>
          <w:trHeight w:val="225"/>
        </w:trPr>
        <w:tc>
          <w:tcPr>
            <w:tcW w:w="5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ASC 605</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Under ASC 606</w:t>
            </w:r>
          </w:p>
        </w:tc>
        <w:tc>
          <w:tcPr>
            <w:tcW w:w="120" w:type="dxa"/>
            <w:vAlign w:val="bottom"/>
            <w:tcBorders>
              <w:bottom w:val="single" w:sz="8" w:color="CFF0FC"/>
            </w:tcBorders>
          </w:tcPr>
          <w:p>
            <w:pPr>
              <w:spacing w:after="0"/>
              <w:rPr>
                <w:sz w:val="19"/>
                <w:szCs w:val="19"/>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12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(10,334)</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(9,342)</w:t>
            </w: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(9,260)</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(8,268)</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40" w:type="dxa"/>
            <w:vAlign w:val="bottom"/>
            <w:gridSpan w:val="9"/>
          </w:tcPr>
          <w:p>
            <w:pPr>
              <w:jc w:val="right"/>
              <w:ind w:right="1640"/>
              <w:spacing w:after="0"/>
              <w:rPr>
                <w:sz w:val="20"/>
                <w:szCs w:val="20"/>
                <w:color w:val="auto"/>
              </w:rPr>
            </w:pPr>
            <w:r>
              <w:rPr>
                <w:rFonts w:ascii="Arial" w:cs="Arial" w:eastAsia="Arial" w:hAnsi="Arial"/>
                <w:sz w:val="18"/>
                <w:szCs w:val="18"/>
                <w:b w:val="1"/>
                <w:bCs w:val="1"/>
                <w:color w:val="auto"/>
              </w:rPr>
              <w:t>Three Months Ended March 31, 2019</w:t>
            </w:r>
          </w:p>
        </w:tc>
      </w:tr>
      <w:tr>
        <w:trPr>
          <w:trHeight w:val="187"/>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right"/>
              <w:ind w:right="60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310"/>
              <w:spacing w:after="0" w:line="187" w:lineRule="exact"/>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16"/>
                <w:szCs w:val="16"/>
                <w:color w:val="auto"/>
              </w:rPr>
            </w:pPr>
          </w:p>
        </w:tc>
      </w:tr>
      <w:tr>
        <w:trPr>
          <w:trHeight w:val="225"/>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ASC 605</w:t>
            </w:r>
          </w:p>
        </w:tc>
        <w:tc>
          <w:tcPr>
            <w:tcW w:w="220" w:type="dxa"/>
            <w:vAlign w:val="bottom"/>
          </w:tcPr>
          <w:p>
            <w:pPr>
              <w:spacing w:after="0"/>
              <w:rPr>
                <w:sz w:val="19"/>
                <w:szCs w:val="19"/>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Under ASC 606</w:t>
            </w:r>
          </w:p>
        </w:tc>
      </w:tr>
      <w:tr>
        <w:trPr>
          <w:trHeight w:val="210"/>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(9,260)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(8,268)</w:t>
            </w: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(6,090)</w:t>
            </w:r>
          </w:p>
        </w:tc>
        <w:tc>
          <w:tcPr>
            <w:tcW w:w="22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(7,082)</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February 2016, the FASB issued ASU No. 2016-02, Leases (Topic 842), which increases lease transparency and comparability among organizations. Under the new standard, lessees will be required to recognize all assets and liabilities arising from leases on the balance sheet, with the exception of leases with a term of 12 months or less, which permits a lessee to make an accounting policy election by class of underlying asset not to recognize lease assets and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The Company is currently assessing the timing of adoption and the impact that the adoption of ASU 2016-02 will have on its condensed consolidated financial statements and related disclosures.</w:t>
      </w:r>
    </w:p>
    <w:p>
      <w:pPr>
        <w:spacing w:after="0" w:line="208"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 part of the FASB simplification initiative. The new standard expands the scope of 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condensed consolidated financial statements and related disclosures.</w:t>
      </w:r>
    </w:p>
    <w:p>
      <w:pPr>
        <w:spacing w:after="0" w:line="20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August 2018, the FASB issued ASU No. 2018-13, Fair Value Measurements (Topic 820): Disclosure Framework – Changes to the Disclosure Requirements for Fair Value Measurement as part of the FASB’s disclosure framework project. This ASU modifies the 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condensed consolidated financial statements.</w:t>
      </w:r>
    </w:p>
    <w:p>
      <w:pPr>
        <w:spacing w:after="0" w:line="206"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November 2018, the FASB issued ASU No. 2018-18, Collaborative Arrangements (ASC 808): Clarifying the Interaction between ASC 808 and ASC 606, which clarifies that certain transactions between collaborative arrangement participants should be accounted for as revenue under ASC 606 when then collaborative arrangement participant is a customer in the context of a unit of account. In those situations, all the guidance in ASC 606 should be applied, including recognition, measurement, presentation, and disclosure requirements. This ASU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5" w:name="page16"/>
    <w:bookmarkEnd w:id="15"/>
    <w:p>
      <w:pPr>
        <w:ind w:right="60"/>
        <w:spacing w:after="0"/>
        <w:rPr>
          <w:sz w:val="20"/>
          <w:szCs w:val="20"/>
          <w:color w:val="auto"/>
        </w:rPr>
      </w:pPr>
      <w:r>
        <w:rPr>
          <w:rFonts w:ascii="Arial" w:cs="Arial" w:eastAsia="Arial" w:hAnsi="Arial"/>
          <w:sz w:val="18"/>
          <w:szCs w:val="18"/>
          <w:color w:val="auto"/>
        </w:rPr>
        <w:t>together with revenue recognized under ASC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condensed consolidated financial statements.</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The new guidance amended guidance on reporting credit losses for assets held at amortized cost basis and available for sale debt securities. For available for sale debt securities, credit losses will be presented as an allowance rather than as a write-down. This standard is effective for the Company’s fiscal year beginning after December 31, 2020. Early adoption is permitted for all entities. The Company is currently assessing the timing of adoption and the impact that the adoption of ASU 2016-13 will have on its condensed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6"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condensed consolidated financial statements.</w:t>
      </w:r>
    </w:p>
    <w:p>
      <w:pPr>
        <w:spacing w:after="0" w:line="20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ind w:left="1160" w:hanging="634"/>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5" w:lineRule="exact"/>
        <w:rPr>
          <w:sz w:val="20"/>
          <w:szCs w:val="20"/>
          <w:color w:val="auto"/>
        </w:rPr>
      </w:pPr>
    </w:p>
    <w:p>
      <w:pPr>
        <w:ind w:left="1160" w:right="420" w:hanging="634"/>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ind w:right="200" w:firstLine="518"/>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3"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 w:name="page17"/>
    <w:bookmarkEnd w:id="16"/>
    <w:p>
      <w:pPr>
        <w:ind w:right="560" w:firstLine="518"/>
        <w:spacing w:after="0" w:line="246"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Gross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Fair</w:t>
            </w:r>
          </w:p>
        </w:tc>
      </w:tr>
      <w:tr>
        <w:trPr>
          <w:trHeight w:val="225"/>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Gain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r>
      <w:tr>
        <w:trPr>
          <w:trHeight w:val="210"/>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March 31, 2019</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36,821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36,821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63,699</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63,706</w:t>
            </w:r>
          </w:p>
        </w:tc>
        <w:tc>
          <w:tcPr>
            <w:tcW w:w="100" w:type="dxa"/>
            <w:vAlign w:val="bottom"/>
            <w:shd w:val="clear" w:color="auto" w:fill="CFF0FC"/>
          </w:tcPr>
          <w:p>
            <w:pPr>
              <w:spacing w:after="0"/>
              <w:rPr>
                <w:sz w:val="18"/>
                <w:szCs w:val="18"/>
                <w:color w:val="auto"/>
              </w:rPr>
            </w:pPr>
          </w:p>
        </w:tc>
      </w:tr>
      <w:tr>
        <w:trPr>
          <w:trHeight w:val="250"/>
        </w:trPr>
        <w:tc>
          <w:tcPr>
            <w:tcW w:w="5920" w:type="dxa"/>
            <w:vAlign w:val="bottom"/>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182,992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182,947</w:t>
            </w:r>
          </w:p>
        </w:tc>
        <w:tc>
          <w:tcPr>
            <w:tcW w:w="100" w:type="dxa"/>
            <w:vAlign w:val="bottom"/>
          </w:tcPr>
          <w:p>
            <w:pPr>
              <w:spacing w:after="0"/>
              <w:rPr>
                <w:sz w:val="21"/>
                <w:szCs w:val="21"/>
                <w:color w:val="auto"/>
              </w:rPr>
            </w:pPr>
          </w:p>
        </w:tc>
      </w:tr>
      <w:tr>
        <w:trPr>
          <w:trHeight w:val="197"/>
        </w:trPr>
        <w:tc>
          <w:tcPr>
            <w:tcW w:w="59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36,821</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$146,171)</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146,126</w:t>
            </w:r>
          </w:p>
        </w:tc>
        <w:tc>
          <w:tcPr>
            <w:tcW w:w="100" w:type="dxa"/>
            <w:vAlign w:val="bottom"/>
            <w:shd w:val="clear" w:color="auto" w:fill="CFF0FC"/>
          </w:tcPr>
          <w:p>
            <w:pPr>
              <w:spacing w:after="0"/>
              <w:rPr>
                <w:sz w:val="17"/>
                <w:szCs w:val="17"/>
                <w:color w:val="auto"/>
              </w:rPr>
            </w:pPr>
          </w:p>
        </w:tc>
      </w:tr>
      <w:tr>
        <w:trPr>
          <w:trHeight w:val="195"/>
        </w:trPr>
        <w:tc>
          <w:tcPr>
            <w:tcW w:w="592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92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182,947</w:t>
            </w:r>
          </w:p>
        </w:tc>
        <w:tc>
          <w:tcPr>
            <w:tcW w:w="10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Gross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Fair</w:t>
            </w:r>
          </w:p>
        </w:tc>
      </w:tr>
      <w:tr>
        <w:trPr>
          <w:trHeight w:val="225"/>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Gain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r>
      <w:tr>
        <w:trPr>
          <w:trHeight w:val="210"/>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20" w:type="dxa"/>
            <w:vAlign w:val="bottom"/>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184,961</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184,694</w:t>
            </w:r>
          </w:p>
        </w:tc>
        <w:tc>
          <w:tcPr>
            <w:tcW w:w="100" w:type="dxa"/>
            <w:vAlign w:val="bottom"/>
          </w:tcPr>
          <w:p>
            <w:pPr>
              <w:spacing w:after="0"/>
              <w:rPr>
                <w:sz w:val="21"/>
                <w:szCs w:val="21"/>
                <w:color w:val="auto"/>
              </w:rPr>
            </w:pPr>
          </w:p>
        </w:tc>
      </w:tr>
      <w:tr>
        <w:trPr>
          <w:trHeight w:val="197"/>
        </w:trPr>
        <w:tc>
          <w:tcPr>
            <w:tcW w:w="59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$149,978)</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149,710</w:t>
            </w:r>
          </w:p>
        </w:tc>
        <w:tc>
          <w:tcPr>
            <w:tcW w:w="100" w:type="dxa"/>
            <w:vAlign w:val="bottom"/>
            <w:shd w:val="clear" w:color="auto" w:fill="CFF0FC"/>
          </w:tcPr>
          <w:p>
            <w:pPr>
              <w:spacing w:after="0"/>
              <w:rPr>
                <w:sz w:val="17"/>
                <w:szCs w:val="17"/>
                <w:color w:val="auto"/>
              </w:rPr>
            </w:pPr>
          </w:p>
        </w:tc>
      </w:tr>
      <w:tr>
        <w:trPr>
          <w:trHeight w:val="195"/>
        </w:trPr>
        <w:tc>
          <w:tcPr>
            <w:tcW w:w="592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92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184,694</w:t>
            </w:r>
          </w:p>
        </w:tc>
        <w:tc>
          <w:tcPr>
            <w:tcW w:w="10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$10.5 million and $21.9 million as of March 31, 2019 and December 31, 2018, respectively.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and December 31, 2018, the Company’s marketable securities had remaining contractual maturities less than one</w:t>
      </w:r>
    </w:p>
    <w:p>
      <w:pPr>
        <w:spacing w:after="0"/>
        <w:rPr>
          <w:sz w:val="20"/>
          <w:szCs w:val="20"/>
          <w:color w:val="auto"/>
        </w:rPr>
      </w:pPr>
      <w:r>
        <w:rPr>
          <w:rFonts w:ascii="Arial" w:cs="Arial" w:eastAsia="Arial" w:hAnsi="Arial"/>
          <w:sz w:val="18"/>
          <w:szCs w:val="18"/>
          <w:color w:val="auto"/>
        </w:rPr>
        <w:t>year.</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6"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March 31, 2019 and December 31, 2018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March 31, 2019</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36,821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36,821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5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63,706</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63,706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36,821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146,126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182,947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5"/>
        </w:trPr>
        <w:tc>
          <w:tcPr>
            <w:tcW w:w="5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20" w:type="dxa"/>
            <w:vAlign w:val="bottom"/>
            <w:gridSpan w:val="11"/>
          </w:tcPr>
          <w:p>
            <w:pPr>
              <w:ind w:left="480"/>
              <w:spacing w:after="0"/>
              <w:rPr>
                <w:sz w:val="20"/>
                <w:szCs w:val="20"/>
                <w:color w:val="auto"/>
              </w:rPr>
            </w:pPr>
            <w:r>
              <w:rPr>
                <w:rFonts w:ascii="Arial" w:cs="Arial" w:eastAsia="Arial" w:hAnsi="Arial"/>
                <w:sz w:val="18"/>
                <w:szCs w:val="18"/>
                <w:b w:val="1"/>
                <w:bCs w:val="1"/>
                <w:color w:val="auto"/>
              </w:rPr>
              <w:t>Fair Value Measurements at December 31, 2018</w:t>
            </w:r>
          </w:p>
        </w:tc>
      </w:tr>
      <w:tr>
        <w:trPr>
          <w:trHeight w:val="210"/>
        </w:trPr>
        <w:tc>
          <w:tcPr>
            <w:tcW w:w="5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34,983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r>
      <w:tr>
        <w:trPr>
          <w:trHeight w:val="250"/>
        </w:trPr>
        <w:tc>
          <w:tcPr>
            <w:tcW w:w="59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34,983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149,711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184,694</w:t>
            </w:r>
          </w:p>
        </w:tc>
        <w:tc>
          <w:tcPr>
            <w:tcW w:w="100" w:type="dxa"/>
            <w:vAlign w:val="bottom"/>
          </w:tcPr>
          <w:p>
            <w:pPr>
              <w:spacing w:after="0"/>
              <w:rPr>
                <w:sz w:val="21"/>
                <w:szCs w:val="21"/>
                <w:color w:val="auto"/>
              </w:rPr>
            </w:pPr>
          </w:p>
        </w:tc>
      </w:tr>
      <w:tr>
        <w:trPr>
          <w:trHeight w:val="197"/>
        </w:trPr>
        <w:tc>
          <w:tcPr>
            <w:tcW w:w="59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Convertible preferred stock warrant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440" w:firstLine="518"/>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months ended March 31, 2019 and year ended December 31, 2018.</w:t>
      </w:r>
    </w:p>
    <w:p>
      <w:pPr>
        <w:spacing w:after="0" w:line="197" w:lineRule="exact"/>
        <w:rPr>
          <w:sz w:val="20"/>
          <w:szCs w:val="20"/>
          <w:color w:val="auto"/>
        </w:rPr>
      </w:pPr>
    </w:p>
    <w:p>
      <w:pPr>
        <w:ind w:right="420" w:firstLine="518"/>
        <w:spacing w:after="0" w:line="246"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Fair Value Using Level 3 Inputs</w:t>
            </w:r>
          </w:p>
        </w:tc>
        <w:tc>
          <w:tcPr>
            <w:tcW w:w="320" w:type="dxa"/>
            <w:vAlign w:val="bottom"/>
          </w:tcPr>
          <w:p>
            <w:pPr>
              <w:spacing w:after="0"/>
              <w:rPr>
                <w:sz w:val="17"/>
                <w:szCs w:val="17"/>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Amounts</w:t>
            </w:r>
          </w:p>
        </w:tc>
      </w:tr>
      <w:tr>
        <w:trPr>
          <w:trHeight w:val="20"/>
        </w:trPr>
        <w:tc>
          <w:tcPr>
            <w:tcW w:w="2660" w:type="dxa"/>
            <w:vAlign w:val="bottom"/>
            <w:tcBorders>
              <w:top w:val="single" w:sz="8" w:color="auto"/>
              <w:bottom w:val="single" w:sz="8" w:color="CFF0FC"/>
            </w:tcBorders>
          </w:tcPr>
          <w:p>
            <w:pPr>
              <w:spacing w:after="0" w:line="20" w:lineRule="exact"/>
              <w:rPr>
                <w:sz w:val="1"/>
                <w:szCs w:val="1"/>
                <w:color w:val="auto"/>
              </w:rPr>
            </w:pPr>
          </w:p>
        </w:tc>
        <w:tc>
          <w:tcPr>
            <w:tcW w:w="67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7"/>
        </w:trPr>
        <w:tc>
          <w:tcPr>
            <w:tcW w:w="94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2017</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7"/>
                <w:szCs w:val="17"/>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 included in other income (expense), net</w:t>
            </w:r>
          </w:p>
        </w:tc>
        <w:tc>
          <w:tcPr>
            <w:tcW w:w="3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40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2018</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15"/>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exercise of preferred stock warrant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940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to Series A preferred stock</w:t>
            </w:r>
          </w:p>
        </w:tc>
        <w:tc>
          <w:tcPr>
            <w:tcW w:w="3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(198)</w:t>
            </w: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color w:val="auto"/>
              </w:rPr>
              <w:t>Balance at March 31, 2019</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18"/>
        <w:spacing w:after="0" w:line="238"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no expense for the change in estimated fair value of the warrant liabilities for the three months ended March 31, 2019 and 2018, respectively. During the three months ended March 31, 2019 the warrant were automatically exercised on a net basis into shares of Series A preferred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8" w:name="page19"/>
    <w:bookmarkEnd w:id="18"/>
    <w:p>
      <w:pPr>
        <w:ind w:right="8840" w:firstLine="8"/>
        <w:spacing w:after="0" w:line="394" w:lineRule="auto"/>
        <w:tabs>
          <w:tab w:leader="none" w:pos="2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spacing w:after="0" w:line="1"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5880" w:type="dxa"/>
            <w:vAlign w:val="bottom"/>
            <w:tcBorders>
              <w:bottom w:val="single" w:sz="8" w:color="CFF0FC"/>
            </w:tcBorders>
          </w:tcPr>
          <w:p>
            <w:pPr>
              <w:spacing w:after="0"/>
              <w:rPr>
                <w:sz w:val="19"/>
                <w:szCs w:val="19"/>
                <w:color w:val="auto"/>
              </w:rPr>
            </w:pPr>
          </w:p>
        </w:tc>
        <w:tc>
          <w:tcPr>
            <w:tcW w:w="1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1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18,977</w:t>
            </w:r>
          </w:p>
        </w:tc>
        <w:tc>
          <w:tcPr>
            <w:tcW w:w="120" w:type="dxa"/>
            <w:vAlign w:val="bottom"/>
          </w:tcPr>
          <w:p>
            <w:pPr>
              <w:spacing w:after="0"/>
              <w:rPr>
                <w:sz w:val="18"/>
                <w:szCs w:val="18"/>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25,314</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9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FF0FC"/>
            </w:tcBorders>
          </w:tcPr>
          <w:p>
            <w:pPr>
              <w:spacing w:after="0"/>
              <w:rPr>
                <w:sz w:val="18"/>
                <w:szCs w:val="18"/>
                <w:color w:val="auto"/>
              </w:rPr>
            </w:pPr>
          </w:p>
        </w:tc>
      </w:tr>
      <w:tr>
        <w:trPr>
          <w:trHeight w:val="21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1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46,093</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(24,148)</w:t>
            </w: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(22,200)</w:t>
            </w:r>
          </w:p>
        </w:tc>
      </w:tr>
      <w:tr>
        <w:trPr>
          <w:trHeight w:val="210"/>
        </w:trPr>
        <w:tc>
          <w:tcPr>
            <w:tcW w:w="5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19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right="980" w:firstLine="518"/>
        <w:spacing w:after="0" w:line="246" w:lineRule="auto"/>
        <w:rPr>
          <w:sz w:val="20"/>
          <w:szCs w:val="20"/>
          <w:color w:val="auto"/>
        </w:rPr>
      </w:pPr>
      <w:r>
        <w:rPr>
          <w:rFonts w:ascii="Arial" w:cs="Arial" w:eastAsia="Arial" w:hAnsi="Arial"/>
          <w:sz w:val="18"/>
          <w:szCs w:val="18"/>
          <w:color w:val="auto"/>
        </w:rPr>
        <w:t>Depreciation expense was approximately $2.0 million and $1.7 million for the three months ended March 31, 2019 and 2018,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6"/>
        </w:trPr>
        <w:tc>
          <w:tcPr>
            <w:tcW w:w="6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42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FF0FC"/>
          </w:tcPr>
          <w:p>
            <w:pPr>
              <w:spacing w:after="0"/>
              <w:rPr>
                <w:sz w:val="18"/>
                <w:szCs w:val="18"/>
                <w:color w:val="auto"/>
              </w:rPr>
            </w:pPr>
          </w:p>
        </w:tc>
      </w:tr>
      <w:tr>
        <w:trPr>
          <w:trHeight w:val="216"/>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costs</w:t>
            </w: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FF0FC"/>
            </w:tcBorders>
          </w:tcPr>
          <w:p>
            <w:pPr>
              <w:spacing w:after="0"/>
              <w:rPr>
                <w:sz w:val="18"/>
                <w:szCs w:val="18"/>
                <w:color w:val="auto"/>
              </w:rPr>
            </w:pPr>
          </w:p>
        </w:tc>
      </w:tr>
      <w:tr>
        <w:trPr>
          <w:trHeight w:val="21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shd w:val="clear" w:color="auto" w:fill="CFF0FC"/>
          </w:tcPr>
          <w:p>
            <w:pPr>
              <w:spacing w:after="0"/>
              <w:rPr>
                <w:sz w:val="18"/>
                <w:szCs w:val="18"/>
                <w:color w:val="auto"/>
              </w:rPr>
            </w:pP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126"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Collaboration Agreement became effective in March 2015 and has a non-cancellable five-year term running through March 16, 2020. The agreement included an exclusive worldwide license to our GDF15 receptor agonist program. On March 1, 2019, Merck notified us of its intent to terminate its license to the GDF15 receptor agonist program, effective May 31, 2019. The collaboration also includes a broad, multiyear drug discovery and early development program financially supported by Merck but scientifically directed by the Company with input from Merck. The Company determines the scientific 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will fund both the internal and external costs of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ind w:right="360"/>
        <w:spacing w:after="0" w:line="246" w:lineRule="auto"/>
        <w:rPr>
          <w:sz w:val="20"/>
          <w:szCs w:val="20"/>
          <w:color w:val="auto"/>
        </w:rPr>
      </w:pPr>
      <w:r>
        <w:rPr>
          <w:rFonts w:ascii="Arial" w:cs="Arial" w:eastAsia="Arial" w:hAnsi="Arial"/>
          <w:sz w:val="18"/>
          <w:szCs w:val="18"/>
          <w:color w:val="auto"/>
        </w:rPr>
        <w:t>Company’s research and early development activities up to $75.0 million each year of the initial five-year term and during the extended two year research period.</w:t>
      </w:r>
    </w:p>
    <w:p>
      <w:pPr>
        <w:spacing w:after="0" w:line="19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molecules that are directed against the same target in the same manner (“Optioned Program”). If Merck exercises its option, Merck will be responsible, at its own cost, for any further development and commercialization activities for compounds within that Optioned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Merck’s further development and commercialization of the compound. If the Company elects to participate in the cost and profit share, subject to certain limitations, Merck will provide the Company with financial assistance in the form of interest 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then the Company is eligible to receive development and regulatory milestone payments upon the achievement of specific clinical development or regulatory events with respect to the licensed compound indications in the United States, the European Union and Japan of up to an aggregate of $449.0 million. The Company may also receive commercial milestone payments up to $125.0 million and royalty payments of varying percentages based on the achievement of certain levels of net sales.</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research and early development program has an initial term of five years, until March 17, 2020. On March 15, 2019, Merck exercised its option to extend the research phase of the collaboration through March 16, 2022. In connection with this extension, Merck agreed to continue to fund the Company’s research and development efforts during the two-year extension period at the same levels as during the initial term and, in lieu of a $20.0 million extension fee that would have otherwise been payable to the Company, Merck will make additional payments totaling up to $20.0 million in support of the Company’s research and development program activities across 2021 and the first quarter of 2022. Under the terms of the agreement, Merck is required to pay a $20.0 million extension fee if it elects to exercise its second option to extend the research phase of the collaboration through March 16, 2024.</w:t>
      </w:r>
    </w:p>
    <w:p>
      <w:pPr>
        <w:spacing w:after="0" w:line="203" w:lineRule="exact"/>
        <w:rPr>
          <w:sz w:val="20"/>
          <w:szCs w:val="20"/>
          <w:color w:val="auto"/>
        </w:rPr>
      </w:pPr>
    </w:p>
    <w:p>
      <w:pPr>
        <w:ind w:right="220" w:firstLine="518"/>
        <w:spacing w:after="0" w:line="239"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up to three years, which we call the tail period, by agreeing to pay all its internal and external costs for related work, or to take over such selected programs and conduct such research and development activities itself, at its own cost.</w:t>
      </w:r>
    </w:p>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as of January 1, 2019 and March 31, 2019. The Company identified the following promised goods or services at the inception of the Collaboration Arrangement: (i) license to GDF15 receptor agonist program; (ii) license to pursue research and development (“R&amp;D”) and commercialization of small molecule compounds; (iii) performance of R&amp;D services for five years; (iv) two options to extend performance of the R&amp;D services, each for two additional years.; and (v) options to obtain licenses to additional compounds after proof of concept trials. The Company determined the GDF15 receptor agonist program license and small molecule program license are not distinct from the R&amp;D services, resulting in these items being combined into a single performance obligation.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ind w:right="60" w:firstLine="518"/>
        <w:spacing w:after="0" w:line="239"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standalone selling price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202"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transaction price consists of the $94.0 million upfront fee and the potential funding amounts of up to $75.0 million per year for each of the first five years of the Collaboration Agreement. No milestones or other forms of consideration related to the GDF15 license are included in the transaction price as those amounts are contingent upon Merck exercising an option for licenses on additional compounds and would, therefore, be pursuant to separate arrangements and are not part of the Collaboration Agreement estimated transaction price.</w:t>
      </w:r>
    </w:p>
    <w:p>
      <w:pPr>
        <w:spacing w:after="0" w:line="20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R&amp;D reimbursements.</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Any fees associated with options, including upfront fees, funding fees, milestones, etc. are not included in the transaction price as they are associated with options that are not material rights and, thus, are not performance obligations within the Collaboration Agreement. This includes the $ 20.0 million license fee associated with Merck’s exercise of its option on NGM313. That amount was recognized in the period of exercise (i.e., Q4 2018) as the Company has no further obligations related to that license. Also, in November 2018, Merck exercised its option on the NGM313 compound and paid the Company the $20.0 million option exercise fee. The Phase 3 clinical study for NGM313 has not begun, and the Company has not made an election as to whether it will participate in cost and profit share or receive milestone and royalty payments. The amounts do not impact the estimated transaction price associated with the single performance obligation identified in the Collaboration Agreement.</w:t>
      </w:r>
    </w:p>
    <w:p>
      <w:pPr>
        <w:spacing w:after="0" w:line="208"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measure proportional performance and to calculate the corresponding amount of revenue to recognize. The Company believes this is the best measure of progress because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(“FTE”) hours plus allowable external (third-party) costs incurred. Revenue is recognized based on actual costs incurred as a percentage of total budgeted costs as the Company completes its performance obligation.</w:t>
      </w:r>
    </w:p>
    <w:p>
      <w:pPr>
        <w:spacing w:after="0" w:line="203" w:lineRule="exact"/>
        <w:rPr>
          <w:sz w:val="20"/>
          <w:szCs w:val="20"/>
          <w:color w:val="auto"/>
        </w:rPr>
      </w:pPr>
    </w:p>
    <w:p>
      <w:pPr>
        <w:jc w:val="both"/>
        <w:ind w:right="300" w:firstLine="518"/>
        <w:spacing w:after="0"/>
        <w:rPr>
          <w:sz w:val="20"/>
          <w:szCs w:val="20"/>
          <w:color w:val="auto"/>
        </w:rPr>
      </w:pPr>
      <w:r>
        <w:rPr>
          <w:rFonts w:ascii="Arial" w:cs="Arial" w:eastAsia="Arial" w:hAnsi="Arial"/>
          <w:sz w:val="18"/>
          <w:szCs w:val="18"/>
          <w:color w:val="auto"/>
        </w:rPr>
        <w:t>On March 1, 2019, Merck notified the Company of its intent to terminate the GDF15 license. The license termination is effective as of May 31, 2019. The Collaboration Agreement R&amp;D services are not affected by the GDF15 receptor agonist program license termination and are expected to continue through the remainder of the initial research program term (through March 2020).</w:t>
      </w:r>
    </w:p>
    <w:p>
      <w:pPr>
        <w:spacing w:after="0" w:line="20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As of March 31, 2019 and December 31, 2018, deferred revenue related to the single performance obligation in the Collaboration Agreement was $22.0 million and $23.0 million, respectively. Additionally, of the amount recognized for the adoption of ASC 606 in the reporting period ended March 31, 2019, $6.2 million was in deferred revenue at the end of the prior reporting period. As of December 31, 2018, $3.7 million was due from Merck under the Collaboration Agreement. To date, the Company has recognized revenue of approximately $292.3 million related to the single performance obligation in the Collaboration Agreement.</w:t>
      </w:r>
    </w:p>
    <w:p>
      <w:pPr>
        <w:spacing w:after="0" w:line="20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our outstanding shares of common stock following the completion of the IPO. In addition, during the period that ends on the earlier of the end of the initial five-year research term, termination of the Collaboration Agreement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of the Company’s board of directors. Merck has also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1" w:name="page22"/>
    <w:bookmarkEnd w:id="21"/>
    <w:p>
      <w:pPr>
        <w:ind w:right="220"/>
        <w:spacing w:after="0" w:line="246" w:lineRule="auto"/>
        <w:rPr>
          <w:sz w:val="20"/>
          <w:szCs w:val="20"/>
          <w:color w:val="auto"/>
        </w:rPr>
      </w:pPr>
      <w:r>
        <w:rPr>
          <w:rFonts w:ascii="Arial" w:cs="Arial" w:eastAsia="Arial" w:hAnsi="Arial"/>
          <w:sz w:val="18"/>
          <w:szCs w:val="18"/>
          <w:color w:val="auto"/>
        </w:rPr>
        <w:t>agreed, during the period of the initial five-year research phase, not to sell any of its shares of the Company’s capital stock (subject to certain limited exceptions).</w:t>
      </w:r>
    </w:p>
    <w:p>
      <w:pPr>
        <w:spacing w:after="0" w:line="19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 GDF15 program, each Optioned Program is eligible to receive a one-time payment of $20.0 million upon Merck’s exercise of its one-time option to obtain an exclusive, worldwide license to a compound following its completion of a human proof-of-concept study. In addition, if the Company does not opt in 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203"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A break out of the milestone payments in connection with the potential achievement of certain clinical development events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First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Second</w:t>
            </w:r>
          </w:p>
        </w:tc>
        <w:tc>
          <w:tcPr>
            <w:tcW w:w="16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Third</w:t>
            </w:r>
          </w:p>
        </w:tc>
      </w:tr>
      <w:tr>
        <w:trPr>
          <w:trHeight w:val="225"/>
        </w:trPr>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rPr>
              <w:t>Indication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Indication</w:t>
            </w:r>
          </w:p>
        </w:tc>
        <w:tc>
          <w:tcPr>
            <w:tcW w:w="16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Indication</w:t>
            </w:r>
          </w:p>
        </w:tc>
      </w:tr>
      <w:tr>
        <w:trPr>
          <w:trHeight w:val="209"/>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 the</w:t>
            </w: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first Phase 3 clinical trial for such product for the given indication</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4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ind w:right="400" w:firstLine="518"/>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Second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6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European Union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165,000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Collaboration Revenue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35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11430</wp:posOffset>
            </wp:positionV>
            <wp:extent cx="22040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2" w:lineRule="exact"/>
        <w:rPr>
          <w:sz w:val="20"/>
          <w:szCs w:val="20"/>
          <w:color w:val="auto"/>
        </w:rPr>
      </w:pPr>
    </w:p>
    <w:p>
      <w:pPr>
        <w:ind w:left="8440"/>
        <w:spacing w:after="0"/>
        <w:tabs>
          <w:tab w:leader="none" w:pos="108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tabs>
          <w:tab w:leader="none" w:pos="7820" w:val="left"/>
          <w:tab w:leader="none" w:pos="8860" w:val="left"/>
          <w:tab w:leader="none" w:pos="9720" w:val="left"/>
          <w:tab w:leader="none" w:pos="10720" w:val="left"/>
        </w:tabs>
        <w:rPr>
          <w:sz w:val="20"/>
          <w:szCs w:val="20"/>
          <w:color w:val="auto"/>
        </w:rPr>
      </w:pPr>
      <w:r>
        <w:rPr>
          <w:rFonts w:ascii="Arial" w:cs="Arial" w:eastAsia="Arial" w:hAnsi="Arial"/>
          <w:sz w:val="18"/>
          <w:szCs w:val="18"/>
          <w:color w:val="auto"/>
        </w:rPr>
        <w:t>Related party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25,552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18,613</w:t>
      </w:r>
    </w:p>
    <w:p>
      <w:pPr>
        <w:spacing w:after="0" w:line="200" w:lineRule="exact"/>
        <w:rPr>
          <w:sz w:val="20"/>
          <w:szCs w:val="20"/>
          <w:color w:val="auto"/>
        </w:rPr>
      </w:pPr>
    </w:p>
    <w:p>
      <w:pPr>
        <w:spacing w:after="0" w:line="255"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The Company recognized collaboration and license revenue under the Collaboration Agreement of $25.6 million for the three months ended March 31, 2019, of which $5.7 million was recognized from the upfront license fee by applying the cost-based input measure of revenue recognition. The Company recognized collaboration and license revenue under the Collaboration Agreement of $18.6 million for the three months ended March 31, 2018, of which $4.7 million was amortization of upfront license fee and the balance was for research and development services reimbursed by Merck provided under the Collaboration Agreement.</w:t>
      </w:r>
    </w:p>
    <w:p>
      <w:pPr>
        <w:spacing w:after="0" w:line="95" w:lineRule="exact"/>
        <w:rPr>
          <w:sz w:val="20"/>
          <w:szCs w:val="20"/>
          <w:color w:val="auto"/>
        </w:rPr>
      </w:pPr>
    </w:p>
    <w:p>
      <w:pPr>
        <w:ind w:right="140" w:firstLine="571"/>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sz w:val="20"/>
                <w:szCs w:val="20"/>
                <w:color w:val="auto"/>
              </w:rPr>
            </w:pPr>
            <w:r>
              <w:rPr>
                <w:rFonts w:ascii="Arial" w:cs="Arial" w:eastAsia="Arial" w:hAnsi="Arial"/>
                <w:sz w:val="18"/>
                <w:szCs w:val="18"/>
                <w:b w:val="1"/>
                <w:bCs w:val="1"/>
                <w:i w:val="1"/>
                <w:iCs w:val="1"/>
                <w:color w:val="auto"/>
              </w:rPr>
              <w:t>Contract Assets and Liabilities</w:t>
            </w: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9020" w:type="dxa"/>
            <w:vAlign w:val="bottom"/>
          </w:tcPr>
          <w:p>
            <w:pPr>
              <w:ind w:left="480"/>
              <w:spacing w:after="0"/>
              <w:rPr>
                <w:sz w:val="20"/>
                <w:szCs w:val="20"/>
                <w:color w:val="auto"/>
              </w:rPr>
            </w:pPr>
            <w:r>
              <w:rPr>
                <w:rFonts w:ascii="Arial" w:cs="Arial" w:eastAsia="Arial" w:hAnsi="Arial"/>
                <w:sz w:val="18"/>
                <w:szCs w:val="18"/>
                <w:color w:val="auto"/>
              </w:rPr>
              <w:t>Changes in contract liabilities under ASC 606 were as follows (in thousands):</w:t>
            </w:r>
          </w:p>
        </w:tc>
        <w:tc>
          <w:tcPr>
            <w:tcW w:w="440" w:type="dxa"/>
            <w:vAlign w:val="bottom"/>
          </w:tcPr>
          <w:p>
            <w:pPr>
              <w:spacing w:after="0"/>
              <w:rPr>
                <w:sz w:val="24"/>
                <w:szCs w:val="24"/>
                <w:color w:val="auto"/>
              </w:rPr>
            </w:pPr>
          </w:p>
        </w:tc>
        <w:tc>
          <w:tcPr>
            <w:tcW w:w="1960" w:type="dxa"/>
            <w:vAlign w:val="bottom"/>
            <w:gridSpan w:val="2"/>
            <w:vMerge w:val="restart"/>
          </w:tcPr>
          <w:p>
            <w:pPr>
              <w:jc w:val="right"/>
              <w:ind w:right="8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Adoption of ASC 606</w:t>
            </w:r>
          </w:p>
        </w:tc>
        <w:tc>
          <w:tcPr>
            <w:tcW w:w="4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4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included in the contract liability balance at the beginning of the period</w:t>
            </w:r>
          </w:p>
        </w:tc>
        <w:tc>
          <w:tcPr>
            <w:tcW w:w="4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contract assets for all the periods presented.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from related parties refer to the Collaboration Agreement with Merck. The Company recognized related party revenue of</w:t>
      </w:r>
    </w:p>
    <w:p>
      <w:pPr>
        <w:spacing w:after="0" w:line="234" w:lineRule="auto"/>
        <w:rPr>
          <w:sz w:val="20"/>
          <w:szCs w:val="20"/>
          <w:color w:val="auto"/>
        </w:rPr>
      </w:pPr>
      <w:r>
        <w:rPr>
          <w:rFonts w:ascii="Arial" w:cs="Arial" w:eastAsia="Arial" w:hAnsi="Arial"/>
          <w:sz w:val="18"/>
          <w:szCs w:val="18"/>
          <w:color w:val="auto"/>
        </w:rPr>
        <w:t>$25.6 million and $18.6 million for the three months ended March 31, 2019 and 2018, respectively. As of March 31, 2019 and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2018, the Company had deferred revenue from related party collaboration agreements of $22.0 million and $23.0 million, respectively.</w:t>
      </w:r>
    </w:p>
    <w:p>
      <w:pPr>
        <w:spacing w:after="0" w:line="298" w:lineRule="exact"/>
        <w:rPr>
          <w:sz w:val="20"/>
          <w:szCs w:val="20"/>
          <w:color w:val="auto"/>
        </w:rPr>
      </w:pPr>
    </w:p>
    <w:p>
      <w:pPr>
        <w:jc w:val="center"/>
        <w:ind w:right="8140" w:firstLine="8"/>
        <w:spacing w:after="0" w:line="394" w:lineRule="auto"/>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 (2014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3" w:lineRule="exact"/>
        <w:rPr>
          <w:sz w:val="20"/>
          <w:szCs w:val="20"/>
          <w:color w:val="auto"/>
        </w:rPr>
      </w:pPr>
    </w:p>
    <w:p>
      <w:pPr>
        <w:ind w:right="240" w:firstLine="518"/>
        <w:spacing w:after="0" w:line="239"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2" w:lineRule="exact"/>
        <w:rPr>
          <w:sz w:val="20"/>
          <w:szCs w:val="20"/>
          <w:color w:val="auto"/>
        </w:rPr>
      </w:pPr>
    </w:p>
    <w:p>
      <w:pPr>
        <w:jc w:val="both"/>
        <w:ind w:right="280" w:firstLine="518"/>
        <w:spacing w:after="0"/>
        <w:rPr>
          <w:sz w:val="20"/>
          <w:szCs w:val="20"/>
          <w:color w:val="auto"/>
        </w:rPr>
      </w:pPr>
      <w:r>
        <w:rPr>
          <w:rFonts w:ascii="Arial" w:cs="Arial" w:eastAsia="Arial" w:hAnsi="Arial"/>
          <w:sz w:val="18"/>
          <w:szCs w:val="18"/>
          <w:color w:val="auto"/>
        </w:rPr>
        <w:t>The 333 Oyster Point lease agreement requires a letter of credit in the amount of $2.3 million as a security deposit to the lease, which the Company has recorded as long-term restricted cash. The Company has the right to reduce the letter of credit amount by $0.4 million on each of the 3rd anniversary and 4th anniversary of the rent commencement date, respectively.</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March 31, 2019 because of the short duration of the remaining lease term through November 2020, and Merck’s credit rating of AA/A1 and subsequent investment in tenant improvements to the facility. As of March 31, 2019 and 2018, the remaining lease payment obligations that are due for 630 Gateway were approximately $3.5 million and $5.3 million, respectively, which are to be paid directly from Merck to the lessor.</w:t>
      </w:r>
    </w:p>
    <w:p>
      <w:pPr>
        <w:spacing w:after="0" w:line="208" w:lineRule="exact"/>
        <w:rPr>
          <w:sz w:val="20"/>
          <w:szCs w:val="20"/>
          <w:color w:val="auto"/>
        </w:rPr>
      </w:pPr>
    </w:p>
    <w:p>
      <w:pPr>
        <w:ind w:right="280" w:firstLine="518"/>
        <w:spacing w:after="0" w:line="239"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the quarters ended March 31, 2019 and 2018,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Future minimum payments under the unassigned lease obligations described above are as follows as of March 31,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0" w:type="dxa"/>
            <w:vAlign w:val="bottom"/>
          </w:tcPr>
          <w:p>
            <w:pPr>
              <w:spacing w:after="0"/>
              <w:rPr>
                <w:sz w:val="20"/>
                <w:szCs w:val="20"/>
                <w:color w:val="auto"/>
              </w:rPr>
            </w:pPr>
            <w:r>
              <w:rPr>
                <w:rFonts w:ascii="Arial" w:cs="Arial" w:eastAsia="Arial" w:hAnsi="Arial"/>
                <w:sz w:val="18"/>
                <w:szCs w:val="18"/>
                <w:b w:val="1"/>
                <w:bCs w:val="1"/>
                <w:color w:val="auto"/>
              </w:rPr>
              <w:t>As of March 31, 2019:</w:t>
            </w: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FF0FC"/>
          </w:tcPr>
          <w:p>
            <w:pPr>
              <w:spacing w:after="0"/>
              <w:rPr>
                <w:sz w:val="18"/>
                <w:szCs w:val="18"/>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24,540</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3"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89" w:lineRule="exact"/>
        <w:rPr>
          <w:sz w:val="20"/>
          <w:szCs w:val="20"/>
          <w:color w:val="auto"/>
        </w:rPr>
      </w:pPr>
    </w:p>
    <w:p>
      <w:pPr>
        <w:ind w:right="8860" w:firstLine="8"/>
        <w:spacing w:after="0" w:line="394" w:lineRule="auto"/>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of its shares within the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Convertible preferred stock at March 31, 2019,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Issuance</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Aggregate</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18"/>
                <w:szCs w:val="18"/>
                <w:color w:val="auto"/>
              </w:rPr>
            </w:pPr>
          </w:p>
        </w:tc>
      </w:tr>
      <w:tr>
        <w:trPr>
          <w:trHeight w:val="225"/>
        </w:trPr>
        <w:tc>
          <w:tcPr>
            <w:tcW w:w="5240" w:type="dxa"/>
            <w:vAlign w:val="bottom"/>
          </w:tcPr>
          <w:p>
            <w:pPr>
              <w:spacing w:after="0"/>
              <w:rPr>
                <w:sz w:val="19"/>
                <w:szCs w:val="19"/>
                <w:color w:val="auto"/>
              </w:rPr>
            </w:pPr>
          </w:p>
        </w:tc>
        <w:tc>
          <w:tcPr>
            <w:tcW w:w="23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Price per</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Liquidation</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Carrying</w:t>
            </w:r>
          </w:p>
        </w:tc>
        <w:tc>
          <w:tcPr>
            <w:tcW w:w="20" w:type="dxa"/>
            <w:vAlign w:val="bottom"/>
          </w:tcPr>
          <w:p>
            <w:pPr>
              <w:spacing w:after="0"/>
              <w:rPr>
                <w:sz w:val="19"/>
                <w:szCs w:val="19"/>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Authorized</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Share</w:t>
            </w: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Value</w:t>
            </w:r>
          </w:p>
        </w:tc>
        <w:tc>
          <w:tcPr>
            <w:tcW w:w="20" w:type="dxa"/>
            <w:vAlign w:val="bottom"/>
          </w:tcPr>
          <w:p>
            <w:pPr>
              <w:spacing w:after="0"/>
              <w:rPr>
                <w:sz w:val="18"/>
                <w:szCs w:val="18"/>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B</w:t>
            </w:r>
          </w:p>
        </w:tc>
        <w:tc>
          <w:tcPr>
            <w:tcW w:w="1000" w:type="dxa"/>
            <w:vAlign w:val="bottom"/>
          </w:tcPr>
          <w:p>
            <w:pPr>
              <w:jc w:val="right"/>
              <w:spacing w:after="0"/>
              <w:rPr>
                <w:sz w:val="20"/>
                <w:szCs w:val="20"/>
                <w:color w:val="auto"/>
              </w:rPr>
            </w:pPr>
            <w:r>
              <w:rPr>
                <w:rFonts w:ascii="Arial" w:cs="Arial" w:eastAsia="Arial" w:hAnsi="Arial"/>
                <w:sz w:val="18"/>
                <w:szCs w:val="18"/>
                <w:color w:val="auto"/>
              </w:rPr>
              <w:t>11,078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D</w:t>
            </w:r>
          </w:p>
        </w:tc>
        <w:tc>
          <w:tcPr>
            <w:tcW w:w="1000" w:type="dxa"/>
            <w:vAlign w:val="bottom"/>
          </w:tcPr>
          <w:p>
            <w:pPr>
              <w:jc w:val="right"/>
              <w:spacing w:after="0"/>
              <w:rPr>
                <w:sz w:val="20"/>
                <w:szCs w:val="20"/>
                <w:color w:val="auto"/>
              </w:rPr>
            </w:pPr>
            <w:r>
              <w:rPr>
                <w:rFonts w:ascii="Arial" w:cs="Arial" w:eastAsia="Arial" w:hAnsi="Arial"/>
                <w:sz w:val="18"/>
                <w:szCs w:val="18"/>
                <w:color w:val="auto"/>
              </w:rPr>
              <w:t>6,600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88,332</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105,916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277,802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295,072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Convertible preferred stock at December 31, 2018,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Issuance</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Aggregate</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Aggregate</w:t>
            </w:r>
          </w:p>
        </w:tc>
      </w:tr>
      <w:tr>
        <w:trPr>
          <w:trHeight w:val="225"/>
        </w:trPr>
        <w:tc>
          <w:tcPr>
            <w:tcW w:w="5240" w:type="dxa"/>
            <w:vAlign w:val="bottom"/>
          </w:tcPr>
          <w:p>
            <w:pPr>
              <w:spacing w:after="0"/>
              <w:rPr>
                <w:sz w:val="19"/>
                <w:szCs w:val="19"/>
                <w:color w:val="auto"/>
              </w:rPr>
            </w:pPr>
          </w:p>
        </w:tc>
        <w:tc>
          <w:tcPr>
            <w:tcW w:w="23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Price per</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Liquidation</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Carrying</w:t>
            </w:r>
          </w:p>
        </w:tc>
      </w:tr>
      <w:tr>
        <w:trPr>
          <w:trHeight w:val="210"/>
        </w:trPr>
        <w:tc>
          <w:tcPr>
            <w:tcW w:w="5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Authorized</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Share</w:t>
            </w: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Value</w:t>
            </w:r>
          </w:p>
        </w:tc>
      </w:tr>
      <w:tr>
        <w:trPr>
          <w:trHeight w:val="20"/>
        </w:trPr>
        <w:tc>
          <w:tcPr>
            <w:tcW w:w="5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B</w:t>
            </w:r>
          </w:p>
        </w:tc>
        <w:tc>
          <w:tcPr>
            <w:tcW w:w="1000" w:type="dxa"/>
            <w:vAlign w:val="bottom"/>
          </w:tcPr>
          <w:p>
            <w:pPr>
              <w:jc w:val="right"/>
              <w:spacing w:after="0"/>
              <w:rPr>
                <w:sz w:val="20"/>
                <w:szCs w:val="20"/>
                <w:color w:val="auto"/>
              </w:rPr>
            </w:pPr>
            <w:r>
              <w:rPr>
                <w:rFonts w:ascii="Arial" w:cs="Arial" w:eastAsia="Arial" w:hAnsi="Arial"/>
                <w:sz w:val="18"/>
                <w:szCs w:val="18"/>
                <w:color w:val="auto"/>
              </w:rPr>
              <w:t>11,078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55,148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D</w:t>
            </w:r>
          </w:p>
        </w:tc>
        <w:tc>
          <w:tcPr>
            <w:tcW w:w="1000" w:type="dxa"/>
            <w:vAlign w:val="bottom"/>
          </w:tcPr>
          <w:p>
            <w:pPr>
              <w:jc w:val="right"/>
              <w:spacing w:after="0"/>
              <w:rPr>
                <w:sz w:val="20"/>
                <w:szCs w:val="20"/>
                <w:color w:val="auto"/>
              </w:rPr>
            </w:pPr>
            <w:r>
              <w:rPr>
                <w:rFonts w:ascii="Arial" w:cs="Arial" w:eastAsia="Arial" w:hAnsi="Arial"/>
                <w:sz w:val="18"/>
                <w:szCs w:val="18"/>
                <w:color w:val="auto"/>
              </w:rPr>
              <w:t>6,600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105,916</w:t>
            </w:r>
          </w:p>
        </w:tc>
        <w:tc>
          <w:tcPr>
            <w:tcW w:w="100" w:type="dxa"/>
            <w:vAlign w:val="bottom"/>
            <w:shd w:val="clear" w:color="auto" w:fill="CFF0FC"/>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277,774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294,874</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26"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The significant rights and obligations of the Company’s convertible preferred stock as of March 31, 2019 are as follows:</w:t>
      </w:r>
    </w:p>
    <w:p>
      <w:pPr>
        <w:spacing w:after="0" w:line="175" w:lineRule="exact"/>
        <w:rPr>
          <w:sz w:val="20"/>
          <w:szCs w:val="20"/>
          <w:color w:val="auto"/>
        </w:rPr>
      </w:pPr>
    </w:p>
    <w:p>
      <w:pPr>
        <w:ind w:right="100" w:firstLine="518"/>
        <w:spacing w:after="0" w:line="24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of convertible preferred stock is entitled to the number of votes equal to the number of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74" w:lineRule="exact"/>
        <w:rPr>
          <w:sz w:val="20"/>
          <w:szCs w:val="20"/>
          <w:color w:val="auto"/>
        </w:rPr>
      </w:pPr>
    </w:p>
    <w:p>
      <w:pPr>
        <w:ind w:right="180" w:firstLine="518"/>
        <w:spacing w:after="0" w:line="25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holder of convertible preferred stock is entitled to receive non-cumulative dividends at the rate of 8% per annum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share of convertible preferred stock outstanding, when, as and if declared by the board of directors. These dividends are payable in preference to common stock dividends. To date, the Company has not declared or paid any dividends.</w:t>
      </w:r>
    </w:p>
    <w:p>
      <w:pPr>
        <w:spacing w:after="0" w:line="16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$10.00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184" w:lineRule="exact"/>
        <w:rPr>
          <w:sz w:val="20"/>
          <w:szCs w:val="20"/>
          <w:color w:val="auto"/>
        </w:rPr>
      </w:pPr>
    </w:p>
    <w:p>
      <w:pPr>
        <w:ind w:right="160" w:firstLine="518"/>
        <w:spacing w:after="0" w:line="271"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share of convertible preferred stock was converted to shares of common stock at a ratio of 1:1 coincident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IPO. Refer to Note 12 for more information.</w:t>
      </w:r>
    </w:p>
    <w:p>
      <w:pPr>
        <w:spacing w:after="0" w:line="176"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During 2009, the Company entered into a $1.7 million loan and security agreement with one lender. On June 29, 2010, the Company paid off the loan. In conjunction with the debt facility, the Company issued to the lender a warrant to acquire a total of 19,637 shares of Series A convertible preferred stock exercisable at $2.00 per share and that automatically net exercises to Series A preferred stock on February 3, 2019. The warrant was valued at approximately $1.44 per share, as calculated using the Black-Scholes option-pricing model using a Series A preferred stock estimated fair value of $2.00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07" w:lineRule="exact"/>
        <w:rPr>
          <w:sz w:val="20"/>
          <w:szCs w:val="20"/>
          <w:color w:val="auto"/>
        </w:rPr>
      </w:pPr>
    </w:p>
    <w:p>
      <w:pPr>
        <w:ind w:right="660" w:firstLine="518"/>
        <w:spacing w:after="0" w:line="246" w:lineRule="auto"/>
        <w:rPr>
          <w:sz w:val="20"/>
          <w:szCs w:val="20"/>
          <w:color w:val="auto"/>
        </w:rPr>
      </w:pPr>
      <w:r>
        <w:rPr>
          <w:rFonts w:ascii="Arial" w:cs="Arial" w:eastAsia="Arial" w:hAnsi="Arial"/>
          <w:sz w:val="18"/>
          <w:szCs w:val="18"/>
          <w:color w:val="auto"/>
        </w:rPr>
        <w:t>On February 3, 2019, all warrants for preferred stock were automatically net exercised into 16,380 shares of Series A convertible preferred stock.</w:t>
      </w:r>
    </w:p>
    <w:p>
      <w:pPr>
        <w:spacing w:after="0" w:line="283" w:lineRule="exact"/>
        <w:rPr>
          <w:sz w:val="20"/>
          <w:szCs w:val="20"/>
          <w:color w:val="auto"/>
        </w:rPr>
      </w:pPr>
    </w:p>
    <w:p>
      <w:pPr>
        <w:ind w:right="9320" w:firstLine="8"/>
        <w:spacing w:after="0" w:line="372"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2" w:lineRule="exact"/>
        <w:rPr>
          <w:sz w:val="20"/>
          <w:szCs w:val="20"/>
          <w:color w:val="auto"/>
        </w:rPr>
      </w:pPr>
    </w:p>
    <w:p>
      <w:pPr>
        <w:ind w:right="260" w:firstLine="518"/>
        <w:spacing w:after="0" w:line="261" w:lineRule="auto"/>
        <w:rPr>
          <w:sz w:val="20"/>
          <w:szCs w:val="20"/>
          <w:color w:val="auto"/>
        </w:rPr>
      </w:pPr>
      <w:r>
        <w:rPr>
          <w:rFonts w:ascii="Arial" w:cs="Arial" w:eastAsia="Arial" w:hAnsi="Arial"/>
          <w:sz w:val="17"/>
          <w:szCs w:val="17"/>
          <w:color w:val="auto"/>
        </w:rPr>
        <w:t>As of March 31, 2019 and December 31, 2018, the Company had 7,026,717 and 6,937,890 shares of common stock outstanding, respectively, which includes shares subject to repurchase of 171,832 and 205,108, respectively, as a result of early exercise of stock options not yet vested. As of March 31, 2019 and December 31, 2018, the Company reserved shares of common stock for issuance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86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March 31,</w:t>
            </w:r>
          </w:p>
        </w:tc>
        <w:tc>
          <w:tcPr>
            <w:tcW w:w="17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6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47,283,846</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Common stock options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11,183,787</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9,806,689</w:t>
            </w: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available for grant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668,467</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Warrant to purchase convertible preferred stock</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28,271</w:t>
            </w:r>
          </w:p>
        </w:tc>
        <w:tc>
          <w:tcPr>
            <w:tcW w:w="280" w:type="dxa"/>
            <w:vAlign w:val="bottom"/>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36,751</w:t>
            </w:r>
          </w:p>
        </w:tc>
        <w:tc>
          <w:tcPr>
            <w:tcW w:w="120" w:type="dxa"/>
            <w:vAlign w:val="bottom"/>
            <w:shd w:val="clear" w:color="auto" w:fill="CFF0FC"/>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59,164,371</w:t>
            </w:r>
          </w:p>
        </w:tc>
        <w:tc>
          <w:tcPr>
            <w:tcW w:w="2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59,256,418</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March 31, 2019, 12,681,305 shares of common stock have been authorized for issuance under the 2018 Plan. The Company’s 2008 Equity Incentive Plan (the 2008 Plan) expired at the beginning of 2018.</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exercises reasonable judgment and considers a number of objective and subjective factors to determine the best estimate of the fair value of our common stock, including the Company’s stage of development; progress of its research and development efforts; the rights, preferences and privileges of its convertible preferred stock relative to those of its common stock; equity market conditions affecting comparable companies; and the lack of marketability of our common stock.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gridSpan w:val="2"/>
          </w:tcPr>
          <w:p>
            <w:pPr>
              <w:ind w:left="520"/>
              <w:spacing w:after="0"/>
              <w:rPr>
                <w:sz w:val="20"/>
                <w:szCs w:val="20"/>
                <w:color w:val="auto"/>
              </w:rPr>
            </w:pPr>
            <w:r>
              <w:rPr>
                <w:rFonts w:ascii="Arial" w:cs="Arial" w:eastAsia="Arial" w:hAnsi="Arial"/>
                <w:sz w:val="18"/>
                <w:szCs w:val="18"/>
                <w:color w:val="auto"/>
                <w:w w:val="99"/>
              </w:rPr>
              <w:t>A summary of the outstanding stock options is as follows: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240"/>
              <w:spacing w:after="0"/>
              <w:rPr>
                <w:sz w:val="20"/>
                <w:szCs w:val="20"/>
                <w:color w:val="auto"/>
              </w:rPr>
            </w:pPr>
            <w:r>
              <w:rPr>
                <w:rFonts w:ascii="Arial" w:cs="Arial" w:eastAsia="Arial" w:hAnsi="Arial"/>
                <w:sz w:val="18"/>
                <w:szCs w:val="18"/>
                <w:b w:val="1"/>
                <w:bCs w:val="1"/>
                <w:color w:val="auto"/>
              </w:rPr>
              <w:t>Outstanding Options</w:t>
            </w: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Weighted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Weighted</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Options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4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Available</w:t>
            </w: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Exercise</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for Grant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Options</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9,806,689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Additional shares reserved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(1,550,224)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1,550,224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(80,310)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92,816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(92,816)</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March 31, 2019</w:t>
            </w: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668,467</w:t>
            </w:r>
          </w:p>
        </w:tc>
        <w:tc>
          <w:tcPr>
            <w:tcW w:w="22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11,183,787</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Vested and expected to vest at March 31, 2019</w:t>
            </w:r>
          </w:p>
        </w:tc>
        <w:tc>
          <w:tcPr>
            <w:tcW w:w="9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10,396,155</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6.41</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6.67</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89,360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Outstanding and exercisable as of March 31, 2019</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11,183,787</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6.71</w:t>
            </w: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680" w:firstLine="518"/>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stock options granted during the three months ended March 31, 2019 and 2018 was</w:t>
      </w:r>
    </w:p>
    <w:p>
      <w:pPr>
        <w:spacing w:after="0" w:line="234" w:lineRule="auto"/>
        <w:rPr>
          <w:sz w:val="20"/>
          <w:szCs w:val="20"/>
          <w:color w:val="auto"/>
        </w:rPr>
      </w:pPr>
      <w:r>
        <w:rPr>
          <w:rFonts w:ascii="Arial" w:cs="Arial" w:eastAsia="Arial" w:hAnsi="Arial"/>
          <w:sz w:val="18"/>
          <w:szCs w:val="18"/>
          <w:color w:val="auto"/>
        </w:rPr>
        <w:t>$12.06 and $8.14 per share, respectively. The intrinsic value of stock options exercised was $0.7 million and $0.2 million for the three months</w:t>
      </w:r>
    </w:p>
    <w:p>
      <w:pPr>
        <w:spacing w:after="0" w:line="235" w:lineRule="auto"/>
        <w:rPr>
          <w:sz w:val="20"/>
          <w:szCs w:val="20"/>
          <w:color w:val="auto"/>
        </w:rPr>
      </w:pPr>
      <w:r>
        <w:rPr>
          <w:rFonts w:ascii="Arial" w:cs="Arial" w:eastAsia="Arial" w:hAnsi="Arial"/>
          <w:sz w:val="18"/>
          <w:szCs w:val="18"/>
          <w:color w:val="auto"/>
        </w:rPr>
        <w:t>ended March 31, 2019 and 2018, respectively. Because of the Company’s net operating losses, the Company did not realize any tax benefits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stock-based payment arrangements for the three months ended March 31, 2019 and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22"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5" w:lineRule="exact"/>
        <w:rPr>
          <w:sz w:val="20"/>
          <w:szCs w:val="20"/>
          <w:color w:val="auto"/>
        </w:rPr>
      </w:pPr>
    </w:p>
    <w:p>
      <w:pPr>
        <w:ind w:right="460" w:firstLine="518"/>
        <w:spacing w:after="0" w:line="238" w:lineRule="auto"/>
        <w:rPr>
          <w:sz w:val="20"/>
          <w:szCs w:val="20"/>
          <w:color w:val="auto"/>
        </w:rPr>
      </w:pPr>
      <w:r>
        <w:rPr>
          <w:rFonts w:ascii="Arial" w:cs="Arial" w:eastAsia="Arial" w:hAnsi="Arial"/>
          <w:sz w:val="18"/>
          <w:szCs w:val="18"/>
          <w:color w:val="auto"/>
        </w:rPr>
        <w:t>At March 31, 2019, there were 171,832 shares of common stock outstanding subject to the Company’s right of repurchase at prices ranging from $4.00 to $8.14 per share. At December 31, 2018, there were 205,108 shares of common stock outstanding subject to the Company’s right of repurchase at prices ranging from $4.00 to $8.14 per share. At March 31, 2019 and December 31, 2018, the Company recorded $1.3 million and $1.6 million, respectively, as early exercise stock option liabilities associated with shares issued with repurchase rights.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2"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Employee and director stock-based compensation expense for the three months ended March 31, 2019 and 2018, was calculated based on awards ultimately expected to vest and has been reduced for estimated forfeitures. The following table summarizes stock-based compensation expense related to stock-based payment awards to employees and directors for the three months ended March 31, 2019 and 2018, which was allocated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58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tcPr>
          <w:p>
            <w:pPr>
              <w:spacing w:after="0"/>
              <w:rPr>
                <w:sz w:val="18"/>
                <w:szCs w:val="18"/>
                <w:color w:val="auto"/>
              </w:rPr>
            </w:pPr>
          </w:p>
        </w:tc>
        <w:tc>
          <w:tcPr>
            <w:tcW w:w="3920" w:type="dxa"/>
            <w:vAlign w:val="bottom"/>
            <w:tcBorders>
              <w:bottom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9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9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3920" w:type="dxa"/>
            <w:vAlign w:val="bottom"/>
            <w:tcBorders>
              <w:top w:val="single" w:sz="8" w:color="CFF0FC"/>
              <w:bottom w:val="single" w:sz="8" w:color="CFF0FC"/>
            </w:tcBorders>
            <w:vMerge w:val="restart"/>
          </w:tcPr>
          <w:p>
            <w:pPr>
              <w:jc w:val="right"/>
              <w:ind w:right="1930"/>
              <w:spacing w:after="0"/>
              <w:rPr>
                <w:sz w:val="20"/>
                <w:szCs w:val="20"/>
                <w:color w:val="auto"/>
              </w:rPr>
            </w:pPr>
            <w:r>
              <w:rPr>
                <w:rFonts w:ascii="Arial" w:cs="Arial" w:eastAsia="Arial" w:hAnsi="Arial"/>
                <w:sz w:val="18"/>
                <w:szCs w:val="18"/>
                <w:color w:val="auto"/>
              </w:rPr>
              <w:t>25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2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Valuation Assumptions</w:t>
      </w:r>
    </w:p>
    <w:p>
      <w:pPr>
        <w:spacing w:after="0" w:line="122"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2" w:lineRule="exact"/>
        <w:rPr>
          <w:sz w:val="20"/>
          <w:szCs w:val="20"/>
          <w:color w:val="auto"/>
        </w:rPr>
      </w:pPr>
    </w:p>
    <w:p>
      <w:pPr>
        <w:ind w:right="460" w:firstLine="518"/>
        <w:spacing w:after="0" w:line="246"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5"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Borders>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CFF0FC"/>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18"/>
                <w:szCs w:val="18"/>
                <w:color w:val="auto"/>
              </w:rPr>
            </w:pPr>
          </w:p>
        </w:tc>
      </w:tr>
      <w:tr>
        <w:trPr>
          <w:trHeight w:val="210"/>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2.50%</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Expected term of options (in years)</w:t>
            </w:r>
          </w:p>
        </w:tc>
        <w:tc>
          <w:tcPr>
            <w:tcW w:w="520" w:type="dxa"/>
            <w:vAlign w:val="bottom"/>
          </w:tcPr>
          <w:p>
            <w:pPr>
              <w:jc w:val="right"/>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r>
      <w:tr>
        <w:trPr>
          <w:trHeight w:val="216"/>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64.80%</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65.14%</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Forfeiture rate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17.61%</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11.94%</w:t>
            </w:r>
          </w:p>
        </w:tc>
      </w:tr>
      <w:tr>
        <w:trPr>
          <w:trHeight w:val="216"/>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8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212"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Expected Stock Price Volatility: The expected volatility is based on the historical volatility of the stock of similar entities within the Company’s industry over periods commensurate with the Company’s expected term assumption.</w:t>
      </w:r>
    </w:p>
    <w:p>
      <w:pPr>
        <w:spacing w:after="0" w:line="19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Expected Term of Options: The expected term of options represents the period of time options are expected to be outstanding. The expected term of the options granted is derived using the “simplified” method (that is, estimating the expected term as the midpoint between the vesting date and the end of the contractual term for each option).</w:t>
      </w:r>
    </w:p>
    <w:p>
      <w:pPr>
        <w:spacing w:after="0" w:line="203"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Risk-Free Interest Rate: The Company bases the risk-free interest rate on the interest rate payable on U.S. Treasury securities in effect at the time of grant for a period that is commensurate with the assumed expected option term.</w:t>
      </w:r>
    </w:p>
    <w:p>
      <w:pPr>
        <w:spacing w:after="0" w:line="197" w:lineRule="exact"/>
        <w:rPr>
          <w:sz w:val="20"/>
          <w:szCs w:val="20"/>
          <w:color w:val="auto"/>
        </w:rPr>
      </w:pPr>
    </w:p>
    <w:p>
      <w:pPr>
        <w:ind w:left="520"/>
        <w:spacing w:after="0"/>
        <w:tabs>
          <w:tab w:leader="none" w:pos="2960" w:val="left"/>
        </w:tabs>
        <w:rPr>
          <w:sz w:val="20"/>
          <w:szCs w:val="20"/>
          <w:color w:val="auto"/>
        </w:rPr>
      </w:pPr>
      <w:r>
        <w:rPr>
          <w:rFonts w:ascii="Arial" w:cs="Arial" w:eastAsia="Arial" w:hAnsi="Arial"/>
          <w:sz w:val="18"/>
          <w:szCs w:val="18"/>
          <w:color w:val="auto"/>
        </w:rPr>
        <w:t>Expected Annual Dividends:</w:t>
      </w:r>
      <w:r>
        <w:rPr>
          <w:sz w:val="20"/>
          <w:szCs w:val="20"/>
          <w:color w:val="auto"/>
        </w:rPr>
        <w:tab/>
      </w:r>
      <w:r>
        <w:rPr>
          <w:rFonts w:ascii="Arial" w:cs="Arial" w:eastAsia="Arial" w:hAnsi="Arial"/>
          <w:sz w:val="17"/>
          <w:szCs w:val="17"/>
          <w:color w:val="auto"/>
        </w:rPr>
        <w:t>The Company has not historically paid, and does not expect for the foreseeable future to pay, a dividend.</w:t>
      </w:r>
    </w:p>
    <w:p>
      <w:pPr>
        <w:spacing w:after="0" w:line="212"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Forfeiture Rate: The forfeiture rate represents the percentage of unvested stock options the Company expects will not vest, and, therefore, should not be expensed. The Company estimates forfeiture rates based on historical stock option grants and cancellations.</w:t>
      </w:r>
    </w:p>
    <w:p>
      <w:pPr>
        <w:spacing w:after="0" w:line="197"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As of March 31, 2019, there was approximately $22.2 million in total unrecognized compensation expense, net of estimated forfeitures, related to unvested options granted to employees and directors under the 2008 and 2018 Plans. The expense is expected to be recognized over a weighted-average period of 3.01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22"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The Company granted 25,000 options to non-employees during the three months ended March 31, 2019 and did not grant any options during the three months ended March 31, 2018. Stock-based compensation expense related to stock-based payment awards to non-employees for the three months ended March 31, 2019 and 2018 was $32,000 and $25,000, respectively.</w:t>
      </w:r>
    </w:p>
    <w:p>
      <w:pPr>
        <w:spacing w:after="0" w:line="229"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March 31, 2019 and December 31, 2018, non-employee stock options to purchase 37,448 and 16,042 shares, respectively, remain unvested.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11. Income Taxes</w:t>
      </w:r>
    </w:p>
    <w:p>
      <w:pPr>
        <w:spacing w:after="0" w:line="126"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Company has a history of losses, and expects to record a loss in 2019. Additionally, the net deferred tax assets have been fully offset by a valuation allowance against our net operating loss carryforwards. Therefore, the Company has not recorded a provision for income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On April 3, 2019, the Company completed an IPO of its common stock and the securities started trading on the Nasdaq Select Global Market on April 4, 2019. In connection with its IPO, the Company issued an aggregate of 7,521,394 shares of its common, which included 6,666,667 shares of its common stock and 854,727 shares of its common stock issued pursuant to the over-allotment option granted to the underwriters issued at a price of $16.00 per share, before underwriting discounts and commissions. As a result of the IPO, the Company received approximately $111.9 million in net proceeds, after deducting underwriting discounts and commissions, but before offering expenses. As of March 31, 2019, the Company had incurred $3.7 million of deferred offering costs, which will be offset against the net proceeds received from the sale of common stock. At the closing of the IPO, 47,267,466 shares of outstanding convertible preferred stock were automatically converted to common stock on a 1:1 basis. Following the IPO, there were no shares of preferred stock outstanding.</w:t>
      </w:r>
    </w:p>
    <w:p>
      <w:pPr>
        <w:spacing w:after="0" w:line="208" w:lineRule="exact"/>
        <w:rPr>
          <w:sz w:val="20"/>
          <w:szCs w:val="20"/>
          <w:color w:val="auto"/>
        </w:rPr>
      </w:pPr>
    </w:p>
    <w:p>
      <w:pPr>
        <w:ind w:right="420" w:firstLine="518"/>
        <w:spacing w:after="0" w:line="246" w:lineRule="auto"/>
        <w:rPr>
          <w:sz w:val="20"/>
          <w:szCs w:val="20"/>
          <w:color w:val="auto"/>
        </w:rPr>
      </w:pPr>
      <w:r>
        <w:rPr>
          <w:rFonts w:ascii="Arial" w:cs="Arial" w:eastAsia="Arial" w:hAnsi="Arial"/>
          <w:sz w:val="18"/>
          <w:szCs w:val="18"/>
          <w:color w:val="auto"/>
        </w:rPr>
        <w:t>Concurrent with the completion of the IPO, the Company also issued 4,121,683 shares to Merck in a private placement at a price of $16.00 per share. As a result of the private placement to Merck the Company received $65.9 million.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notes for the year ended December 31, 2018, included in the Company’s final prospectus filed with the SEC pursuant to Rule 424(b) under the Securities Act of 1933, as amended, on April 4, 2019 (the “Prospectus”), and other financial information appearing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76" w:lineRule="exact"/>
        <w:rPr>
          <w:sz w:val="20"/>
          <w:szCs w:val="20"/>
          <w:color w:val="auto"/>
        </w:rPr>
      </w:pPr>
    </w:p>
    <w:p>
      <w:pPr>
        <w:ind w:right="280" w:firstLine="518"/>
        <w:spacing w:after="0" w:line="242"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00" w:firstLine="518"/>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entered Phase 2b development for the treatment of non-alcoholic steatohepatitis, or NASH, in mid-2019.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20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Through March 31, 2019, Merck has paid us $358.9 million, of which $20.0 million was to license NGM313 and related compounds and $338.9 million was upfront payment and reimbursement of research and development expenses. On March 15, 2019, Merck exercised its option to extend the collaboration through March 16, 2022, and has the right to extend it again through March 16, 2024. As part of the extension through March 16, 2022, Merck agreed to continue to fund our research and development efforts at the same levels during the two-year extension period and, in lieu of a $20.0 million extension fee payable to us, during such two year extension period, Merck will make additional payments totaling up to $20.0 million in support of our research and development activities across 2021 and the first quarter of 2022.</w:t>
      </w:r>
    </w:p>
    <w:p>
      <w:pPr>
        <w:spacing w:after="0" w:line="20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April 2019, we completed an IPO issuing and aggregate of 7,521,394 shares of common stock, which included 6,666,667 shares of common stock and 854,727 shares of common stock issued pursuant to the over-allotment option granted to the underwriters at a price of $16.00 per share, before underwriting discounts and commissions. As a result of the IPO, we received approximately $111.9 million in net proceeds, after deducting underwriting discounts and commissions, but before offering expenses. As of March 31, 2019, we had incurred $3.7 million of deferred offering costs, which will be offset against the net proceeds received from the sale of common stock. At the closing of the IPO, 47,283,846 shares of outstanding convertible preferred stock were automatically converted to common stock on a 1:1 basis. Following the IPO, there were no shares of preferred stock outstanding. Concurrent with the completion of the IPO we also issued 4,121,683 shares to Merck in a private placement at a price of $16.00 per share. As a result of the private placement to Merck we received $65.9 million.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0" w:name="page31"/>
    <w:bookmarkEnd w:id="30"/>
    <w:p>
      <w:pPr>
        <w:ind w:right="200" w:firstLine="518"/>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$8.3 million and $3.9 million for the three months ended March 31, 2019 and 2018, respectively. As of March 31, 2019, we had an accumulated deficit of $161.6 million, of which $5.1 million was an accumulated adjustment to retained earnings at January 1, 2019 for the Company’s adoption of Accounting Standards Update 2014-09, Revenue from Contracts with Customers, and subsequent amendments (“ASC 606”), under the modified retrospective approach to adoption.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w:t>
      </w:r>
    </w:p>
    <w:p>
      <w:pPr>
        <w:ind w:right="20"/>
        <w:spacing w:after="0" w:line="236" w:lineRule="auto"/>
        <w:rPr>
          <w:sz w:val="20"/>
          <w:szCs w:val="20"/>
          <w:color w:val="auto"/>
        </w:rPr>
      </w:pPr>
      <w:r>
        <w:rPr>
          <w:rFonts w:ascii="Arial" w:cs="Arial" w:eastAsia="Arial" w:hAnsi="Arial"/>
          <w:sz w:val="18"/>
          <w:szCs w:val="18"/>
          <w:color w:val="auto"/>
        </w:rPr>
        <w:t>$294.9 million, upfront license fees paid by collaboration partners of $ 123.0 million, our initial public offering, a concurrent private placement of common stock to Merck for $65.9 million, the license of NGM313 and related compounds to Merck for $20.0 million, and research and development service fees provided by collaboration partners of $272.4 million. We do not have any products approved for sale and do not anticipate generating revenue from product sales for the foreseeable future, if ever. Accordingly, to fund further operations we may need to raise capital. Until such time as we can generate meaningful revenue from product sales, if ever, we expect to finance our operating activities through public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w:t>
      </w:r>
    </w:p>
    <w:p>
      <w:pPr>
        <w:spacing w:after="0" w:line="206" w:lineRule="exact"/>
        <w:rPr>
          <w:sz w:val="20"/>
          <w:szCs w:val="20"/>
          <w:color w:val="auto"/>
        </w:rPr>
      </w:pPr>
    </w:p>
    <w:p>
      <w:pPr>
        <w:ind w:right="240" w:firstLine="518"/>
        <w:spacing w:after="0" w:line="275" w:lineRule="auto"/>
        <w:rPr>
          <w:sz w:val="20"/>
          <w:szCs w:val="20"/>
          <w:color w:val="auto"/>
        </w:rPr>
      </w:pPr>
      <w:r>
        <w:rPr>
          <w:rFonts w:ascii="Arial" w:cs="Arial" w:eastAsia="Arial" w:hAnsi="Arial"/>
          <w:sz w:val="17"/>
          <w:szCs w:val="17"/>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6"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agreements, and we may also be entitled to receive additional milestone and other contingent payments pursuant to our Collaboration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sources of our collaboration revenue for the three months ended March 31,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8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9"/>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rPr>
              <w:t>March 31,</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9"/>
              </w:rPr>
              <w:t>(in thousands)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jc w:val="right"/>
              <w:ind w:right="2250"/>
              <w:spacing w:after="0"/>
              <w:rPr>
                <w:sz w:val="20"/>
                <w:szCs w:val="20"/>
                <w:color w:val="auto"/>
              </w:rPr>
            </w:pPr>
            <w:r>
              <w:rPr>
                <w:rFonts w:ascii="Arial" w:cs="Arial" w:eastAsia="Arial" w:hAnsi="Arial"/>
                <w:sz w:val="18"/>
                <w:szCs w:val="18"/>
                <w:color w:val="auto"/>
                <w:w w:val="99"/>
              </w:rPr>
              <w:t>Related party revenue</w:t>
            </w:r>
          </w:p>
        </w:tc>
        <w:tc>
          <w:tcPr>
            <w:tcW w:w="3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jc w:val="right"/>
              <w:ind w:right="1710"/>
              <w:spacing w:after="0"/>
              <w:rPr>
                <w:sz w:val="20"/>
                <w:szCs w:val="20"/>
                <w:color w:val="auto"/>
              </w:rPr>
            </w:pPr>
            <w:r>
              <w:rPr>
                <w:rFonts w:ascii="Arial" w:cs="Arial" w:eastAsia="Arial" w:hAnsi="Arial"/>
                <w:sz w:val="18"/>
                <w:szCs w:val="18"/>
                <w:color w:val="auto"/>
              </w:rPr>
              <w:t>Recognition of upfront fee</w:t>
            </w:r>
          </w:p>
        </w:tc>
        <w:tc>
          <w:tcPr>
            <w:tcW w:w="47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5,692</w:t>
            </w:r>
          </w:p>
        </w:tc>
        <w:tc>
          <w:tcPr>
            <w:tcW w:w="2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rPr>
              <w:t>Collaboration service revenue</w:t>
            </w:r>
          </w:p>
        </w:tc>
        <w:tc>
          <w:tcPr>
            <w:tcW w:w="37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19,860</w:t>
            </w:r>
          </w:p>
        </w:tc>
        <w:tc>
          <w:tcPr>
            <w:tcW w:w="28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13,913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jc w:val="right"/>
              <w:ind w:right="1390"/>
              <w:spacing w:after="0"/>
              <w:rPr>
                <w:sz w:val="20"/>
                <w:szCs w:val="20"/>
                <w:color w:val="auto"/>
              </w:rPr>
            </w:pPr>
            <w:r>
              <w:rPr>
                <w:rFonts w:ascii="Arial" w:cs="Arial" w:eastAsia="Arial" w:hAnsi="Arial"/>
                <w:sz w:val="18"/>
                <w:szCs w:val="18"/>
                <w:color w:val="auto"/>
              </w:rPr>
              <w:t>Total related party revenue</w:t>
            </w:r>
          </w:p>
        </w:tc>
        <w:tc>
          <w:tcPr>
            <w:tcW w:w="47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25,552</w:t>
            </w:r>
          </w:p>
        </w:tc>
        <w:tc>
          <w:tcPr>
            <w:tcW w:w="2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18,613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720" w:type="dxa"/>
            <w:vAlign w:val="bottom"/>
            <w:vMerge w:val="restart"/>
          </w:tcPr>
          <w:p>
            <w:pPr>
              <w:jc w:val="right"/>
              <w:ind w:right="1930"/>
              <w:spacing w:after="0"/>
              <w:rPr>
                <w:sz w:val="20"/>
                <w:szCs w:val="20"/>
                <w:color w:val="auto"/>
              </w:rPr>
            </w:pPr>
            <w:r>
              <w:rPr>
                <w:rFonts w:ascii="Arial" w:cs="Arial" w:eastAsia="Arial" w:hAnsi="Arial"/>
                <w:sz w:val="18"/>
                <w:szCs w:val="18"/>
                <w:color w:val="auto"/>
              </w:rPr>
              <w:t>29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2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7"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GDF15 receptor agonist program, or to our other programs in the event Merck does not elect to license these programs upon completion of a proof-of-concept study, or in the event Merck elects to terminate its license to a program.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203"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NGM282 clinical trials we have initiated or plan to initiate include: (1) a 24-week expansion cohort of NGM282 (cohort 4) under our ongoing Phase 2 protocol as a double-blind, placebo-controlled study of once-daily 1 mg NGM282 for the treatment of patients with fibrosis stage F2 or F3 NASH, (2) a Phase 2b clinical trial of NGM282 in a double-blind, placebo-controlled format testing 0.3 mg, 1 mg and 3 mg daily doses of NGM282 for 24 weeks for the treatment of patients with fibrosis stage F2 or F3 NASH and (3) a Phase 2b clinical trial of NGM282 for the treatment of NASH patients with early cirrhosis (F4 stage fibrosis). Significant portions of our research and development resources are focused on these clinical trials and other work needed to prepare NGM282 for regulatory approval for the treatment of NASH, including manufacturing of clinical trial material and preparation for Phase 3 testing of NGM282 in NASH.</w:t>
      </w:r>
    </w:p>
    <w:p>
      <w:pPr>
        <w:spacing w:after="0" w:line="20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Our NGM313 product candidate has completed single ascending dose and multiple ascending dose Phase 1 testing in overweight or obese but otherwise healthy adults, as well as a Phase 1b study in obese insulin resistant subjects with nonalcoholic fatty liver disease, or NAFLD. Merck exercised its option to license the NGM313 program,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3"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We are also conducting Phase 1 clinical trials for NGM120 and NGM217, each of which is subject to reimbursement under our Merck collaboration up to the funding caps provided in the agreement. NGM120 is currently in a Phase 1 clinical trial assessing safety, tolerability and pharmacokinetics. In 2019, we are planning to conduct a clinical study with NGM120 in cancer patients to explore proof of concept as an agent to treat cancer anorexia-cachexia syndrome and, possibly, cancer. Merck has the option to license NGM120 following completion of a proof-of-concept study in humans.</w:t>
      </w:r>
    </w:p>
    <w:p>
      <w:pPr>
        <w:spacing w:after="0" w:line="203"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We are also conducting a Phase 1 clinical trial with NGM217 to assess safety and tolerability and to inform dose-range finding for future studies. Thereafter, we plan to commence a Phase 1b/2a proof-of-concept study in diabetic patients to assess the ability of the agent to increase insulin production by the pancreas. Merck has the option to license NGM217 following completion of a proof-of-concept study in humans.</w:t>
      </w:r>
    </w:p>
    <w:p>
      <w:pPr>
        <w:spacing w:after="0" w:line="202" w:lineRule="exact"/>
        <w:rPr>
          <w:sz w:val="20"/>
          <w:szCs w:val="20"/>
          <w:color w:val="auto"/>
        </w:rPr>
      </w:pPr>
    </w:p>
    <w:p>
      <w:pPr>
        <w:ind w:right="340" w:firstLine="518"/>
        <w:spacing w:after="0"/>
        <w:rPr>
          <w:sz w:val="20"/>
          <w:szCs w:val="20"/>
          <w:color w:val="auto"/>
        </w:rPr>
      </w:pPr>
      <w:r>
        <w:rPr>
          <w:rFonts w:ascii="Arial" w:cs="Arial" w:eastAsia="Arial" w:hAnsi="Arial"/>
          <w:sz w:val="18"/>
          <w:szCs w:val="18"/>
          <w:color w:val="auto"/>
        </w:rPr>
        <w:t>NGM621 is currently in IND-enabling studies to enable initiation of a Phase 1 clinical trial in the second half of 2019. We expect the Phase 1 clinical trial will assess the safety and tolerability of up to two intravitreal injections of NGM621 in patients with the dry form of age-related macular degeneration. Merck has the option to license NGM621 following completion of a proof-of-concept study in humans.</w:t>
      </w:r>
    </w:p>
    <w:p>
      <w:pPr>
        <w:spacing w:after="0" w:line="203"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NGM386 and NGM395 comprise our GDF15 receptor agonist program and both were licensed to Merck at the inception of our collaboration. Substantially all of the related research and development expenses for these programs were borne directly by Merck under our Collaboration Agreement; however, on March 1, 2019, Merck notified us of its intent to terminate its license, effective May 31, 2019. Upon termination of the license, we will regain full rights to NGM386 and NGM395. We may incur further research and development expenses following our assessment of the suitability of this program for further development.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32" w:name="page33"/>
    <w:bookmarkEnd w:id="32"/>
    <w:p>
      <w:pPr>
        <w:ind w:right="240" w:firstLine="518"/>
        <w:spacing w:after="0" w:line="246" w:lineRule="auto"/>
        <w:rPr>
          <w:sz w:val="20"/>
          <w:szCs w:val="20"/>
          <w:color w:val="auto"/>
        </w:rPr>
      </w:pPr>
      <w:r>
        <w:rPr>
          <w:rFonts w:ascii="Arial" w:cs="Arial" w:eastAsia="Arial" w:hAnsi="Arial"/>
          <w:sz w:val="18"/>
          <w:szCs w:val="18"/>
          <w:color w:val="auto"/>
        </w:rPr>
        <w:t>Our research and development expenses related to the development of NGM282, NGM313, NGM120, NGM217 and NGM621 consist primarily of:</w:t>
      </w:r>
    </w:p>
    <w:p>
      <w:pPr>
        <w:spacing w:after="0" w:line="89" w:lineRule="exact"/>
        <w:rPr>
          <w:sz w:val="20"/>
          <w:szCs w:val="20"/>
          <w:color w:val="auto"/>
        </w:rPr>
      </w:pPr>
    </w:p>
    <w:p>
      <w:pPr>
        <w:ind w:left="780" w:hanging="25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03" w:lineRule="exact"/>
        <w:rPr>
          <w:rFonts w:ascii="Arial" w:cs="Arial" w:eastAsia="Arial" w:hAnsi="Arial"/>
          <w:sz w:val="18"/>
          <w:szCs w:val="18"/>
          <w:color w:val="auto"/>
        </w:rPr>
      </w:pPr>
    </w:p>
    <w:p>
      <w:pPr>
        <w:ind w:left="780" w:right="380" w:hanging="259"/>
        <w:spacing w:after="0" w:line="24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03" w:lineRule="exact"/>
        <w:rPr>
          <w:rFonts w:ascii="Arial" w:cs="Arial" w:eastAsia="Arial" w:hAnsi="Arial"/>
          <w:sz w:val="18"/>
          <w:szCs w:val="18"/>
          <w:color w:val="auto"/>
        </w:rPr>
      </w:pPr>
    </w:p>
    <w:p>
      <w:pPr>
        <w:ind w:left="780" w:right="600" w:hanging="259"/>
        <w:spacing w:after="0" w:line="24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comparison of research and development expenses for the three months ended March 31,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8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9"/>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rPr>
              <w:t>March 31,</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9"/>
              </w:rPr>
              <w:t>(in thousands)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NGM282 (FGF19 analog)</w:t>
            </w:r>
          </w:p>
        </w:tc>
        <w:tc>
          <w:tcPr>
            <w:tcW w:w="23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6,780</w:t>
            </w:r>
          </w:p>
        </w:tc>
        <w:tc>
          <w:tcPr>
            <w:tcW w:w="2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NGM120 (GFRAL antagonist)</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NGM217 (undisclosed)</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NGM621 (undisclosed)</w:t>
            </w:r>
          </w:p>
        </w:tc>
        <w:tc>
          <w:tcPr>
            <w:tcW w:w="13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research and development expenses</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and unallocated research and development expenses</w:t>
            </w:r>
            <w:r>
              <w:rPr>
                <w:rFonts w:ascii="Arial" w:cs="Arial" w:eastAsia="Arial" w:hAnsi="Arial"/>
                <w:sz w:val="15"/>
                <w:szCs w:val="15"/>
                <w:color w:val="auto"/>
              </w:rPr>
              <w:t>(1)</w:t>
            </w:r>
          </w:p>
        </w:tc>
        <w:tc>
          <w:tcPr>
            <w:tcW w:w="13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19,866</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14,438</w:t>
            </w:r>
          </w:p>
        </w:tc>
        <w:tc>
          <w:tcPr>
            <w:tcW w:w="12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3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29,527</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19,454</w:t>
            </w:r>
          </w:p>
        </w:tc>
        <w:tc>
          <w:tcPr>
            <w:tcW w:w="12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520" w:right="740" w:hanging="512"/>
        <w:spacing w:after="0" w:line="246"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mainly of employee compensation, research supplies and consulting fees, which we deploy across multiple research and development programs.</w:t>
      </w:r>
    </w:p>
    <w:p>
      <w:pPr>
        <w:spacing w:after="0" w:line="197"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94" w:lineRule="exact"/>
        <w:rPr>
          <w:sz w:val="20"/>
          <w:szCs w:val="20"/>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103" w:lineRule="exact"/>
        <w:rPr>
          <w:rFonts w:ascii="Arial" w:cs="Arial" w:eastAsia="Arial" w:hAnsi="Arial"/>
          <w:sz w:val="18"/>
          <w:szCs w:val="18"/>
          <w:color w:val="auto"/>
        </w:rPr>
      </w:pPr>
    </w:p>
    <w:p>
      <w:pPr>
        <w:ind w:left="780" w:right="560" w:hanging="259"/>
        <w:spacing w:after="0" w:line="24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3" w:name="page34"/>
    <w:bookmarkEnd w:id="33"/>
    <w:p>
      <w:pPr>
        <w:ind w:right="60" w:firstLine="518"/>
        <w:spacing w:after="0" w:line="238" w:lineRule="auto"/>
        <w:rPr>
          <w:sz w:val="20"/>
          <w:szCs w:val="20"/>
          <w:color w:val="auto"/>
        </w:rPr>
      </w:pPr>
      <w:r>
        <w:rPr>
          <w:rFonts w:ascii="Arial" w:cs="Arial" w:eastAsia="Arial" w:hAnsi="Arial"/>
          <w:sz w:val="18"/>
          <w:szCs w:val="18"/>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right="220" w:firstLine="518"/>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3"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8"/>
              </w:rPr>
              <w:t>March 31,</w:t>
            </w: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Change ($)</w:t>
            </w: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9"/>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6,939</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24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34,894</w:t>
            </w:r>
          </w:p>
        </w:tc>
        <w:tc>
          <w:tcPr>
            <w:tcW w:w="2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11,566</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(9,342)</w:t>
            </w:r>
          </w:p>
        </w:tc>
        <w:tc>
          <w:tcPr>
            <w:tcW w:w="3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4,627</w:t>
            </w:r>
          </w:p>
        </w:tc>
        <w:tc>
          <w:tcPr>
            <w:tcW w:w="2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(8,268)</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(3,941)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20" w:firstLine="518"/>
        <w:spacing w:after="0" w:line="247"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$ 25.6 million and $18.6 million for the three months ended March 31, 2019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respectively. The increase of $6.9 million in revenue was primarily due to $1.0 million recognized on the adoption of ASC 606, $1.7 million for increased reimbursable research personnel costs, $3.9 million for the acquisition of clinical trial materials and $0.3 million for other reimbursable research and development costs.</w:t>
      </w:r>
    </w:p>
    <w:p>
      <w:pPr>
        <w:spacing w:after="0" w:line="174" w:lineRule="exact"/>
        <w:rPr>
          <w:sz w:val="20"/>
          <w:szCs w:val="20"/>
          <w:color w:val="auto"/>
        </w:rPr>
      </w:pPr>
    </w:p>
    <w:p>
      <w:pPr>
        <w:ind w:right="160" w:firstLine="518"/>
        <w:spacing w:after="0"/>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$29.5 million and $19.5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2019 and 2018, respectively. The increase in research and development expenses of $ 10.1 million was primarily attributable to an increase of $3.5 million in unallocated research and development expenses primarily related to hiring and personnel-related expenses and early research testing, $3.0 million for the acquisition of clinical trial materials and $4.1 million in NGM282 program external expenses primarily related to clinical trial and CRO costs. These increases were offset by a decrease of $ 0.5 million in other program external expenses for manufacturing costs of clinical materials that occurred in 2018. We expect our research and development expenses to increase substantially in connection with our ongoing activities, particularly to the extent that product candidates whose costs are not borne by our collaborator, such as NGM282, NGM386 and NGM395, advance in clinical development.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4" w:name="page35"/>
    <w:bookmarkEnd w:id="34"/>
    <w:p>
      <w:pPr>
        <w:ind w:right="40" w:firstLine="518"/>
        <w:spacing w:after="0" w:line="24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$5.4 million and $3.9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2019 and 2018, respectively. The increase in general and administrative expenses of $1.5 million was primarily due to an increase of $0.7 million in personnel-related expenses including stock-based compensation, $0.6 million for legal expenses and $0.2 million in audit and tax expenses. We anticipate general and administrative expenses will increase with expansion of support resources.</w:t>
      </w:r>
    </w:p>
    <w:p>
      <w:pPr>
        <w:spacing w:after="0" w:line="174" w:lineRule="exact"/>
        <w:rPr>
          <w:sz w:val="20"/>
          <w:szCs w:val="20"/>
          <w:color w:val="auto"/>
        </w:rPr>
      </w:pPr>
    </w:p>
    <w:p>
      <w:pPr>
        <w:jc w:val="both"/>
        <w:ind w:right="20" w:firstLine="518"/>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$1.1 million and $0.8 million for the three months ended March 31, 2019 and 2018,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interest income of $0.4 million was primarily attributable to higher yields on our available-for-sale marketable securities in 2019 compared to 2018. We anticipate interest income will increase in the near term after the receipt of funds from our IPO.</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200" w:firstLine="518"/>
        <w:spacing w:after="0" w:line="234" w:lineRule="auto"/>
        <w:rPr>
          <w:sz w:val="20"/>
          <w:szCs w:val="20"/>
          <w:color w:val="auto"/>
        </w:rPr>
      </w:pPr>
      <w:r>
        <w:rPr>
          <w:rFonts w:ascii="Arial" w:cs="Arial" w:eastAsia="Arial" w:hAnsi="Arial"/>
          <w:sz w:val="18"/>
          <w:szCs w:val="18"/>
          <w:color w:val="auto"/>
        </w:rPr>
        <w:t>We have incurred losses and negative cash flows from operating activities since our inception. As of March 31, 2019, our operations have been financed primarily through the private placement of convertible preferred stock totaling $294.9 million, upfront license fees paid by collaboration partners of $ 123.0 million, the license of NGM313 and related compounds to Merck for $20.0 million, and research and development service fees provided by collaboration partners of $272.4 million. As of March 31, 2019, we had cash and cash equivalents of $47.3 million, short-term marketable securities of $ 146.1 million, working capital (excluding deferred revenue) of $178.3 million and an accumulated deficit of $161.6 million, compared to cash and cash equivalents of $56.9 million, short-term marketable securities of</w:t>
      </w:r>
    </w:p>
    <w:p>
      <w:pPr>
        <w:spacing w:after="0" w:line="5" w:lineRule="exact"/>
        <w:rPr>
          <w:sz w:val="20"/>
          <w:szCs w:val="20"/>
          <w:color w:val="auto"/>
        </w:rPr>
      </w:pPr>
    </w:p>
    <w:p>
      <w:pPr>
        <w:jc w:val="both"/>
        <w:ind w:right="300"/>
        <w:spacing w:after="0" w:line="255" w:lineRule="auto"/>
        <w:rPr>
          <w:sz w:val="20"/>
          <w:szCs w:val="20"/>
          <w:color w:val="auto"/>
        </w:rPr>
      </w:pPr>
      <w:r>
        <w:rPr>
          <w:rFonts w:ascii="Arial" w:cs="Arial" w:eastAsia="Arial" w:hAnsi="Arial"/>
          <w:sz w:val="17"/>
          <w:szCs w:val="17"/>
          <w:color w:val="auto"/>
        </w:rPr>
        <w:t>$149.7 million, working capital (excluding deferred revenue) of $192.1 million and an accumulated deficit of $147.2 million at December 31, 2018. In April 2019, we completed our IPO, pursuant to which we issued 7,521,394 shares of our common stock, which included 6,666,667 shares issued at a price of $ 16.00 per share 854,727 shares sold pursuant to the exercise of the underwriters’ option to purchase additional shares at $14.88 per share. We received $ 111.9 million, net of underwriting discounts and commissions, but before offering expenses. We concurrently closed a private placement of 4,121,683 shares to Merck at a price of $16.00 per share, for proceeds of $65.9 million.</w:t>
      </w:r>
    </w:p>
    <w:p>
      <w:pPr>
        <w:spacing w:after="0" w:line="19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for any programs that Merck does not opt to develop and that we choose to develop and for any programs for which Merck elects to terminate its license, including NGM386 and NGM395, for which Merck has given us notice of its intent to terminate the license and that we are considering whether to advance pending study results. If our Merck collaboration were to be terminated, we could require significant additional capital in order to proceed with development and 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02" w:lineRule="exact"/>
        <w:rPr>
          <w:sz w:val="20"/>
          <w:szCs w:val="20"/>
          <w:color w:val="auto"/>
        </w:rPr>
      </w:pPr>
    </w:p>
    <w:p>
      <w:pPr>
        <w:ind w:right="220" w:firstLine="518"/>
        <w:spacing w:after="0" w:line="239"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2019 and 2018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60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6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9"/>
              </w:rPr>
              <w:t>(in thousands)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(12,100)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(4,465)</w:t>
            </w:r>
          </w:p>
        </w:tc>
      </w:tr>
      <w:tr>
        <w:trPr>
          <w:trHeight w:val="216"/>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30,576</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0"/>
        </w:trPr>
        <w:tc>
          <w:tcPr>
            <w:tcW w:w="606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(9,610)</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25,997</w:t>
            </w:r>
          </w:p>
        </w:tc>
        <w:tc>
          <w:tcPr>
            <w:tcW w:w="120" w:type="dxa"/>
            <w:vAlign w:val="bottom"/>
            <w:shd w:val="clear" w:color="auto" w:fill="CFF0FC"/>
          </w:tcPr>
          <w:p>
            <w:pPr>
              <w:spacing w:after="0"/>
              <w:rPr>
                <w:sz w:val="18"/>
                <w:szCs w:val="18"/>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2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During the three months ended March 31, 2019, cash used in operating activities was $12.1 million, which consisted of a net loss of $8.3 million, adjusted for non-cash charges of $4.2 million and cash used through changes in operating assets and liabilities of $8.0 million. The non-cash charges consisted primarily of stock-based compensation expense of $2.6 million and depreciation expense of $2.0 million. The change in operating assets and liabilities was primarily due to an increase in prepaid expenses and other current assets of $2.0 million, an increase in accrued expenses and other liabilities of $ 1.2 million and a decrease in accounts payable of $0.8 million, offset by a decrease in receivable from related party collaboration revenue of $ 3.7 million and decreases in deferred rent and deferred revenue of $0.7 million and $7.1 million, respectively. The decrease in deferred revenue is primarily attributed to changes in revenue from the adoption of ASC 606 and the timing of advance payments from Merck related to the reimbursement of costs associated with research and development activities.</w:t>
      </w:r>
    </w:p>
    <w:p>
      <w:pPr>
        <w:spacing w:after="0" w:line="20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During the three months ended March 31, 2018, cash used in operating activities was $4.5 million, which consisted of a net loss of $3.9 million, adjusted for non-cash charges of $4.0 million and cash used through changes in operating assets and liabilities of $4.5 million. The non-cash charges consisted primarily of stock-based compensation expense of $2.3 million and depreciation expense of $1.7 million. The change in operating assets and liabilities was primarily due to a decrease in prepaid expenses and other current assets of $0.8 million, an increase in accrued expenses and other liabilities of $3.4 million, an increase in accounts payable of $1.7 million, and decreases in deferred rent and deferred revenue of $0.3 million and $1.6 million, respectively. The decrease in deferred revenue is primarily attributed to the timing of advance payments from Merck related to the reimbursement of costs associated with research and development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126"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During the three months ended March 31, 2019, cash provided by investing activities was $2.5 million, which consisted of $ 77.0 million in proceeds from the maturities of marketable securities, partially offset by purchases of marketable securities of $72.7 million and purchases of property and equipment of $1.8 million.</w:t>
      </w:r>
    </w:p>
    <w:p>
      <w:pPr>
        <w:spacing w:after="0" w:line="203"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During the three months ended March 31, 2018, cash provided by investing activities was $30.6 million, which consisted of $68.6 million in proceeds from the maturities of marketable securities, partially offset by purchases of marketable securities of $37.0 million and purchases of property and equipment of $1.0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Used in Financing Activities</w:t>
      </w:r>
    </w:p>
    <w:p>
      <w:pPr>
        <w:spacing w:after="0" w:line="126" w:lineRule="exact"/>
        <w:rPr>
          <w:sz w:val="20"/>
          <w:szCs w:val="20"/>
          <w:color w:val="auto"/>
        </w:rPr>
      </w:pPr>
    </w:p>
    <w:p>
      <w:pPr>
        <w:jc w:val="both"/>
        <w:ind w:right="40" w:firstLine="518"/>
        <w:spacing w:after="0"/>
        <w:rPr>
          <w:sz w:val="20"/>
          <w:szCs w:val="20"/>
          <w:color w:val="auto"/>
        </w:rPr>
      </w:pPr>
      <w:r>
        <w:rPr>
          <w:rFonts w:ascii="Arial" w:cs="Arial" w:eastAsia="Arial" w:hAnsi="Arial"/>
          <w:sz w:val="18"/>
          <w:szCs w:val="18"/>
          <w:color w:val="auto"/>
        </w:rPr>
        <w:t>During the three months ended March 31, 2019, cash provided by financing activities was $3,000, which consisted of proceeds from the issuance of common stock upon the exercise of previously granted stock options of $0.3 million less deferred initial public offering costs of $0.3 million.</w:t>
      </w:r>
    </w:p>
    <w:p>
      <w:pPr>
        <w:spacing w:after="0" w:line="203"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During the three months ended March 31, 2018, cash used in financing activities was $0.1 million, which consisted of proceeds from the issuance of common stock upon the exercise of previously granted stock options of $0.1 million less repurchases of common stock of $0.2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We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ind w:right="720" w:firstLine="518"/>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March 31, 2019, our contractual obligations due by period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Payments due by period</w:t>
            </w: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0"/>
        </w:trPr>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420"/>
              <w:spacing w:after="0" w:line="201" w:lineRule="exact"/>
              <w:rPr>
                <w:sz w:val="20"/>
                <w:szCs w:val="20"/>
                <w:color w:val="auto"/>
              </w:rPr>
            </w:pPr>
            <w:r>
              <w:rPr>
                <w:rFonts w:ascii="Arial" w:cs="Arial" w:eastAsia="Arial" w:hAnsi="Arial"/>
                <w:sz w:val="18"/>
                <w:szCs w:val="18"/>
                <w:b w:val="1"/>
                <w:bCs w:val="1"/>
                <w:color w:val="auto"/>
                <w:w w:val="99"/>
              </w:rPr>
              <w:t>Less than</w:t>
            </w:r>
          </w:p>
        </w:tc>
        <w:tc>
          <w:tcPr>
            <w:tcW w:w="260" w:type="dxa"/>
            <w:vAlign w:val="bottom"/>
          </w:tcPr>
          <w:p>
            <w:pPr>
              <w:spacing w:after="0"/>
              <w:rPr>
                <w:sz w:val="17"/>
                <w:szCs w:val="17"/>
                <w:color w:val="auto"/>
              </w:rPr>
            </w:pPr>
          </w:p>
        </w:tc>
        <w:tc>
          <w:tcPr>
            <w:tcW w:w="1280" w:type="dxa"/>
            <w:vAlign w:val="bottom"/>
            <w:gridSpan w:val="2"/>
          </w:tcPr>
          <w:p>
            <w:pPr>
              <w:ind w:left="140"/>
              <w:spacing w:after="0" w:line="201" w:lineRule="exact"/>
              <w:rPr>
                <w:sz w:val="20"/>
                <w:szCs w:val="20"/>
                <w:color w:val="auto"/>
              </w:rPr>
            </w:pPr>
            <w:r>
              <w:rPr>
                <w:rFonts w:ascii="Arial" w:cs="Arial" w:eastAsia="Arial" w:hAnsi="Arial"/>
                <w:sz w:val="18"/>
                <w:szCs w:val="18"/>
                <w:b w:val="1"/>
                <w:bCs w:val="1"/>
                <w:color w:val="auto"/>
              </w:rPr>
              <w:t>1 to 3</w:t>
            </w:r>
          </w:p>
        </w:tc>
        <w:tc>
          <w:tcPr>
            <w:tcW w:w="260" w:type="dxa"/>
            <w:vAlign w:val="bottom"/>
          </w:tcPr>
          <w:p>
            <w:pPr>
              <w:spacing w:after="0"/>
              <w:rPr>
                <w:sz w:val="17"/>
                <w:szCs w:val="17"/>
                <w:color w:val="auto"/>
              </w:rPr>
            </w:pPr>
          </w:p>
        </w:tc>
        <w:tc>
          <w:tcPr>
            <w:tcW w:w="1300" w:type="dxa"/>
            <w:vAlign w:val="bottom"/>
            <w:gridSpan w:val="2"/>
          </w:tcPr>
          <w:p>
            <w:pPr>
              <w:jc w:val="center"/>
              <w:ind w:right="540"/>
              <w:spacing w:after="0" w:line="201" w:lineRule="exact"/>
              <w:rPr>
                <w:sz w:val="20"/>
                <w:szCs w:val="20"/>
                <w:color w:val="auto"/>
              </w:rPr>
            </w:pPr>
            <w:r>
              <w:rPr>
                <w:rFonts w:ascii="Arial" w:cs="Arial" w:eastAsia="Arial" w:hAnsi="Arial"/>
                <w:sz w:val="18"/>
                <w:szCs w:val="18"/>
                <w:b w:val="1"/>
                <w:bCs w:val="1"/>
                <w:color w:val="auto"/>
              </w:rPr>
              <w:t>4 to 5</w:t>
            </w:r>
          </w:p>
        </w:tc>
        <w:tc>
          <w:tcPr>
            <w:tcW w:w="180" w:type="dxa"/>
            <w:vAlign w:val="bottom"/>
          </w:tcPr>
          <w:p>
            <w:pPr>
              <w:spacing w:after="0"/>
              <w:rPr>
                <w:sz w:val="17"/>
                <w:szCs w:val="17"/>
                <w:color w:val="auto"/>
              </w:rPr>
            </w:pPr>
          </w:p>
        </w:tc>
        <w:tc>
          <w:tcPr>
            <w:tcW w:w="1360" w:type="dxa"/>
            <w:vAlign w:val="bottom"/>
            <w:gridSpan w:val="2"/>
          </w:tcPr>
          <w:p>
            <w:pPr>
              <w:jc w:val="center"/>
              <w:ind w:right="460"/>
              <w:spacing w:after="0" w:line="201" w:lineRule="exact"/>
              <w:rPr>
                <w:sz w:val="20"/>
                <w:szCs w:val="20"/>
                <w:color w:val="auto"/>
              </w:rPr>
            </w:pPr>
            <w:r>
              <w:rPr>
                <w:rFonts w:ascii="Arial" w:cs="Arial" w:eastAsia="Arial" w:hAnsi="Arial"/>
                <w:sz w:val="18"/>
                <w:szCs w:val="18"/>
                <w:b w:val="1"/>
                <w:bCs w:val="1"/>
                <w:color w:val="auto"/>
                <w:w w:val="99"/>
              </w:rPr>
              <w:t>More than</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1 year</w:t>
            </w: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19"/>
                <w:szCs w:val="19"/>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19"/>
                <w:szCs w:val="19"/>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5 years</w:t>
            </w:r>
          </w:p>
        </w:tc>
        <w:tc>
          <w:tcPr>
            <w:tcW w:w="2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15,543</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24,540</w:t>
            </w:r>
          </w:p>
        </w:tc>
        <w:tc>
          <w:tcPr>
            <w:tcW w:w="120" w:type="dxa"/>
            <w:vAlign w:val="bottom"/>
            <w:tcBorders>
              <w:bottom w:val="single" w:sz="8" w:color="CFF0FC"/>
            </w:tcBorders>
          </w:tcPr>
          <w:p>
            <w:pPr>
              <w:spacing w:after="0"/>
              <w:rPr>
                <w:sz w:val="18"/>
                <w:szCs w:val="18"/>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24,540</w:t>
            </w:r>
          </w:p>
        </w:tc>
        <w:tc>
          <w:tcPr>
            <w:tcW w:w="120" w:type="dxa"/>
            <w:vAlign w:val="bottom"/>
            <w:shd w:val="clear" w:color="auto" w:fill="CFF0FC"/>
          </w:tcPr>
          <w:p>
            <w:pPr>
              <w:spacing w:after="0"/>
              <w:rPr>
                <w:sz w:val="18"/>
                <w:szCs w:val="18"/>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520" w:right="500" w:hanging="512"/>
        <w:spacing w:after="0" w:line="24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7"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3"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Our cash, cash equivalents and marketable securities as of March 31, 2019 consisted of readily available checking and money market funds, as well as available-for-sale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7"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March 31, 2019 and December 31, 2018, our liabilities denominated in foreign currencies were not material. A 10% increase or decrease in current exchange rates would not have a material effect on our financial results.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8" w:lineRule="exact"/>
        <w:rPr>
          <w:sz w:val="20"/>
          <w:szCs w:val="20"/>
          <w:color w:val="auto"/>
        </w:rPr>
      </w:pPr>
    </w:p>
    <w:p>
      <w:pPr>
        <w:jc w:val="both"/>
        <w:ind w:right="200" w:firstLine="518"/>
        <w:spacing w:after="0"/>
        <w:rPr>
          <w:sz w:val="20"/>
          <w:szCs w:val="20"/>
          <w:color w:val="auto"/>
        </w:rPr>
      </w:pPr>
      <w:r>
        <w:rPr>
          <w:rFonts w:ascii="Arial" w:cs="Arial" w:eastAsia="Arial" w:hAnsi="Arial"/>
          <w:sz w:val="18"/>
          <w:szCs w:val="18"/>
          <w:color w:val="auto"/>
        </w:rPr>
        <w:t>Our significant accounting policies are described in Note 2 to our condensed consolidated financial statements appearing elsewhere in this quarterly report. We believe that the following accounting policies are the most critical for fully understanding and evaluating our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On January 1, 2019, we adopted Accounting Standards Update 2014-09, Revenue from Contracts with Customers, and subsequent amendments (ASC 606),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Accounting Standards Codification Topic 605, Revenue Recognition (“ASC 605”).</w:t>
      </w:r>
    </w:p>
    <w:p>
      <w:pPr>
        <w:spacing w:after="0" w:line="203"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we satisfy a performance obligation.</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All of our revenue to date has been generated from our collaboration agreements. The terms of these agreements generally require us to provide (i) license options for our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We assess whether the promises in our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variable consideration related to the performance of research and development services. We typically submit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We utilize judgment to assess the nature of our performance obligations to determine whether they are satisfied over time or at a point in time and, if over time, the appropriate method of measuring progress toward completion. We evaluate the measure of progress each reporting period and, if necessary, adjust the measure of performance and related revenue recognition.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p>
      <w:pPr>
        <w:ind w:firstLine="518"/>
        <w:spacing w:after="0"/>
        <w:rPr>
          <w:sz w:val="20"/>
          <w:szCs w:val="20"/>
          <w:color w:val="auto"/>
        </w:rPr>
      </w:pPr>
      <w:r>
        <w:rPr>
          <w:rFonts w:ascii="Arial" w:cs="Arial" w:eastAsia="Arial" w:hAnsi="Arial"/>
          <w:sz w:val="18"/>
          <w:szCs w:val="18"/>
          <w:color w:val="auto"/>
        </w:rPr>
        <w:t>Our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366"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Prior to the adoption of ASC 606, our revenue from collaboration agreements was recognized when we determined that persuasive evidence of an arrangement exists, services had been rendered, the price was fixed or determinable, and collectability was reasonably assured. We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we used the best estimate of selling price for that deliverable.</w:t>
      </w:r>
    </w:p>
    <w:p>
      <w:pPr>
        <w:spacing w:after="0" w:line="203"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The most significant change to our policies upon the adoption of ASC 606 is the estimation of an arrangement’s total transaction price, which would include any variable consideration and the recognition of that transaction price based on a cost-based input method that requires significant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quarter ending March 31, 2019 or in future periods (see Recently Adopted Accounting Pronouncements in the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ind w:right="480" w:firstLine="518"/>
        <w:spacing w:after="0" w:line="246"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89" w:lineRule="exact"/>
        <w:rPr>
          <w:sz w:val="20"/>
          <w:szCs w:val="20"/>
          <w:color w:val="auto"/>
        </w:rPr>
      </w:pPr>
    </w:p>
    <w:p>
      <w:pPr>
        <w:ind w:left="780" w:right="4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94" w:lineRule="exact"/>
        <w:rPr>
          <w:rFonts w:ascii="Arial" w:cs="Arial" w:eastAsia="Arial" w:hAnsi="Arial"/>
          <w:sz w:val="18"/>
          <w:szCs w:val="18"/>
          <w:color w:val="auto"/>
        </w:rPr>
      </w:pPr>
    </w:p>
    <w:p>
      <w:pPr>
        <w:ind w:left="780" w:right="560" w:hanging="259"/>
        <w:spacing w:after="0" w:line="24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04" w:lineRule="exact"/>
        <w:rPr>
          <w:sz w:val="20"/>
          <w:szCs w:val="20"/>
          <w:color w:val="auto"/>
        </w:rPr>
      </w:pPr>
    </w:p>
    <w:p>
      <w:pPr>
        <w:ind w:left="780" w:hanging="25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contract research organizations in connection with preclinical studies and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trial materials;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2"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We base our expense accruals related to clinical trials on our estimates of the services received and efforts expended pursuant to contracts with multiple research institutions and clinical research organizations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9" w:name="page40"/>
    <w:bookmarkEnd w:id="39"/>
    <w:p>
      <w:pPr>
        <w:ind w:right="60" w:firstLine="518"/>
        <w:spacing w:after="0"/>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trials and other research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97"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203" w:lineRule="exact"/>
        <w:rPr>
          <w:sz w:val="20"/>
          <w:szCs w:val="20"/>
          <w:color w:val="auto"/>
        </w:rPr>
      </w:pPr>
    </w:p>
    <w:p>
      <w:pPr>
        <w:jc w:val="both"/>
        <w:ind w:right="460" w:firstLine="518"/>
        <w:spacing w:after="0"/>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 including stock price volatility, the expected life of stock options, risk free interest rate and the fair value of the underlying common stock on the date of grant. Our key assumptions are:</w:t>
      </w:r>
    </w:p>
    <w:p>
      <w:pPr>
        <w:spacing w:after="0" w:line="73" w:lineRule="exact"/>
        <w:rPr>
          <w:sz w:val="20"/>
          <w:szCs w:val="20"/>
          <w:color w:val="auto"/>
        </w:rPr>
      </w:pPr>
    </w:p>
    <w:p>
      <w:pPr>
        <w:ind w:left="780" w:right="60" w:hanging="259"/>
        <w:spacing w:after="0" w:line="271"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over periods commensurate with our expected term assumption.</w:t>
      </w:r>
    </w:p>
    <w:p>
      <w:pPr>
        <w:spacing w:after="0" w:line="45" w:lineRule="exact"/>
        <w:rPr>
          <w:rFonts w:ascii="Arial" w:cs="Arial" w:eastAsia="Arial" w:hAnsi="Arial"/>
          <w:sz w:val="18"/>
          <w:szCs w:val="18"/>
          <w:color w:val="auto"/>
        </w:rPr>
      </w:pPr>
    </w:p>
    <w:p>
      <w:pPr>
        <w:jc w:val="both"/>
        <w:ind w:left="780" w:right="220" w:hanging="259"/>
        <w:spacing w:after="0" w:line="253"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1" w:lineRule="exact"/>
        <w:rPr>
          <w:rFonts w:ascii="Arial" w:cs="Arial" w:eastAsia="Arial" w:hAnsi="Arial"/>
          <w:sz w:val="18"/>
          <w:szCs w:val="18"/>
          <w:color w:val="auto"/>
        </w:rPr>
      </w:pPr>
    </w:p>
    <w:p>
      <w:pPr>
        <w:ind w:left="780" w:right="120" w:hanging="259"/>
        <w:spacing w:after="0" w:line="271"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grant for a period that is commensurate with the assumed expected option term.</w:t>
      </w:r>
    </w:p>
    <w:p>
      <w:pPr>
        <w:spacing w:after="0" w:line="45" w:lineRule="exact"/>
        <w:rPr>
          <w:rFonts w:ascii="Arial" w:cs="Arial" w:eastAsia="Arial" w:hAnsi="Arial"/>
          <w:sz w:val="18"/>
          <w:szCs w:val="18"/>
          <w:color w:val="auto"/>
        </w:rPr>
      </w:pPr>
    </w:p>
    <w:p>
      <w:pPr>
        <w:ind w:left="780" w:right="220" w:hanging="259"/>
        <w:spacing w:after="0" w:line="271"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to pay dividends for the foreseeable future.</w:t>
      </w:r>
    </w:p>
    <w:p>
      <w:pPr>
        <w:spacing w:after="0" w:line="176"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We recorded stock-based compensation expense of $2.6 million and $2.3 million for the three months ended March 31, 2019 and 2018, respectively. As of March 31, 2019, we had unrecognized stock-based compensation cost related to options granted to employees and directors of $22.2 million, net of forfeitures, which is expected to be recognized as expense over approximately 3.01 years.</w:t>
      </w:r>
    </w:p>
    <w:p>
      <w:pPr>
        <w:spacing w:after="0" w:line="20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Given the absence of a public trading market for our common stock historically,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0" w:name="page41"/>
    <w:bookmarkEnd w:id="40"/>
    <w:p>
      <w:pPr>
        <w:ind w:firstLine="518"/>
        <w:spacing w:after="0" w:line="238"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3"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After our IPO, the fair market value of each share of underlying common stock is determined based on the closing price of our common stock as reported by the Nasdaq Global Select Market on the date of grant.</w:t>
      </w:r>
    </w:p>
    <w:p>
      <w:pPr>
        <w:spacing w:after="0" w:line="197" w:lineRule="exact"/>
        <w:rPr>
          <w:sz w:val="20"/>
          <w:szCs w:val="20"/>
          <w:color w:val="auto"/>
        </w:rPr>
      </w:pPr>
    </w:p>
    <w:p>
      <w:pPr>
        <w:ind w:right="500" w:firstLine="518"/>
        <w:spacing w:after="0" w:line="275" w:lineRule="auto"/>
        <w:rPr>
          <w:sz w:val="20"/>
          <w:szCs w:val="20"/>
          <w:color w:val="auto"/>
        </w:rPr>
      </w:pPr>
      <w:r>
        <w:rPr>
          <w:rFonts w:ascii="Arial" w:cs="Arial" w:eastAsia="Arial" w:hAnsi="Arial"/>
          <w:sz w:val="17"/>
          <w:szCs w:val="17"/>
          <w:color w:val="auto"/>
        </w:rPr>
        <w:t>Based on the initial public offering price of $16.00 per share, the intrinsic value of stock options outstanding at March 31, 2019 was $104.0 million, of which $76.9 million and $27.1 million related to stock options that were vested and unvested, respectively, at that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3"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5"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We will remain an emerging growth company until the earlier to occur of (1) (a) December 31, 2024,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3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Except as described in Note 2 to the condensed consolidated financial statements under the headings “Recently Adopted Accounting Pronouncements” and “Recent Accounting Pronouncements Not Yet Adopted,” there have been no new accounting pronouncements or changes to accounting pronouncements during the three months ended March 31, 2019, as compared to the recent accounting pronouncements described in our audited consolidated financial statements and notes for the year ended December 31, 2018, included in the Company’s final prospectus filed with the SEC pursuant to Rule 424(b) under the Securities Act of 1933, as amended, on April 4, 2019, that are of significance or potential significance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We are exposed to market risk related to changes in interest rates. We had cash, cash equivalents and marketable securities of $193.4 million as of March 31, 2019, which consisted primarily of money market funds and marketable securities, largely composed of investment grade, short to intermediate term fixed income securities.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1" w:name="page42"/>
    <w:bookmarkEnd w:id="41"/>
    <w:p>
      <w:pPr>
        <w:ind w:right="140" w:firstLine="518"/>
        <w:spacing w:after="0" w:line="238"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12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majority of our transactions occur in U.S. dollars. However, we do have certain transactions that are denominated in currencies other than the U.S. dollar, primarily Australian dollars, British Pounds, Swiss Francs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As of March 31, 2019, management, with the participation of our Chief Executive Officer and acting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acting Chief Financial Officer, to allow timely decisions regarding required disclosures.</w:t>
      </w:r>
    </w:p>
    <w:p>
      <w:pPr>
        <w:spacing w:after="0" w:line="205"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acting Chief Financial Officer concluded that, as of March 31, 2019, the design and operation of our disclosure controls and procedures were effective at a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quarter ended March 31, 2019 that has materially affected, or is reasonably likely to materially affect, our internal control over financial reporting.</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 The risks relating to our business set forth in our prospectus dated April 3, 2019 that forms a part of the Registration Statement on Form S-1, filed with the SEC, are set forth below and are unchanged substantively as of March 31, 2019, except for those risks designated by an asterisk (*).</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10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in early 2008. Our net loss was $0.5 million and $14.2 million for the years ended December 31, 2018 and 2017, respectively, and $8.3 million and $3.9 million for the three months ended March 31, 2019 and 2018, respectively. As of March 31, 2019, we had an accumulated deficit of $161.6 million.</w:t>
      </w:r>
    </w:p>
    <w:p>
      <w:pPr>
        <w:spacing w:after="0" w:line="20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Over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such as NGM386 and/or NGM395, for which Merck has notified us of its intent to terminate the license and for which we are considering advancement pending study results. Under the Merck collaboration, Merck provides us with reimbursement for research and development activities of up to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16, 2022 and has the right to extend it again through March 16, 2024. If adequate funds or partners are not available to us on a timely basis, on favorable terms or at all, we may be required to delay, limit, reduce or terminate our research and development efforts or other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00" w:lineRule="exact"/>
        <w:rPr>
          <w:sz w:val="20"/>
          <w:szCs w:val="20"/>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03" w:lineRule="exact"/>
        <w:rPr>
          <w:rFonts w:ascii="Arial" w:cs="Arial" w:eastAsia="Arial" w:hAnsi="Arial"/>
          <w:sz w:val="18"/>
          <w:szCs w:val="18"/>
          <w:color w:val="auto"/>
        </w:rPr>
      </w:pPr>
    </w:p>
    <w:p>
      <w:pPr>
        <w:ind w:left="780" w:right="760" w:hanging="259"/>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88" w:lineRule="exact"/>
        <w:rPr>
          <w:rFonts w:ascii="Arial" w:cs="Arial" w:eastAsia="Arial" w:hAnsi="Arial"/>
          <w:sz w:val="18"/>
          <w:szCs w:val="18"/>
          <w:color w:val="auto"/>
        </w:rPr>
      </w:pPr>
    </w:p>
    <w:p>
      <w:pPr>
        <w:ind w:left="780" w:right="200" w:hanging="259"/>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5"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28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NGM386 and NGM395, advance in clinical development. We believe that our existing cash, cash equivalents and short-term marketable securities and funding we expect to receive under our existing Collaboration Agreement and through our IPO,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99" w:lineRule="exact"/>
        <w:rPr>
          <w:sz w:val="20"/>
          <w:szCs w:val="20"/>
          <w:color w:val="auto"/>
        </w:rPr>
      </w:pPr>
    </w:p>
    <w:p>
      <w:pPr>
        <w:ind w:left="780" w:right="760" w:hanging="259"/>
        <w:spacing w:after="0" w:line="24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and clinical trials for our product candidates and future product candidates we may develop;</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03" w:lineRule="exact"/>
        <w:rPr>
          <w:rFonts w:ascii="Arial" w:cs="Arial" w:eastAsia="Arial" w:hAnsi="Arial"/>
          <w:sz w:val="18"/>
          <w:szCs w:val="18"/>
          <w:color w:val="auto"/>
        </w:rPr>
      </w:pPr>
    </w:p>
    <w:p>
      <w:pPr>
        <w:ind w:left="780" w:right="780" w:hanging="259"/>
        <w:spacing w:after="0" w:line="24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4" w:name="page45"/>
    <w:bookmarkEnd w:id="44"/>
    <w:p>
      <w:pPr>
        <w:ind w:left="780" w:right="640" w:hanging="259"/>
        <w:spacing w:after="0" w:line="24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88" w:lineRule="exact"/>
        <w:rPr>
          <w:rFonts w:ascii="Arial" w:cs="Arial" w:eastAsia="Arial" w:hAnsi="Arial"/>
          <w:sz w:val="18"/>
          <w:szCs w:val="18"/>
          <w:color w:val="auto"/>
        </w:rPr>
      </w:pPr>
    </w:p>
    <w:p>
      <w:pPr>
        <w:ind w:left="780" w:right="14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94" w:lineRule="exact"/>
        <w:rPr>
          <w:rFonts w:ascii="Arial" w:cs="Arial" w:eastAsia="Arial" w:hAnsi="Arial"/>
          <w:sz w:val="18"/>
          <w:szCs w:val="18"/>
          <w:color w:val="auto"/>
        </w:rPr>
      </w:pPr>
    </w:p>
    <w:p>
      <w:pPr>
        <w:ind w:left="780" w:right="16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94"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03" w:lineRule="exact"/>
        <w:rPr>
          <w:rFonts w:ascii="Arial" w:cs="Arial" w:eastAsia="Arial" w:hAnsi="Arial"/>
          <w:sz w:val="18"/>
          <w:szCs w:val="18"/>
          <w:color w:val="auto"/>
        </w:rPr>
      </w:pPr>
    </w:p>
    <w:p>
      <w:pPr>
        <w:ind w:left="780" w:right="160" w:hanging="259"/>
        <w:spacing w:after="0" w:line="24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96" w:lineRule="exact"/>
        <w:rPr>
          <w:sz w:val="20"/>
          <w:szCs w:val="20"/>
          <w:color w:val="auto"/>
        </w:rPr>
      </w:pPr>
    </w:p>
    <w:p>
      <w:pPr>
        <w:ind w:left="780" w:right="20" w:hanging="259"/>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88" w:lineRule="exact"/>
        <w:rPr>
          <w:rFonts w:ascii="Arial" w:cs="Arial" w:eastAsia="Arial" w:hAnsi="Arial"/>
          <w:sz w:val="18"/>
          <w:szCs w:val="18"/>
          <w:color w:val="auto"/>
        </w:rPr>
      </w:pPr>
    </w:p>
    <w:p>
      <w:pPr>
        <w:ind w:left="780" w:right="160" w:hanging="259"/>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88" w:lineRule="exact"/>
        <w:rPr>
          <w:rFonts w:ascii="Arial" w:cs="Arial" w:eastAsia="Arial" w:hAnsi="Arial"/>
          <w:sz w:val="18"/>
          <w:szCs w:val="18"/>
          <w:color w:val="auto"/>
        </w:rPr>
      </w:pPr>
    </w:p>
    <w:p>
      <w:pPr>
        <w:ind w:left="780" w:right="400" w:hanging="259"/>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7"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7" w:lineRule="exact"/>
        <w:rPr>
          <w:sz w:val="20"/>
          <w:szCs w:val="20"/>
          <w:color w:val="auto"/>
        </w:rPr>
      </w:pPr>
    </w:p>
    <w:p>
      <w:pPr>
        <w:ind w:right="220" w:firstLine="518"/>
        <w:spacing w:after="0" w:line="239"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5" w:name="page46"/>
    <w:bookmarkEnd w:id="45"/>
    <w:p>
      <w:pPr>
        <w:ind w:right="6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our initial public offering and subsequent shifts in our 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ind w:right="134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8" w:lineRule="exact"/>
        <w:rPr>
          <w:sz w:val="20"/>
          <w:szCs w:val="20"/>
          <w:color w:val="auto"/>
        </w:rPr>
      </w:pPr>
    </w:p>
    <w:p>
      <w:pPr>
        <w:jc w:val="both"/>
        <w:ind w:right="580" w:firstLine="518"/>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78" w:lineRule="exact"/>
        <w:rPr>
          <w:sz w:val="20"/>
          <w:szCs w:val="20"/>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03" w:lineRule="exact"/>
        <w:rPr>
          <w:rFonts w:ascii="Arial" w:cs="Arial" w:eastAsia="Arial" w:hAnsi="Arial"/>
          <w:sz w:val="18"/>
          <w:szCs w:val="18"/>
          <w:color w:val="auto"/>
        </w:rPr>
      </w:pPr>
    </w:p>
    <w:p>
      <w:pPr>
        <w:ind w:left="780" w:right="80" w:hanging="259"/>
        <w:spacing w:after="0" w:line="24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03" w:lineRule="exact"/>
        <w:rPr>
          <w:rFonts w:ascii="Arial" w:cs="Arial" w:eastAsia="Arial" w:hAnsi="Arial"/>
          <w:sz w:val="18"/>
          <w:szCs w:val="18"/>
          <w:color w:val="auto"/>
        </w:rPr>
      </w:pPr>
    </w:p>
    <w:p>
      <w:pPr>
        <w:ind w:left="780" w:right="34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and EMA for the development of NASH that issued in 2018;</w:t>
      </w:r>
    </w:p>
    <w:p>
      <w:pPr>
        <w:spacing w:after="0" w:line="94" w:lineRule="exact"/>
        <w:rPr>
          <w:rFonts w:ascii="Arial" w:cs="Arial" w:eastAsia="Arial" w:hAnsi="Arial"/>
          <w:sz w:val="18"/>
          <w:szCs w:val="18"/>
          <w:color w:val="auto"/>
        </w:rPr>
      </w:pPr>
    </w:p>
    <w:p>
      <w:pPr>
        <w:ind w:left="780" w:right="500" w:hanging="259"/>
        <w:spacing w:after="0" w:line="24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2"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46" w:name="page47"/>
    <w:bookmarkEnd w:id="46"/>
    <w:p>
      <w:pPr>
        <w:ind w:right="4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3"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w:t>
      </w:r>
    </w:p>
    <w:p>
      <w:pPr>
        <w:spacing w:after="0" w:line="202"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NGM386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203" w:lineRule="exact"/>
        <w:rPr>
          <w:sz w:val="20"/>
          <w:szCs w:val="20"/>
          <w:color w:val="auto"/>
        </w:rPr>
      </w:pPr>
    </w:p>
    <w:p>
      <w:pPr>
        <w:jc w:val="both"/>
        <w:ind w:right="120" w:firstLine="518"/>
        <w:spacing w:after="0" w:line="246"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The Phase 2 clinical trial of NGM282 that has produced NASH histology data is ongoing, and the clinical data produced to date is preliminary and has not been subjected to quality control procedures.</w:t>
      </w:r>
    </w:p>
    <w:p>
      <w:pPr>
        <w:spacing w:after="0" w:line="68" w:lineRule="exact"/>
        <w:rPr>
          <w:sz w:val="20"/>
          <w:szCs w:val="20"/>
          <w:color w:val="auto"/>
        </w:rPr>
      </w:pPr>
    </w:p>
    <w:p>
      <w:pPr>
        <w:jc w:val="both"/>
        <w:ind w:right="140" w:firstLine="518"/>
        <w:spacing w:after="0" w:line="248" w:lineRule="auto"/>
        <w:rPr>
          <w:sz w:val="20"/>
          <w:szCs w:val="20"/>
          <w:color w:val="auto"/>
        </w:rPr>
      </w:pPr>
      <w:r>
        <w:rPr>
          <w:rFonts w:ascii="Arial" w:cs="Arial" w:eastAsia="Arial" w:hAnsi="Arial"/>
          <w:sz w:val="17"/>
          <w:szCs w:val="17"/>
          <w:color w:val="auto"/>
        </w:rPr>
        <w:t>We have an ongoing, Phase 2 clinical trial of NGM282 in NASH. Until the final cohort of the NGM282 Phase 2 clinical trial is completed, we are unable to perform typical quality control procedures on the data produced in this trial to ensure its accuracy. While we believe the data available to date is accurate, until such time as the final quality control procedures are performed it should be regarded as preliminary.</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Differences between preliminary data and final data may lead us to make different operational decisions regarding or incur additional expenses for the development of NGM282 than we otherwise would if final data was available. Additionally, our business and prospects depend on the development of this program, and, if final data is less promising than the preliminary data suggests, our business and prospects could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ind w:right="20"/>
        <w:spacing w:after="0" w:line="238" w:lineRule="auto"/>
        <w:rPr>
          <w:sz w:val="20"/>
          <w:szCs w:val="20"/>
          <w:color w:val="auto"/>
        </w:rPr>
      </w:pPr>
      <w:r>
        <w:rPr>
          <w:rFonts w:ascii="Arial" w:cs="Arial" w:eastAsia="Arial" w:hAnsi="Arial"/>
          <w:sz w:val="18"/>
          <w:szCs w:val="18"/>
          <w:color w:val="auto"/>
        </w:rPr>
        <w:t>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Conducting clinical trials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primary biliary cholangitis, or PBC, an active Clinical Trials Notification, or CTN, in Australia for NGM120 and an active Clinical Trial Authorisation in the United Kingdom from the Medicines and Healthcare Products Regulatory Agency for NGM217 for diabetes.</w:t>
      </w:r>
    </w:p>
    <w:p>
      <w:pPr>
        <w:spacing w:after="0" w:line="20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100" w:lineRule="exact"/>
        <w:rPr>
          <w:sz w:val="20"/>
          <w:szCs w:val="20"/>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103" w:lineRule="exact"/>
        <w:rPr>
          <w:rFonts w:ascii="Arial" w:cs="Arial" w:eastAsia="Arial" w:hAnsi="Arial"/>
          <w:sz w:val="18"/>
          <w:szCs w:val="18"/>
          <w:color w:val="auto"/>
        </w:rPr>
      </w:pPr>
    </w:p>
    <w:p>
      <w:pPr>
        <w:ind w:left="780" w:right="280" w:hanging="259"/>
        <w:spacing w:after="0" w:line="24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03" w:lineRule="exact"/>
        <w:rPr>
          <w:rFonts w:ascii="Arial" w:cs="Arial" w:eastAsia="Arial" w:hAnsi="Arial"/>
          <w:sz w:val="18"/>
          <w:szCs w:val="18"/>
          <w:color w:val="auto"/>
        </w:rPr>
      </w:pPr>
    </w:p>
    <w:p>
      <w:pPr>
        <w:ind w:left="780" w:right="280" w:hanging="259"/>
        <w:spacing w:after="0" w:line="24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patient enrollment;</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03" w:lineRule="exact"/>
        <w:rPr>
          <w:rFonts w:ascii="Arial" w:cs="Arial" w:eastAsia="Arial" w:hAnsi="Arial"/>
          <w:sz w:val="18"/>
          <w:szCs w:val="18"/>
          <w:color w:val="auto"/>
        </w:rPr>
      </w:pPr>
    </w:p>
    <w:p>
      <w:pPr>
        <w:ind w:left="780" w:right="160" w:hanging="259"/>
        <w:spacing w:after="0" w:line="24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and EMA for the development of NASH that issued in 2018;</w:t>
      </w:r>
    </w:p>
    <w:p>
      <w:pPr>
        <w:spacing w:after="0" w:line="88" w:lineRule="exact"/>
        <w:rPr>
          <w:rFonts w:ascii="Arial" w:cs="Arial" w:eastAsia="Arial" w:hAnsi="Arial"/>
          <w:sz w:val="18"/>
          <w:szCs w:val="18"/>
          <w:color w:val="auto"/>
        </w:rPr>
      </w:pPr>
    </w:p>
    <w:p>
      <w:pPr>
        <w:ind w:left="780" w:right="60" w:hanging="259"/>
        <w:spacing w:after="0" w:line="24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2"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04" w:lineRule="exact"/>
        <w:rPr>
          <w:sz w:val="20"/>
          <w:szCs w:val="20"/>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03" w:lineRule="exact"/>
        <w:rPr>
          <w:rFonts w:ascii="Arial" w:cs="Arial" w:eastAsia="Arial" w:hAnsi="Arial"/>
          <w:sz w:val="18"/>
          <w:szCs w:val="18"/>
          <w:color w:val="auto"/>
        </w:rPr>
      </w:pPr>
    </w:p>
    <w:p>
      <w:pPr>
        <w:ind w:left="780" w:hanging="259"/>
        <w:spacing w:after="0" w:line="24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7"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6"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95" w:lineRule="exact"/>
        <w:rPr>
          <w:sz w:val="20"/>
          <w:szCs w:val="20"/>
          <w:color w:val="auto"/>
        </w:rPr>
      </w:pPr>
    </w:p>
    <w:p>
      <w:pPr>
        <w:ind w:left="780" w:right="500" w:hanging="259"/>
        <w:spacing w:after="0" w:line="24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88" w:lineRule="exact"/>
        <w:rPr>
          <w:rFonts w:ascii="Arial" w:cs="Arial" w:eastAsia="Arial" w:hAnsi="Arial"/>
          <w:sz w:val="18"/>
          <w:szCs w:val="18"/>
          <w:color w:val="auto"/>
        </w:rPr>
      </w:pPr>
    </w:p>
    <w:p>
      <w:pPr>
        <w:ind w:left="780" w:right="460" w:hanging="259"/>
        <w:spacing w:after="0" w:line="24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03" w:lineRule="exact"/>
        <w:rPr>
          <w:rFonts w:ascii="Arial" w:cs="Arial" w:eastAsia="Arial" w:hAnsi="Arial"/>
          <w:sz w:val="18"/>
          <w:szCs w:val="18"/>
          <w:color w:val="auto"/>
        </w:rPr>
      </w:pPr>
    </w:p>
    <w:p>
      <w:pPr>
        <w:ind w:left="780" w:right="240" w:hanging="259"/>
        <w:spacing w:after="0" w:line="24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88" w:lineRule="exact"/>
        <w:rPr>
          <w:rFonts w:ascii="Arial" w:cs="Arial" w:eastAsia="Arial" w:hAnsi="Arial"/>
          <w:sz w:val="18"/>
          <w:szCs w:val="18"/>
          <w:color w:val="auto"/>
        </w:rPr>
      </w:pPr>
    </w:p>
    <w:p>
      <w:pPr>
        <w:ind w:left="780" w:right="100" w:hanging="259"/>
        <w:spacing w:after="0" w:line="24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03" w:lineRule="exact"/>
        <w:rPr>
          <w:rFonts w:ascii="Arial" w:cs="Arial" w:eastAsia="Arial" w:hAnsi="Arial"/>
          <w:sz w:val="18"/>
          <w:szCs w:val="18"/>
          <w:color w:val="auto"/>
        </w:rPr>
      </w:pPr>
    </w:p>
    <w:p>
      <w:pPr>
        <w:ind w:left="780" w:right="100" w:hanging="259"/>
        <w:spacing w:after="0" w:line="24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7" w:lineRule="exact"/>
        <w:rPr>
          <w:sz w:val="20"/>
          <w:szCs w:val="20"/>
          <w:color w:val="auto"/>
        </w:rPr>
      </w:pPr>
    </w:p>
    <w:p>
      <w:pPr>
        <w:ind w:right="520" w:firstLine="518"/>
        <w:spacing w:after="0" w:line="239"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126"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 of Phase 3 and commercial supplies of NGM282. The process of manufacturing our products is complex, highly regulated and subject to several risks, including:</w:t>
      </w:r>
    </w:p>
    <w:p>
      <w:pPr>
        <w:spacing w:after="0" w:line="95" w:lineRule="exact"/>
        <w:rPr>
          <w:sz w:val="20"/>
          <w:szCs w:val="20"/>
          <w:color w:val="auto"/>
        </w:rPr>
      </w:pPr>
    </w:p>
    <w:p>
      <w:pPr>
        <w:ind w:left="780" w:right="80" w:hanging="259"/>
        <w:spacing w:after="0" w:line="23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94"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03" w:lineRule="exact"/>
        <w:rPr>
          <w:rFonts w:ascii="Arial" w:cs="Arial" w:eastAsia="Arial" w:hAnsi="Arial"/>
          <w:sz w:val="18"/>
          <w:szCs w:val="18"/>
          <w:color w:val="auto"/>
        </w:rPr>
      </w:pPr>
    </w:p>
    <w:p>
      <w:pPr>
        <w:ind w:left="780" w:right="4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94" w:lineRule="exact"/>
        <w:rPr>
          <w:rFonts w:ascii="Arial" w:cs="Arial" w:eastAsia="Arial" w:hAnsi="Arial"/>
          <w:sz w:val="18"/>
          <w:szCs w:val="18"/>
          <w:color w:val="auto"/>
        </w:rPr>
      </w:pPr>
    </w:p>
    <w:p>
      <w:pPr>
        <w:jc w:val="both"/>
        <w:ind w:left="780" w:right="200" w:hanging="259"/>
        <w:spacing w:after="0" w:line="23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5"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0" w:name="page51"/>
    <w:bookmarkEnd w:id="50"/>
    <w:p>
      <w:pPr>
        <w:ind w:right="46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or PSC, and intervertebral discitis. Preliminary reporting from our completed Phase 1 and Phase 1b clinical trials of NGM313 showed that there were no reported serious adverse events except for a single incident each of cholecystitis and rectal bleeding due to hemorrhoids, both of which were deemed by the investigators to be unrelated to treatment with NGM313.</w:t>
      </w:r>
    </w:p>
    <w:p>
      <w:pPr>
        <w:spacing w:after="0" w:line="207"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Significant increases in serum levels of low density lipoprotein, or LDL, cholesterol were observed in clinical trials of NGM282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NGM282’s triglyceride lowering and high density lipoprotein, or HDL, cholesterol elevating properties, will provide an overall neutral to positive impact on patients’ cardiovascular health. We have not observed any significant changes in LDL cholesterol with NGM282 in trials we have conducted in patients with cholestatic liver disease, such as PBC and PSC.</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One subject in the NGM282 Phase 2a clinical trial in type 2 diabetes developed antibodies against NGM282 that appear to cross-react with FGF19. This patient did not demonstrate any 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NGM282, is a modified version of a human hormone that has been associated with liver cancer in rodent testing.</w:t>
      </w:r>
    </w:p>
    <w:p>
      <w:pPr>
        <w:spacing w:after="0" w:line="68"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1" w:name="page52"/>
    <w:bookmarkEnd w:id="51"/>
    <w:p>
      <w:pPr>
        <w:ind w:right="44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26"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9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8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Prior to March 17, 2020,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52" w:name="page53"/>
    <w:bookmarkEnd w:id="52"/>
    <w:p>
      <w:pPr>
        <w:ind w:right="40" w:firstLine="518"/>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9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7" w:lineRule="exact"/>
        <w:rPr>
          <w:sz w:val="20"/>
          <w:szCs w:val="20"/>
          <w:color w:val="auto"/>
        </w:rPr>
      </w:pPr>
    </w:p>
    <w:p>
      <w:pPr>
        <w:ind w:right="560" w:firstLine="518"/>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7"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3" w:name="page54"/>
    <w:bookmarkEnd w:id="53"/>
    <w:p>
      <w:pPr>
        <w:ind w:right="32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8"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89Bio, Akero, Albireo, Amgen, Can-Fite, Cirius, Conatus, CymaBay, Enanta, Galectin, Galmed, Genfit, Gilead, Intercept, Inventiva,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7"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and GS-9674, an FXR agonist from Gilead; OCA, an FXR agonist, from Intercept; MGL-3196, a beta-thyroid hormone receptor agonist from Madrigal; pegbelfermin, PEGylated FGF21, from Bristol-Myers Squibb; elobixibat, an IBAT-inhibitor from Albireo; a Galectin-3 inhibitor from Galectin; a synthetic 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any variants of NGM282, including the second-generation, half-life extended version of FGF19 we are currently developing and NGM313.</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54" w:name="page55"/>
    <w:bookmarkEnd w:id="54"/>
    <w:p>
      <w:pPr>
        <w:ind w:firstLine="518"/>
        <w:spacing w:after="0" w:line="238" w:lineRule="auto"/>
        <w:rPr>
          <w:sz w:val="20"/>
          <w:szCs w:val="20"/>
          <w:color w:val="auto"/>
        </w:rPr>
      </w:pPr>
      <w:r>
        <w:rPr>
          <w:rFonts w:ascii="Arial" w:cs="Arial" w:eastAsia="Arial" w:hAnsi="Arial"/>
          <w:sz w:val="18"/>
          <w:szCs w:val="18"/>
          <w:color w:val="auto"/>
        </w:rPr>
        <w:t>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3"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8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96" w:lineRule="exact"/>
        <w:rPr>
          <w:sz w:val="20"/>
          <w:szCs w:val="20"/>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5" w:name="page56"/>
    <w:bookmarkEnd w:id="55"/>
    <w:p>
      <w:pPr>
        <w:ind w:right="80" w:firstLine="518"/>
        <w:spacing w:after="0" w:line="237"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9" w:lineRule="exact"/>
        <w:rPr>
          <w:sz w:val="20"/>
          <w:szCs w:val="20"/>
          <w:color w:val="auto"/>
        </w:rPr>
      </w:pPr>
    </w:p>
    <w:p>
      <w:pPr>
        <w:jc w:val="both"/>
        <w:ind w:right="800"/>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8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7"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6"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206"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Each of these measures was rejected by the full Senate. Congress will likely consider other legislation to replace elements of the Affordable Care Act.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3"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7" w:name="page58"/>
    <w:bookmarkEnd w:id="57"/>
    <w:p>
      <w:pPr>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8"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 sales representatives and conduct physician and patient association outreach activities outside of the United States. Doing business internationally involves a number of risks, including but not limited to:</w:t>
      </w:r>
    </w:p>
    <w:p>
      <w:pPr>
        <w:spacing w:after="0" w:line="95" w:lineRule="exact"/>
        <w:rPr>
          <w:sz w:val="20"/>
          <w:szCs w:val="20"/>
          <w:color w:val="auto"/>
        </w:rPr>
      </w:pPr>
    </w:p>
    <w:p>
      <w:pPr>
        <w:ind w:left="780" w:right="740" w:hanging="25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03" w:lineRule="exact"/>
        <w:rPr>
          <w:rFonts w:ascii="Arial" w:cs="Arial" w:eastAsia="Arial" w:hAnsi="Arial"/>
          <w:sz w:val="18"/>
          <w:szCs w:val="18"/>
          <w:color w:val="auto"/>
        </w:rPr>
      </w:pPr>
    </w:p>
    <w:p>
      <w:pPr>
        <w:ind w:left="780" w:right="460" w:hanging="25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88" w:lineRule="exact"/>
        <w:rPr>
          <w:rFonts w:ascii="Arial" w:cs="Arial" w:eastAsia="Arial" w:hAnsi="Arial"/>
          <w:sz w:val="18"/>
          <w:szCs w:val="18"/>
          <w:color w:val="auto"/>
        </w:rPr>
      </w:pPr>
    </w:p>
    <w:p>
      <w:pPr>
        <w:ind w:left="780" w:right="520" w:hanging="25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03" w:lineRule="exact"/>
        <w:rPr>
          <w:rFonts w:ascii="Arial" w:cs="Arial" w:eastAsia="Arial" w:hAnsi="Arial"/>
          <w:sz w:val="18"/>
          <w:szCs w:val="18"/>
          <w:color w:val="auto"/>
        </w:rPr>
      </w:pPr>
    </w:p>
    <w:p>
      <w:pPr>
        <w:ind w:left="780" w:right="24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ind w:right="620" w:firstLine="518"/>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8"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5" w:lineRule="exact"/>
        <w:rPr>
          <w:sz w:val="20"/>
          <w:szCs w:val="20"/>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58" w:name="page59"/>
    <w:bookmarkEnd w:id="58"/>
    <w:p>
      <w:pPr>
        <w:ind w:right="60" w:firstLine="518"/>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3"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95" w:lineRule="exact"/>
        <w:rPr>
          <w:sz w:val="20"/>
          <w:szCs w:val="20"/>
          <w:color w:val="auto"/>
        </w:rPr>
      </w:pPr>
    </w:p>
    <w:p>
      <w:pPr>
        <w:ind w:left="780" w:right="60" w:hanging="259"/>
        <w:spacing w:after="0" w:line="23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5" w:lineRule="exact"/>
        <w:rPr>
          <w:rFonts w:ascii="Arial" w:cs="Arial" w:eastAsia="Arial" w:hAnsi="Arial"/>
          <w:sz w:val="18"/>
          <w:szCs w:val="18"/>
          <w:color w:val="auto"/>
        </w:rPr>
      </w:pPr>
    </w:p>
    <w:p>
      <w:pPr>
        <w:ind w:left="780" w:right="160" w:hanging="259"/>
        <w:spacing w:after="0" w:line="251"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4" w:lineRule="exact"/>
        <w:rPr>
          <w:rFonts w:ascii="Arial" w:cs="Arial" w:eastAsia="Arial" w:hAnsi="Arial"/>
          <w:sz w:val="18"/>
          <w:szCs w:val="18"/>
          <w:color w:val="auto"/>
        </w:rPr>
      </w:pPr>
    </w:p>
    <w:p>
      <w:pPr>
        <w:ind w:left="780" w:hanging="259"/>
        <w:spacing w:after="0" w:line="23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3" w:lineRule="exact"/>
        <w:rPr>
          <w:rFonts w:ascii="Arial" w:cs="Arial" w:eastAsia="Arial" w:hAnsi="Arial"/>
          <w:sz w:val="18"/>
          <w:szCs w:val="18"/>
          <w:color w:val="auto"/>
        </w:rPr>
      </w:pPr>
    </w:p>
    <w:p>
      <w:pPr>
        <w:ind w:left="780" w:right="80" w:hanging="259"/>
        <w:spacing w:after="0" w:line="23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4" w:lineRule="exact"/>
        <w:rPr>
          <w:rFonts w:ascii="Arial" w:cs="Arial" w:eastAsia="Arial" w:hAnsi="Arial"/>
          <w:sz w:val="18"/>
          <w:szCs w:val="18"/>
          <w:color w:val="auto"/>
        </w:rPr>
      </w:pPr>
    </w:p>
    <w:p>
      <w:pPr>
        <w:ind w:left="780" w:right="40" w:hanging="259"/>
        <w:spacing w:after="0" w:line="237"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5" w:lineRule="exact"/>
        <w:rPr>
          <w:rFonts w:ascii="Arial" w:cs="Arial" w:eastAsia="Arial" w:hAnsi="Arial"/>
          <w:sz w:val="18"/>
          <w:szCs w:val="18"/>
          <w:color w:val="auto"/>
        </w:rPr>
      </w:pPr>
    </w:p>
    <w:p>
      <w:pPr>
        <w:ind w:left="780" w:right="60" w:hanging="259"/>
        <w:spacing w:after="0" w:line="23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9" w:name="page60"/>
    <w:bookmarkEnd w:id="59"/>
    <w:p>
      <w:pPr>
        <w:ind w:right="20" w:firstLine="518"/>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9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26"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its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9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6"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10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these product candidates.</w:t>
      </w:r>
    </w:p>
    <w:p>
      <w:pPr>
        <w:spacing w:after="0" w:line="8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including NGM313, NGM386, NGM395, NGM217, NGM120 and NGM621 but excluding NGM282. In November 2018, Merck exercised its option to license NGM313. On March 1, 2019, Merck notified us of its intent to terminate its license to the GDF15 receptor agonist program, including NGM386 and NGM395, effective May 31, 2019. On March 15, 2019, Merck exercised its option to extend the collaboration for an additional two years, from March 2020 through March 16, 2022.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We cannot predict the success of the collaboration, including whether Merck exercises its option to license additional product candidates or terminates its license to a program.</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NGM282, NGM386 and NGM395.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04" w:lineRule="exact"/>
        <w:rPr>
          <w:sz w:val="20"/>
          <w:szCs w:val="20"/>
          <w:color w:val="auto"/>
        </w:rPr>
      </w:pPr>
    </w:p>
    <w:p>
      <w:pPr>
        <w:ind w:left="780" w:right="160" w:hanging="259"/>
        <w:spacing w:after="0" w:line="23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94" w:lineRule="exact"/>
        <w:rPr>
          <w:rFonts w:ascii="Arial" w:cs="Arial" w:eastAsia="Arial" w:hAnsi="Arial"/>
          <w:sz w:val="18"/>
          <w:szCs w:val="18"/>
          <w:color w:val="auto"/>
        </w:rPr>
      </w:pPr>
    </w:p>
    <w:p>
      <w:pPr>
        <w:ind w:left="780" w:hanging="259"/>
        <w:spacing w:after="0" w:line="23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 or Merck may opt to terminate its license to a program, as it did for NGM386 and NGM395.</w:t>
      </w:r>
    </w:p>
    <w:p>
      <w:pPr>
        <w:spacing w:after="0" w:line="94" w:lineRule="exact"/>
        <w:rPr>
          <w:rFonts w:ascii="Arial" w:cs="Arial" w:eastAsia="Arial" w:hAnsi="Arial"/>
          <w:sz w:val="18"/>
          <w:szCs w:val="18"/>
          <w:color w:val="auto"/>
        </w:rPr>
      </w:pPr>
    </w:p>
    <w:p>
      <w:pPr>
        <w:ind w:left="780" w:right="100" w:hanging="259"/>
        <w:spacing w:after="0" w:line="255" w:lineRule="auto"/>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1" w:name="page62"/>
    <w:bookmarkEnd w:id="61"/>
    <w:p>
      <w:pPr>
        <w:ind w:left="780" w:right="4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8"/>
          <w:szCs w:val="18"/>
          <w:color w:val="auto"/>
        </w:rPr>
      </w:pPr>
    </w:p>
    <w:p>
      <w:pPr>
        <w:ind w:left="780" w:right="80" w:hanging="25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88" w:lineRule="exact"/>
        <w:rPr>
          <w:rFonts w:ascii="Arial" w:cs="Arial" w:eastAsia="Arial" w:hAnsi="Arial"/>
          <w:sz w:val="18"/>
          <w:szCs w:val="18"/>
          <w:color w:val="auto"/>
        </w:rPr>
      </w:pPr>
    </w:p>
    <w:p>
      <w:pPr>
        <w:ind w:left="780" w:right="40" w:hanging="259"/>
        <w:spacing w:after="0" w:line="23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94" w:lineRule="exact"/>
        <w:rPr>
          <w:rFonts w:ascii="Arial" w:cs="Arial" w:eastAsia="Arial" w:hAnsi="Arial"/>
          <w:sz w:val="18"/>
          <w:szCs w:val="18"/>
          <w:color w:val="auto"/>
        </w:rPr>
      </w:pPr>
    </w:p>
    <w:p>
      <w:pPr>
        <w:ind w:left="780" w:right="46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780" w:right="40" w:hanging="25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88" w:lineRule="exact"/>
        <w:rPr>
          <w:rFonts w:ascii="Arial" w:cs="Arial" w:eastAsia="Arial" w:hAnsi="Arial"/>
          <w:sz w:val="18"/>
          <w:szCs w:val="18"/>
          <w:color w:val="auto"/>
        </w:rPr>
      </w:pPr>
    </w:p>
    <w:p>
      <w:pPr>
        <w:ind w:left="780" w:right="340" w:hanging="25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89"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shift the focus of its research and development funding, any of which would materially and adversely affect our business.</w:t>
      </w:r>
    </w:p>
    <w:p>
      <w:pPr>
        <w:spacing w:after="0" w:line="8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Under our Collaboration Agreement with Merck, Merck has the right to terminate all or part of the agreement at certain times and under certain circumstances. Merck may terminate the research and early development program effective March 17, 2022 by providing notice to us prior to March 17, 2021. Merck may terminate its annual funding of the research program prior to March 17, 2022 if we are acquired by a third party or if we are in material uncured breach of our obligations under the research and early development program. Prior to March 17, 2022,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current term of the collaboration or, if Merck again exercises its option to extend the term, after such extension period, Merck may terminate the overall agreement for convenience upon written notice and subject to certain limitations.</w:t>
      </w:r>
    </w:p>
    <w:p>
      <w:pPr>
        <w:spacing w:after="0" w:line="207"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NGM313 or any future optioned program. On March 1, 2019, Merck notified us of its intent to terminate its license to the GDF15 receptor agonist program, effective May 31, 2019. Merck may also terminate the agreement as it relates to its rights to research and develop small molecule compounds. It may also terminate 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203"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62" w:name="page63"/>
    <w:bookmarkEnd w:id="62"/>
    <w:p>
      <w:pPr>
        <w:ind w:right="100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8"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NGM282, NGM386, NGM395, NGM217, NGM120 and NGM621 to the extent we advance these product candidates and will rely on our collaborator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7"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29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8"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NGM282, NGM386 and NGM395, we may decide to collaborate with other pharmaceutical and biotechnology companies for their development and potential commercialization.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63" w:name="page64"/>
    <w:bookmarkEnd w:id="63"/>
    <w:p>
      <w:pPr>
        <w:ind w:firstLine="518"/>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7"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in part,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ind w:right="600" w:firstLine="518"/>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68"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3"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3" w:lineRule="exact"/>
        <w:rPr>
          <w:sz w:val="20"/>
          <w:szCs w:val="20"/>
          <w:color w:val="auto"/>
        </w:rPr>
      </w:pPr>
    </w:p>
    <w:p>
      <w:pPr>
        <w:ind w:right="380" w:firstLine="518"/>
        <w:spacing w:after="0" w:line="23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4" w:name="page65"/>
    <w:bookmarkEnd w:id="64"/>
    <w:p>
      <w:pPr>
        <w:ind w:firstLine="518"/>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88" w:lineRule="exact"/>
        <w:rPr>
          <w:sz w:val="20"/>
          <w:szCs w:val="20"/>
          <w:color w:val="auto"/>
        </w:rPr>
      </w:pPr>
    </w:p>
    <w:p>
      <w:pPr>
        <w:ind w:right="400" w:firstLine="518"/>
        <w:spacing w:after="0" w:line="238"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Other than for a long-term supply agreement with Lonza for NGM282, we do not have a long-term supply agreement with any third-party manufacturer.</w:t>
      </w:r>
    </w:p>
    <w:p>
      <w:pPr>
        <w:spacing w:after="0" w:line="203"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89" w:lineRule="exact"/>
        <w:rPr>
          <w:sz w:val="20"/>
          <w:szCs w:val="20"/>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2"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w:t>
      </w:r>
    </w:p>
    <w:p>
      <w:pPr>
        <w:spacing w:after="0"/>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w:t>
      </w:r>
    </w:p>
    <w:p>
      <w:pPr>
        <w:spacing w:after="0" w:line="212"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3"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5" w:name="page66"/>
    <w:bookmarkEnd w:id="65"/>
    <w:p>
      <w:pPr>
        <w:ind w:right="120"/>
        <w:spacing w:after="0" w:line="237" w:lineRule="auto"/>
        <w:rPr>
          <w:sz w:val="20"/>
          <w:szCs w:val="20"/>
          <w:color w:val="auto"/>
        </w:rPr>
      </w:pPr>
      <w:r>
        <w:rPr>
          <w:rFonts w:ascii="Arial" w:cs="Arial" w:eastAsia="Arial" w:hAnsi="Arial"/>
          <w:sz w:val="18"/>
          <w:szCs w:val="18"/>
          <w:color w:val="auto"/>
        </w:rPr>
        <w:t>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91"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3"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205" w:lineRule="exact"/>
        <w:rPr>
          <w:sz w:val="20"/>
          <w:szCs w:val="20"/>
          <w:color w:val="auto"/>
        </w:rPr>
      </w:pPr>
    </w:p>
    <w:p>
      <w:pPr>
        <w:ind w:right="400" w:firstLine="518"/>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89" w:lineRule="exact"/>
        <w:rPr>
          <w:sz w:val="20"/>
          <w:szCs w:val="20"/>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03" w:lineRule="exact"/>
        <w:rPr>
          <w:rFonts w:ascii="Arial" w:cs="Arial" w:eastAsia="Arial" w:hAnsi="Arial"/>
          <w:sz w:val="18"/>
          <w:szCs w:val="18"/>
          <w:color w:val="auto"/>
        </w:rPr>
      </w:pPr>
    </w:p>
    <w:p>
      <w:pPr>
        <w:ind w:left="780" w:right="500" w:hanging="259"/>
        <w:spacing w:after="0" w:line="24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88" w:lineRule="exact"/>
        <w:rPr>
          <w:rFonts w:ascii="Arial" w:cs="Arial" w:eastAsia="Arial" w:hAnsi="Arial"/>
          <w:sz w:val="18"/>
          <w:szCs w:val="18"/>
          <w:color w:val="auto"/>
        </w:rPr>
      </w:pPr>
    </w:p>
    <w:p>
      <w:pPr>
        <w:ind w:left="780" w:right="200" w:hanging="259"/>
        <w:spacing w:after="0" w:line="24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2"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66" w:name="page67"/>
    <w:bookmarkEnd w:id="66"/>
    <w:p>
      <w:pPr>
        <w:ind w:firstLine="518"/>
        <w:spacing w:after="0" w:line="237" w:lineRule="auto"/>
        <w:rPr>
          <w:sz w:val="20"/>
          <w:szCs w:val="20"/>
          <w:color w:val="auto"/>
        </w:rPr>
      </w:pPr>
      <w:r>
        <w:rPr>
          <w:rFonts w:ascii="Arial" w:cs="Arial" w:eastAsia="Arial" w:hAnsi="Arial"/>
          <w:sz w:val="18"/>
          <w:szCs w:val="18"/>
          <w:color w:val="auto"/>
        </w:rPr>
        <w:t>Although we have obtained orphan drug status for NGM282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8"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8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8"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5" w:lineRule="exact"/>
        <w:rPr>
          <w:sz w:val="20"/>
          <w:szCs w:val="20"/>
          <w:color w:val="auto"/>
        </w:rPr>
      </w:pPr>
    </w:p>
    <w:p>
      <w:pPr>
        <w:ind w:left="780" w:right="660" w:hanging="25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03" w:lineRule="exact"/>
        <w:rPr>
          <w:rFonts w:ascii="Arial" w:cs="Arial" w:eastAsia="Arial" w:hAnsi="Arial"/>
          <w:sz w:val="18"/>
          <w:szCs w:val="18"/>
          <w:color w:val="auto"/>
        </w:rPr>
      </w:pPr>
    </w:p>
    <w:p>
      <w:pPr>
        <w:ind w:left="780" w:right="20" w:hanging="25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2"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8" w:name="page69"/>
    <w:bookmarkEnd w:id="68"/>
    <w:p>
      <w:pPr>
        <w:jc w:val="both"/>
        <w:ind w:right="140"/>
        <w:spacing w:after="0" w:line="239" w:lineRule="auto"/>
        <w:rPr>
          <w:sz w:val="20"/>
          <w:szCs w:val="20"/>
          <w:color w:val="auto"/>
        </w:rPr>
      </w:pPr>
      <w:r>
        <w:rPr>
          <w:rFonts w:ascii="Arial" w:cs="Arial" w:eastAsia="Arial" w:hAnsi="Arial"/>
          <w:sz w:val="18"/>
          <w:szCs w:val="18"/>
          <w:color w:val="auto"/>
        </w:rPr>
        <w:t>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8"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9" w:name="page70"/>
    <w:bookmarkEnd w:id="69"/>
    <w:p>
      <w:pPr>
        <w:ind w:right="20" w:firstLine="518"/>
        <w:spacing w:after="0" w:line="237" w:lineRule="auto"/>
        <w:rPr>
          <w:sz w:val="20"/>
          <w:szCs w:val="20"/>
          <w:color w:val="auto"/>
        </w:rPr>
      </w:pPr>
      <w:r>
        <w:rPr>
          <w:rFonts w:ascii="Arial" w:cs="Arial" w:eastAsia="Arial" w:hAnsi="Arial"/>
          <w:sz w:val="18"/>
          <w:szCs w:val="18"/>
          <w:color w:val="auto"/>
        </w:rPr>
        <w:t>Any changes we make to our product candidates, including NGM282, NGM313, NGM386, NGM395 and NGM120,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NGM120 or any of our other product candidates.</w:t>
      </w:r>
    </w:p>
    <w:p>
      <w:pPr>
        <w:spacing w:after="0" w:line="205"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provisional, U.S. non-provisional and/or Patent Cooperation Treaty, or PCT, applications.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patent prosecution process is expensive and time -consuming,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2"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 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7"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1" w:name="page72"/>
    <w:bookmarkEnd w:id="71"/>
    <w:p>
      <w:pPr>
        <w:ind w:right="7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7"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90"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2" w:name="page73"/>
    <w:bookmarkEnd w:id="72"/>
    <w:p>
      <w:pPr>
        <w:ind w:right="120" w:firstLine="518"/>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4" w:lineRule="exact"/>
        <w:rPr>
          <w:sz w:val="20"/>
          <w:szCs w:val="20"/>
          <w:color w:val="auto"/>
        </w:rPr>
      </w:pPr>
    </w:p>
    <w:p>
      <w:pPr>
        <w:ind w:right="108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8"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6"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 xml:space="preserve">Third-party pre-issuance submission of prior art to the USPTO, or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or other patent office proceedings or litigation 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3" w:name="page74"/>
    <w:bookmarkEnd w:id="73"/>
    <w:p>
      <w:pPr>
        <w:ind w:right="260"/>
        <w:spacing w:after="0" w:line="237" w:lineRule="auto"/>
        <w:rPr>
          <w:sz w:val="20"/>
          <w:szCs w:val="20"/>
          <w:color w:val="auto"/>
        </w:rPr>
      </w:pPr>
      <w:r>
        <w:rPr>
          <w:rFonts w:ascii="Arial" w:cs="Arial" w:eastAsia="Arial" w:hAnsi="Arial"/>
          <w:sz w:val="18"/>
          <w:szCs w:val="18"/>
          <w:color w:val="auto"/>
        </w:rPr>
        <w:t>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20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8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the patentee filed its reply to our grounds for appeal in November 2018. Although there are uncertainties regarding EPO appeal timelines, summons to oral proceedings will likely issue towards the end of 2019, and oral proceedings are likely to be scheduled six to twelve months thereafter. The St. Vincent’s patent as granted is currently scheduled to expire in April 2025. Even should the patent be upheld on appeal, we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At the first instance proceedings, the Opposition Division at the EPO maintained the patent in amended form, with claims not including obesity, the indication for which we are presently pursuing regulatory approval for NGM386 and NGM395. We plan to appeal the decision to maintain the patent to the Board of Appeals at the EPO.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1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Additionally, in November 2018, we filed an opposition in the EPO to a patent granted to Genentech, Inc., or Genentech, claiming the use of an anti-KLB agonist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Genentech filed its response to opposition in April 2019. The EPO’s summons to oral proceedings is expected in the range of July to September 2019. The Genentech patent is currently scheduled to expire in April 2028. If the Genentech patent is not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4" w:name="page75"/>
    <w:bookmarkEnd w:id="74"/>
    <w:p>
      <w:pPr>
        <w:ind w:right="80"/>
        <w:spacing w:after="0" w:line="237" w:lineRule="auto"/>
        <w:rPr>
          <w:sz w:val="20"/>
          <w:szCs w:val="20"/>
          <w:color w:val="auto"/>
        </w:rPr>
      </w:pPr>
      <w:r>
        <w:rPr>
          <w:rFonts w:ascii="Arial" w:cs="Arial" w:eastAsia="Arial" w:hAnsi="Arial"/>
          <w:sz w:val="18"/>
          <w:szCs w:val="18"/>
          <w:color w:val="auto"/>
        </w:rPr>
        <w:t>invalidated in the opposition proceedings and appeals, has not expired and/or our non-infringement positions are not upheld, and this patent is successfully asserted against us or our collaborator in a European country court proceeding after the approval of our NGM313 product candidate for the treatment of diabetes and/or NASH in Europe, then we and/or our collaborator may be required to obtain a license to this patent in order to commercialize our NGM313 product candidate, and there can be no assurance that such license would be available on commercially reasonable terms, or at all. 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203"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20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30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5" w:name="page76"/>
    <w:bookmarkEnd w:id="75"/>
    <w:p>
      <w:pPr>
        <w:ind w:firstLine="518"/>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sub-licenses to third parties, which could affect our ability or Merck’s ability to use certain desired manufacturers in order to manufacture our product candidates.</w:t>
      </w:r>
    </w:p>
    <w:p>
      <w:pPr>
        <w:spacing w:after="0" w:line="205"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6" w:lineRule="exact"/>
        <w:rPr>
          <w:sz w:val="20"/>
          <w:szCs w:val="20"/>
          <w:color w:val="auto"/>
        </w:rPr>
      </w:pPr>
    </w:p>
    <w:p>
      <w:pPr>
        <w:ind w:right="720" w:firstLine="518"/>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780" w:right="2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that are not covered by the claims of the patents that we license or may own in the future;</w:t>
      </w:r>
    </w:p>
    <w:p>
      <w:pPr>
        <w:spacing w:after="0" w:line="88" w:lineRule="exact"/>
        <w:rPr>
          <w:rFonts w:ascii="Arial" w:cs="Arial" w:eastAsia="Arial" w:hAnsi="Arial"/>
          <w:sz w:val="18"/>
          <w:szCs w:val="18"/>
          <w:color w:val="auto"/>
        </w:rPr>
      </w:pPr>
    </w:p>
    <w:p>
      <w:pPr>
        <w:ind w:left="780" w:right="32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88" w:lineRule="exact"/>
        <w:rPr>
          <w:rFonts w:ascii="Arial" w:cs="Arial" w:eastAsia="Arial" w:hAnsi="Arial"/>
          <w:sz w:val="18"/>
          <w:szCs w:val="18"/>
          <w:color w:val="auto"/>
        </w:rPr>
      </w:pPr>
    </w:p>
    <w:p>
      <w:pPr>
        <w:ind w:left="780" w:right="48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88" w:lineRule="exact"/>
        <w:rPr>
          <w:rFonts w:ascii="Arial" w:cs="Arial" w:eastAsia="Arial" w:hAnsi="Arial"/>
          <w:sz w:val="18"/>
          <w:szCs w:val="18"/>
          <w:color w:val="auto"/>
        </w:rPr>
      </w:pPr>
    </w:p>
    <w:p>
      <w:pPr>
        <w:ind w:left="780" w:right="48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03" w:lineRule="exact"/>
        <w:rPr>
          <w:rFonts w:ascii="Arial" w:cs="Arial" w:eastAsia="Arial" w:hAnsi="Arial"/>
          <w:sz w:val="18"/>
          <w:szCs w:val="18"/>
          <w:color w:val="auto"/>
        </w:rPr>
      </w:pPr>
    </w:p>
    <w:p>
      <w:pPr>
        <w:ind w:left="780" w:right="90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88" w:lineRule="exact"/>
        <w:rPr>
          <w:rFonts w:ascii="Arial" w:cs="Arial" w:eastAsia="Arial" w:hAnsi="Arial"/>
          <w:sz w:val="18"/>
          <w:szCs w:val="18"/>
          <w:color w:val="auto"/>
        </w:rPr>
      </w:pPr>
    </w:p>
    <w:p>
      <w:pPr>
        <w:ind w:left="78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780" w:right="780" w:hanging="25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97"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126"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89" w:lineRule="exact"/>
        <w:rPr>
          <w:sz w:val="20"/>
          <w:szCs w:val="20"/>
          <w:color w:val="auto"/>
        </w:rPr>
      </w:pPr>
    </w:p>
    <w:p>
      <w:pPr>
        <w:ind w:left="780" w:right="860" w:hanging="25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780" w:right="780" w:hanging="25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57" w:right="339" w:bottom="1440" w:gutter="0" w:footer="0" w:header="0"/>
        </w:sectPr>
      </w:pPr>
    </w:p>
    <w:bookmarkStart w:id="77" w:name="page78"/>
    <w:bookmarkEnd w:id="77"/>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26"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common stock is currently listed on the Nasdaq Global Select Market, or Nasdaq, under the symbol "NGM"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28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and Merck, and management own a significant percentage of our stock and will be able to exert significant control over matters subject to stockholder approval.*</w:t>
      </w:r>
    </w:p>
    <w:p>
      <w:pPr>
        <w:spacing w:after="0" w:line="6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63" w:right="379" w:bottom="1440" w:gutter="0" w:footer="0" w:header="0"/>
        </w:sectPr>
      </w:pPr>
    </w:p>
    <w:bookmarkStart w:id="78" w:name="page79"/>
    <w:bookmarkEnd w:id="78"/>
    <w:p>
      <w:pPr>
        <w:ind w:right="60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3" w:lineRule="exact"/>
        <w:rPr>
          <w:sz w:val="20"/>
          <w:szCs w:val="20"/>
          <w:color w:val="auto"/>
        </w:rPr>
      </w:pPr>
    </w:p>
    <w:p>
      <w:pPr>
        <w:ind w:right="340" w:firstLine="518"/>
        <w:spacing w:after="0" w:line="246"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89" w:lineRule="exact"/>
        <w:rPr>
          <w:sz w:val="20"/>
          <w:szCs w:val="20"/>
          <w:color w:val="auto"/>
        </w:rPr>
      </w:pPr>
    </w:p>
    <w:p>
      <w:pPr>
        <w:ind w:left="780" w:right="200" w:hanging="259"/>
        <w:spacing w:after="0" w:line="24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88" w:lineRule="exact"/>
        <w:rPr>
          <w:rFonts w:ascii="Arial" w:cs="Arial" w:eastAsia="Arial" w:hAnsi="Arial"/>
          <w:sz w:val="18"/>
          <w:szCs w:val="18"/>
          <w:color w:val="auto"/>
        </w:rPr>
      </w:pPr>
    </w:p>
    <w:p>
      <w:pPr>
        <w:ind w:left="780" w:right="120" w:hanging="259"/>
        <w:spacing w:after="0" w:line="23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3" w:lineRule="exact"/>
        <w:rPr>
          <w:rFonts w:ascii="Arial" w:cs="Arial" w:eastAsia="Arial" w:hAnsi="Arial"/>
          <w:sz w:val="18"/>
          <w:szCs w:val="18"/>
          <w:color w:val="auto"/>
        </w:rPr>
      </w:pPr>
    </w:p>
    <w:p>
      <w:pPr>
        <w:ind w:left="780" w:right="12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3" w:lineRule="exact"/>
        <w:rPr>
          <w:sz w:val="20"/>
          <w:szCs w:val="20"/>
          <w:color w:val="auto"/>
        </w:rPr>
      </w:pPr>
    </w:p>
    <w:p>
      <w:pPr>
        <w:ind w:right="200" w:firstLine="518"/>
        <w:spacing w:after="0" w:line="234"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w:t>
      </w:r>
    </w:p>
    <w:p>
      <w:pPr>
        <w:spacing w:after="0" w:line="2" w:lineRule="exact"/>
        <w:rPr>
          <w:sz w:val="20"/>
          <w:szCs w:val="20"/>
          <w:color w:val="auto"/>
        </w:rPr>
      </w:pPr>
    </w:p>
    <w:p>
      <w:pPr>
        <w:ind w:right="220" w:firstLine="8"/>
        <w:spacing w:after="0"/>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90"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9" w:name="page80"/>
    <w:bookmarkEnd w:id="79"/>
    <w:p>
      <w:pPr>
        <w:ind w:right="680"/>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of 2002 and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may increase our legal and financial compliance costs and may make some activities more time-consuming and costly. The increased costs will increase our net loss. For example,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7"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6"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Global Select Market, the SEC or other regulatory authorities. In addition, our common stock may not be able to remain listed on The Nasdaq Global Select Market or any other securities exchange.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Substantially all of the shares of our common stock not sold in our initial public offering will be available for sale in the public market beginning after the end of the 180th day after the date of our initial public offering following the expiration of lock-up agreements between our stockholders and certain of the underwriters for this offering, subject, in the case of our affiliates, to the conditions of Rule 144 under the Securities Act of 1933, as amended, or the Securities Act. Moreover, certain holders of our common stock have rights, subject to certain conditions, to require us to file registration statements covering their shares or to include their shares in registration statements that we may file for ourselves or other stockholders. Shares issuable to Merck in the concurrent private placement will be available for sale in the public market beginning on March 17,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6" w:lineRule="exact"/>
        <w:rPr>
          <w:sz w:val="20"/>
          <w:szCs w:val="20"/>
          <w:color w:val="auto"/>
        </w:rPr>
      </w:pPr>
    </w:p>
    <w:p>
      <w:pPr>
        <w:ind w:right="480" w:firstLine="518"/>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3"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95" w:lineRule="exact"/>
        <w:rPr>
          <w:sz w:val="20"/>
          <w:szCs w:val="20"/>
          <w:color w:val="auto"/>
        </w:rPr>
      </w:pPr>
    </w:p>
    <w:p>
      <w:pPr>
        <w:ind w:left="780" w:right="440" w:hanging="259"/>
        <w:spacing w:after="0" w:line="24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88" w:lineRule="exact"/>
        <w:rPr>
          <w:rFonts w:ascii="Arial" w:cs="Arial" w:eastAsia="Arial" w:hAnsi="Arial"/>
          <w:sz w:val="18"/>
          <w:szCs w:val="18"/>
          <w:color w:val="auto"/>
        </w:rPr>
      </w:pPr>
    </w:p>
    <w:p>
      <w:pPr>
        <w:ind w:left="780" w:right="340" w:hanging="259"/>
        <w:spacing w:after="0" w:line="24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88" w:lineRule="exact"/>
        <w:rPr>
          <w:rFonts w:ascii="Arial" w:cs="Arial" w:eastAsia="Arial" w:hAnsi="Arial"/>
          <w:sz w:val="18"/>
          <w:szCs w:val="18"/>
          <w:color w:val="auto"/>
        </w:rPr>
      </w:pPr>
    </w:p>
    <w:p>
      <w:pPr>
        <w:ind w:left="780" w:right="160" w:hanging="259"/>
        <w:spacing w:after="0" w:line="24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88" w:lineRule="exact"/>
        <w:rPr>
          <w:rFonts w:ascii="Arial" w:cs="Arial" w:eastAsia="Arial" w:hAnsi="Arial"/>
          <w:sz w:val="18"/>
          <w:szCs w:val="18"/>
          <w:color w:val="auto"/>
        </w:rPr>
      </w:pPr>
    </w:p>
    <w:p>
      <w:pPr>
        <w:ind w:left="780" w:right="1040" w:hanging="259"/>
        <w:spacing w:after="0" w:line="24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88" w:lineRule="exact"/>
        <w:rPr>
          <w:rFonts w:ascii="Arial" w:cs="Arial" w:eastAsia="Arial" w:hAnsi="Arial"/>
          <w:sz w:val="18"/>
          <w:szCs w:val="18"/>
          <w:color w:val="auto"/>
        </w:rPr>
      </w:pPr>
    </w:p>
    <w:p>
      <w:pPr>
        <w:ind w:left="780" w:hanging="25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03" w:lineRule="exact"/>
        <w:rPr>
          <w:rFonts w:ascii="Arial" w:cs="Arial" w:eastAsia="Arial" w:hAnsi="Arial"/>
          <w:sz w:val="18"/>
          <w:szCs w:val="18"/>
          <w:color w:val="auto"/>
        </w:rPr>
      </w:pPr>
    </w:p>
    <w:p>
      <w:pPr>
        <w:ind w:left="780" w:right="260" w:hanging="259"/>
        <w:spacing w:after="0" w:line="24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Merck has also granted a proxy to the chairman of our board of directors to vote Merck’s shares in favor of any action recommended and approved by our board of directors, subject to certain exceptions.</w:t>
      </w:r>
    </w:p>
    <w:p>
      <w:pPr>
        <w:spacing w:after="0" w:line="20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Collaboration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1" w:name="page82"/>
    <w:bookmarkEnd w:id="81"/>
    <w:p>
      <w:pPr>
        <w:ind w:right="12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the Court of Chancery of the State of Delaware recently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the federal district court exclusive forum provision in our amended and restated certificate of incorporation would no longer be contingent.</w:t>
      </w:r>
    </w:p>
    <w:p>
      <w:pPr>
        <w:spacing w:after="0" w:line="30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Since January 1, 2019 we have made sales of the following unregistered securities (share and per share amounts reflect a 2-for-1 reverse stock split of our common stock effected on March 22, 2019):</w:t>
      </w:r>
    </w:p>
    <w:p>
      <w:pPr>
        <w:spacing w:after="0" w:line="89" w:lineRule="exact"/>
        <w:rPr>
          <w:sz w:val="20"/>
          <w:szCs w:val="20"/>
          <w:color w:val="auto"/>
        </w:rPr>
      </w:pPr>
    </w:p>
    <w:p>
      <w:pPr>
        <w:ind w:right="60" w:firstLine="526"/>
        <w:spacing w:after="0"/>
        <w:tabs>
          <w:tab w:leader="none" w:pos="13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Between January 1, 2019 and March 31, 2019, we granted stock options under our 2018 Equity Incentive Plan and Amended and Restated 2018 Equity Incentive Plan to purchase an aggregate of 1,550,224 shares of our common stock at an exercise price of $12.06 per share to a total of 119 employees, directors and consultants.</w:t>
      </w:r>
    </w:p>
    <w:p>
      <w:pPr>
        <w:spacing w:after="0" w:line="94" w:lineRule="exact"/>
        <w:rPr>
          <w:rFonts w:ascii="Arial" w:cs="Arial" w:eastAsia="Arial" w:hAnsi="Arial"/>
          <w:sz w:val="18"/>
          <w:szCs w:val="18"/>
          <w:color w:val="auto"/>
        </w:rPr>
      </w:pPr>
    </w:p>
    <w:p>
      <w:pPr>
        <w:ind w:right="60" w:firstLine="526"/>
        <w:spacing w:after="0" w:line="246" w:lineRule="auto"/>
        <w:tabs>
          <w:tab w:leader="none" w:pos="13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Between January 1, 2019 and March 31, 2019, we issued and sold to our employees, directors and consultants an aggregate of 80,346 shares of our common stock upon the exercise of options for aggregate proceeds of $279,781.</w:t>
      </w:r>
    </w:p>
    <w:p>
      <w:pPr>
        <w:spacing w:after="0" w:line="84" w:lineRule="exact"/>
        <w:rPr>
          <w:rFonts w:ascii="Arial" w:cs="Arial" w:eastAsia="Arial" w:hAnsi="Arial"/>
          <w:sz w:val="18"/>
          <w:szCs w:val="18"/>
          <w:color w:val="auto"/>
        </w:rPr>
      </w:pPr>
    </w:p>
    <w:p>
      <w:pPr>
        <w:ind w:left="1400" w:hanging="874"/>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February 2019, all warrants for preferred stock automatically net exercised into 16,380 shares of Series A convertible</w:t>
      </w:r>
    </w:p>
    <w:p>
      <w:pPr>
        <w:spacing w:after="0"/>
        <w:rPr>
          <w:rFonts w:ascii="Arial" w:cs="Arial" w:eastAsia="Arial" w:hAnsi="Arial"/>
          <w:sz w:val="18"/>
          <w:szCs w:val="18"/>
          <w:color w:val="auto"/>
        </w:rPr>
      </w:pPr>
      <w:r>
        <w:rPr>
          <w:rFonts w:ascii="Arial" w:cs="Arial" w:eastAsia="Arial" w:hAnsi="Arial"/>
          <w:sz w:val="18"/>
          <w:szCs w:val="18"/>
          <w:color w:val="auto"/>
        </w:rPr>
        <w:t>preferred stock.</w:t>
      </w:r>
    </w:p>
    <w:p>
      <w:pPr>
        <w:spacing w:after="0" w:line="103" w:lineRule="exact"/>
        <w:rPr>
          <w:rFonts w:ascii="Arial" w:cs="Arial" w:eastAsia="Arial" w:hAnsi="Arial"/>
          <w:sz w:val="18"/>
          <w:szCs w:val="18"/>
          <w:color w:val="auto"/>
        </w:rPr>
      </w:pPr>
    </w:p>
    <w:p>
      <w:pPr>
        <w:ind w:right="360" w:firstLine="526"/>
        <w:spacing w:after="0"/>
        <w:tabs>
          <w:tab w:leader="none" w:pos="13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April 2019, we issued and sold 4,121,683 shares (the "Private Placement Shares") of our common stock at a price per share of $16.00 to Merck in a private placement that occurred concurrently with the closing of our initial public offering. The aggregate cash purchase price of the Private Placement Shares was $65.9 million.</w:t>
      </w:r>
    </w:p>
    <w:p>
      <w:pPr>
        <w:spacing w:after="0" w:line="203" w:lineRule="exact"/>
        <w:rPr>
          <w:sz w:val="20"/>
          <w:szCs w:val="20"/>
          <w:color w:val="auto"/>
        </w:rPr>
      </w:pPr>
    </w:p>
    <w:p>
      <w:pPr>
        <w:ind w:right="640" w:firstLine="518"/>
        <w:spacing w:after="0" w:line="239" w:lineRule="auto"/>
        <w:rPr>
          <w:sz w:val="20"/>
          <w:szCs w:val="20"/>
          <w:color w:val="auto"/>
        </w:rPr>
      </w:pPr>
      <w:r>
        <w:rPr>
          <w:rFonts w:ascii="Arial" w:cs="Arial" w:eastAsia="Arial" w:hAnsi="Arial"/>
          <w:sz w:val="18"/>
          <w:szCs w:val="18"/>
          <w:color w:val="auto"/>
        </w:rPr>
        <w:t>The issuances and sales of the securities listed in (1), (2) and (3) above were deemed to be exempt from registration under the Securities Act in reliance on Section 4(2) of the Securities Act or Rule 701 promulgated under Section 3(b) of the Securities Act, as transactions by an issuer not involving a public offering or transactions pursuant to compensatory benefit plans and contracts relating to compensation as provided under Rule 701.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April 2019, our Registration Statement on Form S-1 (No. 333-227608) was declared effective by the SEC pursuant to which we issued and sold an aggregate of 7,521,394 shares of common stock (inclusive of 6,666,667 shares of common stock and 854,727 shares of common stock pursuant to the underwriters’ exercise of their option to purchase additional shares at a price of $16.00 per share) for aggregate cash proceeds of $108.2 million, after deducting underwriting discounts and commissions and net of estimated offering costs. No payments for such expenses were made directly or indirectly to (i) any of our officers or directors or their associates, (ii) any persons owning 10% or more of any class of our equity securities or (iii) any of our affiliates.</w:t>
      </w:r>
    </w:p>
    <w:p>
      <w:pPr>
        <w:spacing w:after="0" w:line="205"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sale and issuance of 6,666,667 shares in the IPO closed on April 8, 2019 and the sale of 854,727 additional shares pursuant to the underwriters’ over-allotment option closed on May 7, 2019. Goldman Sachs &amp; Co. LLC, Citigroup Global Markets Inc. and Cowen and Company, LLC acted as joint book-running managers for the offering.</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planned use of proceeds from our initial public offering from that described in the Prospectus.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71" w:lineRule="exact"/>
        <w:rPr>
          <w:sz w:val="20"/>
          <w:szCs w:val="20"/>
          <w:color w:val="auto"/>
        </w:rPr>
      </w:pPr>
    </w:p>
    <w:p>
      <w:pPr>
        <w:jc w:val="right"/>
        <w:ind w:right="130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420"/>
          </w:cols>
          <w:pgMar w:left="240" w:top="333" w:right="239" w:bottom="1440" w:gutter="0" w:footer="0" w:header="0"/>
        </w:sectPr>
      </w:pPr>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80" w:type="dxa"/>
            <w:vAlign w:val="bottom"/>
            <w:gridSpan w:val="16"/>
          </w:tcPr>
          <w:p>
            <w:pPr>
              <w:ind w:left="11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840" w:type="dxa"/>
            <w:vAlign w:val="bottom"/>
          </w:tcPr>
          <w:p>
            <w:pPr>
              <w:ind w:left="100"/>
              <w:spacing w:after="0"/>
              <w:rPr>
                <w:sz w:val="20"/>
                <w:szCs w:val="20"/>
                <w:color w:val="auto"/>
              </w:rPr>
            </w:pPr>
            <w:r>
              <w:rPr>
                <w:rFonts w:ascii="Arial" w:cs="Arial" w:eastAsia="Arial" w:hAnsi="Arial"/>
                <w:sz w:val="18"/>
                <w:szCs w:val="18"/>
                <w:color w:val="auto"/>
              </w:rPr>
              <w:t>3.1</w:t>
            </w:r>
          </w:p>
        </w:tc>
        <w:tc>
          <w:tcPr>
            <w:tcW w:w="4060" w:type="dxa"/>
            <w:vAlign w:val="bottom"/>
            <w:tcBorders>
              <w:bottom w:val="single" w:sz="8" w:color="0000EE"/>
            </w:tcBorders>
            <w:gridSpan w:val="6"/>
          </w:tcPr>
          <w:p>
            <w:pPr>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Amended and Restated Certificate of Incorporation</w:t>
              </w:r>
            </w:hyperlink>
          </w:p>
        </w:tc>
        <w:tc>
          <w:tcPr>
            <w:tcW w:w="1500" w:type="dxa"/>
            <w:vAlign w:val="bottom"/>
            <w:gridSpan w:val="13"/>
          </w:tcPr>
          <w:p>
            <w:pPr>
              <w:spacing w:after="0"/>
              <w:rPr>
                <w:sz w:val="19"/>
                <w:szCs w:val="19"/>
                <w:color w:val="auto"/>
              </w:rPr>
            </w:pPr>
          </w:p>
        </w:tc>
      </w:tr>
      <w:tr>
        <w:trPr>
          <w:trHeight w:val="237"/>
        </w:trPr>
        <w:tc>
          <w:tcPr>
            <w:tcW w:w="840" w:type="dxa"/>
            <w:vAlign w:val="bottom"/>
          </w:tcPr>
          <w:p>
            <w:pPr>
              <w:ind w:left="100"/>
              <w:spacing w:after="0"/>
              <w:rPr>
                <w:sz w:val="20"/>
                <w:szCs w:val="20"/>
                <w:color w:val="auto"/>
              </w:rPr>
            </w:pPr>
            <w:r>
              <w:rPr>
                <w:rFonts w:ascii="Arial" w:cs="Arial" w:eastAsia="Arial" w:hAnsi="Arial"/>
                <w:sz w:val="18"/>
                <w:szCs w:val="18"/>
                <w:color w:val="auto"/>
              </w:rPr>
              <w:t>3.2</w:t>
            </w:r>
          </w:p>
        </w:tc>
        <w:tc>
          <w:tcPr>
            <w:tcW w:w="2520" w:type="dxa"/>
            <w:vAlign w:val="bottom"/>
            <w:tcBorders>
              <w:bottom w:val="single" w:sz="8" w:color="0000EE"/>
            </w:tcBorders>
            <w:gridSpan w:val="4"/>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Amended and Restated Bylaws</w:t>
              </w:r>
            </w:hyperlink>
          </w:p>
        </w:tc>
        <w:tc>
          <w:tcPr>
            <w:tcW w:w="3040" w:type="dxa"/>
            <w:vAlign w:val="bottom"/>
            <w:gridSpan w:val="15"/>
          </w:tcPr>
          <w:p>
            <w:pPr>
              <w:spacing w:after="0"/>
              <w:rPr>
                <w:sz w:val="20"/>
                <w:szCs w:val="20"/>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5560" w:type="dxa"/>
            <w:vAlign w:val="bottom"/>
            <w:gridSpan w:val="19"/>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2018 Equity Incentive Plan.</w:t>
              </w:r>
            </w:hyperlink>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504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Forms of Stock Option Agreement and Notice of Grant of Stock</w:t>
              </w:r>
            </w:hyperlink>
          </w:p>
        </w:tc>
        <w:tc>
          <w:tcPr>
            <w:tcW w:w="520" w:type="dxa"/>
            <w:vAlign w:val="bottom"/>
            <w:gridSpan w:val="7"/>
          </w:tcPr>
          <w:p>
            <w:pPr>
              <w:spacing w:after="0"/>
              <w:rPr>
                <w:sz w:val="17"/>
                <w:szCs w:val="17"/>
                <w:color w:val="auto"/>
              </w:rPr>
            </w:pPr>
          </w:p>
        </w:tc>
      </w:tr>
      <w:tr>
        <w:trPr>
          <w:trHeight w:val="183"/>
        </w:trPr>
        <w:tc>
          <w:tcPr>
            <w:tcW w:w="840" w:type="dxa"/>
            <w:vAlign w:val="bottom"/>
          </w:tcPr>
          <w:p>
            <w:pPr>
              <w:spacing w:after="0"/>
              <w:rPr>
                <w:sz w:val="15"/>
                <w:szCs w:val="15"/>
                <w:color w:val="auto"/>
              </w:rPr>
            </w:pPr>
          </w:p>
        </w:tc>
        <w:tc>
          <w:tcPr>
            <w:tcW w:w="552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Option under the Amended and Restated 2018 Equity Incentive Plan.</w:t>
              </w:r>
            </w:hyperlink>
          </w:p>
        </w:tc>
        <w:tc>
          <w:tcPr>
            <w:tcW w:w="40" w:type="dxa"/>
            <w:vAlign w:val="bottom"/>
          </w:tcPr>
          <w:p>
            <w:pPr>
              <w:spacing w:after="0"/>
              <w:rPr>
                <w:sz w:val="15"/>
                <w:szCs w:val="15"/>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5560" w:type="dxa"/>
            <w:vAlign w:val="bottom"/>
            <w:gridSpan w:val="19"/>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Forms of Restricted Stock Unit Agreement and Notice of Grant of</w:t>
              </w:r>
            </w:hyperlink>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4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Restricted Stock Unit under the Amended and Restated 2018 Equity</w:t>
              </w:r>
            </w:hyperlink>
          </w:p>
        </w:tc>
        <w:tc>
          <w:tcPr>
            <w:tcW w:w="120" w:type="dxa"/>
            <w:vAlign w:val="bottom"/>
            <w:gridSpan w:val="2"/>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560" w:type="dxa"/>
            <w:vAlign w:val="bottom"/>
            <w:gridSpan w:val="19"/>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Incentive Plan.</w:t>
              </w:r>
            </w:hyperlink>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5560" w:type="dxa"/>
            <w:vAlign w:val="bottom"/>
            <w:gridSpan w:val="19"/>
          </w:tcPr>
          <w:p>
            <w:pPr>
              <w:spacing w:after="0"/>
              <w:rPr>
                <w:rFonts w:ascii="Arial" w:cs="Arial" w:eastAsia="Arial" w:hAnsi="Arial"/>
                <w:sz w:val="18"/>
                <w:szCs w:val="18"/>
                <w:color w:val="0000EE"/>
              </w:rPr>
            </w:pPr>
            <w:hyperlink r:id="rId110">
              <w:r>
                <w:rPr>
                  <w:rFonts w:ascii="Arial" w:cs="Arial" w:eastAsia="Arial" w:hAnsi="Arial"/>
                  <w:sz w:val="18"/>
                  <w:szCs w:val="18"/>
                  <w:color w:val="0000EE"/>
                </w:rPr>
                <w:t>2019 Employee Stock Purchase Plan.</w:t>
              </w:r>
            </w:hyperlink>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46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Form of Indemnification Agreement, by and between NGM</w:t>
              </w:r>
            </w:hyperlink>
          </w:p>
        </w:tc>
        <w:tc>
          <w:tcPr>
            <w:tcW w:w="900" w:type="dxa"/>
            <w:vAlign w:val="bottom"/>
            <w:gridSpan w:val="10"/>
          </w:tcPr>
          <w:p>
            <w:pPr>
              <w:spacing w:after="0"/>
              <w:rPr>
                <w:sz w:val="17"/>
                <w:szCs w:val="17"/>
                <w:color w:val="auto"/>
              </w:rPr>
            </w:pPr>
          </w:p>
        </w:tc>
      </w:tr>
      <w:tr>
        <w:trPr>
          <w:trHeight w:val="183"/>
        </w:trPr>
        <w:tc>
          <w:tcPr>
            <w:tcW w:w="840" w:type="dxa"/>
            <w:vAlign w:val="bottom"/>
          </w:tcPr>
          <w:p>
            <w:pPr>
              <w:spacing w:after="0"/>
              <w:rPr>
                <w:sz w:val="15"/>
                <w:szCs w:val="15"/>
                <w:color w:val="auto"/>
              </w:rPr>
            </w:pPr>
          </w:p>
        </w:tc>
        <w:tc>
          <w:tcPr>
            <w:tcW w:w="5560" w:type="dxa"/>
            <w:vAlign w:val="bottom"/>
            <w:gridSpan w:val="19"/>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Biopharmaceuticals, Inc. and each of its directors and executive</w:t>
              </w:r>
            </w:hyperlink>
          </w:p>
        </w:tc>
      </w:tr>
      <w:tr>
        <w:trPr>
          <w:trHeight w:val="183"/>
        </w:trPr>
        <w:tc>
          <w:tcPr>
            <w:tcW w:w="840" w:type="dxa"/>
            <w:vAlign w:val="bottom"/>
          </w:tcPr>
          <w:p>
            <w:pPr>
              <w:spacing w:after="0"/>
              <w:rPr>
                <w:sz w:val="15"/>
                <w:szCs w:val="15"/>
                <w:color w:val="auto"/>
              </w:rPr>
            </w:pPr>
          </w:p>
        </w:tc>
        <w:tc>
          <w:tcPr>
            <w:tcW w:w="50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officers.</w:t>
              </w:r>
            </w:hyperlink>
          </w:p>
        </w:tc>
        <w:tc>
          <w:tcPr>
            <w:tcW w:w="480" w:type="dxa"/>
            <w:vAlign w:val="bottom"/>
            <w:gridSpan w:val="6"/>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556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NGM Biopharmaceuticals, Inc. Non-Employee Director Compensation</w:t>
              </w:r>
            </w:hyperlink>
          </w:p>
        </w:tc>
      </w:tr>
      <w:tr>
        <w:trPr>
          <w:trHeight w:val="183"/>
        </w:trPr>
        <w:tc>
          <w:tcPr>
            <w:tcW w:w="840" w:type="dxa"/>
            <w:vAlign w:val="bottom"/>
          </w:tcPr>
          <w:p>
            <w:pPr>
              <w:spacing w:after="0"/>
              <w:rPr>
                <w:sz w:val="15"/>
                <w:szCs w:val="15"/>
                <w:color w:val="auto"/>
              </w:rPr>
            </w:pPr>
          </w:p>
        </w:tc>
        <w:tc>
          <w:tcPr>
            <w:tcW w:w="52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Policy.</w:t>
              </w:r>
            </w:hyperlink>
          </w:p>
        </w:tc>
        <w:tc>
          <w:tcPr>
            <w:tcW w:w="5040" w:type="dxa"/>
            <w:vAlign w:val="bottom"/>
            <w:gridSpan w:val="18"/>
          </w:tcPr>
          <w:p>
            <w:pPr>
              <w:spacing w:after="0"/>
              <w:rPr>
                <w:sz w:val="15"/>
                <w:szCs w:val="15"/>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446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Multi-Product License Agreement by and between NGM</w:t>
              </w:r>
            </w:hyperlink>
          </w:p>
        </w:tc>
        <w:tc>
          <w:tcPr>
            <w:tcW w:w="1100" w:type="dxa"/>
            <w:vAlign w:val="bottom"/>
            <w:gridSpan w:val="11"/>
          </w:tcPr>
          <w:p>
            <w:pPr>
              <w:spacing w:after="0"/>
              <w:rPr>
                <w:sz w:val="17"/>
                <w:szCs w:val="17"/>
                <w:color w:val="auto"/>
              </w:rPr>
            </w:pPr>
          </w:p>
        </w:tc>
      </w:tr>
      <w:tr>
        <w:trPr>
          <w:trHeight w:val="183"/>
        </w:trPr>
        <w:tc>
          <w:tcPr>
            <w:tcW w:w="840" w:type="dxa"/>
            <w:vAlign w:val="bottom"/>
          </w:tcPr>
          <w:p>
            <w:pPr>
              <w:spacing w:after="0"/>
              <w:rPr>
                <w:sz w:val="15"/>
                <w:szCs w:val="15"/>
                <w:color w:val="auto"/>
              </w:rPr>
            </w:pPr>
          </w:p>
        </w:tc>
        <w:tc>
          <w:tcPr>
            <w:tcW w:w="5560" w:type="dxa"/>
            <w:vAlign w:val="bottom"/>
            <w:gridSpan w:val="19"/>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Biopharmaceuticals, Inc. and Lonza Sales AG, dated as of October</w:t>
              </w:r>
            </w:hyperlink>
          </w:p>
        </w:tc>
      </w:tr>
      <w:tr>
        <w:trPr>
          <w:trHeight w:val="183"/>
        </w:trPr>
        <w:tc>
          <w:tcPr>
            <w:tcW w:w="840" w:type="dxa"/>
            <w:vAlign w:val="bottom"/>
          </w:tcPr>
          <w:p>
            <w:pPr>
              <w:spacing w:after="0"/>
              <w:rPr>
                <w:sz w:val="15"/>
                <w:szCs w:val="15"/>
                <w:color w:val="auto"/>
              </w:rPr>
            </w:pPr>
          </w:p>
        </w:tc>
        <w:tc>
          <w:tcPr>
            <w:tcW w:w="50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31, 2014, as amended by Amendment No. 1 on July 28, 2015,</w:t>
              </w:r>
            </w:hyperlink>
          </w:p>
        </w:tc>
        <w:tc>
          <w:tcPr>
            <w:tcW w:w="340" w:type="dxa"/>
            <w:vAlign w:val="bottom"/>
            <w:tcBorders>
              <w:top w:val="single" w:sz="8" w:color="0000EE"/>
            </w:tcBorders>
            <w:gridSpan w:val="5"/>
          </w:tcPr>
          <w:p>
            <w:pPr>
              <w:spacing w:after="0"/>
              <w:rPr>
                <w:sz w:val="15"/>
                <w:szCs w:val="15"/>
                <w:color w:val="auto"/>
              </w:rPr>
            </w:pPr>
          </w:p>
        </w:tc>
        <w:tc>
          <w:tcPr>
            <w:tcW w:w="220" w:type="dxa"/>
            <w:vAlign w:val="bottom"/>
            <w:gridSpan w:val="3"/>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5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Amendment No. 2 on October 7, 2015, Amendment No. 3 on April 26,</w:t>
              </w:r>
            </w:hyperlink>
          </w:p>
        </w:tc>
      </w:tr>
      <w:tr>
        <w:trPr>
          <w:trHeight w:val="183"/>
        </w:trPr>
        <w:tc>
          <w:tcPr>
            <w:tcW w:w="840" w:type="dxa"/>
            <w:vAlign w:val="bottom"/>
          </w:tcPr>
          <w:p>
            <w:pPr>
              <w:spacing w:after="0"/>
              <w:rPr>
                <w:sz w:val="15"/>
                <w:szCs w:val="15"/>
                <w:color w:val="auto"/>
              </w:rPr>
            </w:pPr>
          </w:p>
        </w:tc>
        <w:tc>
          <w:tcPr>
            <w:tcW w:w="5560" w:type="dxa"/>
            <w:vAlign w:val="bottom"/>
            <w:gridSpan w:val="19"/>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2016, Amendment No. 4 on October 3, 2017, Amendment No. 5 on</w:t>
              </w:r>
            </w:hyperlink>
          </w:p>
        </w:tc>
      </w:tr>
      <w:tr>
        <w:trPr>
          <w:trHeight w:val="183"/>
        </w:trPr>
        <w:tc>
          <w:tcPr>
            <w:tcW w:w="840" w:type="dxa"/>
            <w:vAlign w:val="bottom"/>
          </w:tcPr>
          <w:p>
            <w:pPr>
              <w:spacing w:after="0"/>
              <w:rPr>
                <w:sz w:val="15"/>
                <w:szCs w:val="15"/>
                <w:color w:val="auto"/>
              </w:rPr>
            </w:pPr>
          </w:p>
        </w:tc>
        <w:tc>
          <w:tcPr>
            <w:tcW w:w="53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March 16, 2018 and Amendment No. 6 on February 6, 2019.</w:t>
              </w:r>
            </w:hyperlink>
          </w:p>
        </w:tc>
        <w:tc>
          <w:tcPr>
            <w:tcW w:w="220" w:type="dxa"/>
            <w:vAlign w:val="bottom"/>
            <w:gridSpan w:val="3"/>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820" w:type="dxa"/>
            <w:vAlign w:val="bottom"/>
            <w:gridSpan w:val="10"/>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5560" w:type="dxa"/>
            <w:vAlign w:val="bottom"/>
            <w:gridSpan w:val="1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Letter Agreement, by and between NGM Biopharmaceuticals, Inc.</w:t>
              </w:r>
            </w:hyperlink>
          </w:p>
        </w:tc>
      </w:tr>
      <w:tr>
        <w:trPr>
          <w:trHeight w:val="183"/>
        </w:trPr>
        <w:tc>
          <w:tcPr>
            <w:tcW w:w="840" w:type="dxa"/>
            <w:vAlign w:val="bottom"/>
          </w:tcPr>
          <w:p>
            <w:pPr>
              <w:spacing w:after="0"/>
              <w:rPr>
                <w:sz w:val="15"/>
                <w:szCs w:val="15"/>
                <w:color w:val="auto"/>
              </w:rPr>
            </w:pPr>
          </w:p>
        </w:tc>
        <w:tc>
          <w:tcPr>
            <w:tcW w:w="52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and Merck Sharp &amp; Dohme Corp., dated as of March 15, 2019.</w:t>
              </w:r>
            </w:hyperlink>
          </w:p>
        </w:tc>
        <w:tc>
          <w:tcPr>
            <w:tcW w:w="320" w:type="dxa"/>
            <w:vAlign w:val="bottom"/>
            <w:gridSpan w:val="4"/>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Borders>
              <w:top w:val="single" w:sz="8" w:color="auto"/>
            </w:tcBorders>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Schedule</w:t>
            </w:r>
          </w:p>
        </w:tc>
        <w:tc>
          <w:tcPr>
            <w:tcW w:w="15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r>
      <w:tr>
        <w:trPr>
          <w:trHeight w:val="239"/>
        </w:trPr>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Form</w:t>
            </w: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File Number</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210"/>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40" w:type="dxa"/>
            <w:vAlign w:val="bottom"/>
          </w:tcPr>
          <w:p>
            <w:pPr>
              <w:jc w:val="center"/>
              <w:spacing w:after="0"/>
              <w:rPr>
                <w:sz w:val="20"/>
                <w:szCs w:val="20"/>
                <w:color w:val="auto"/>
              </w:rPr>
            </w:pPr>
            <w:r>
              <w:rPr>
                <w:rFonts w:ascii="Arial" w:cs="Arial" w:eastAsia="Arial" w:hAnsi="Arial"/>
                <w:sz w:val="18"/>
                <w:szCs w:val="18"/>
                <w:color w:val="auto"/>
              </w:rPr>
              <w:t>3.1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4/8/19</w:t>
            </w:r>
          </w:p>
        </w:tc>
      </w:tr>
      <w:tr>
        <w:trPr>
          <w:trHeight w:val="256"/>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rPr>
              <w:t>3.4</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9/28/18</w:t>
            </w:r>
          </w:p>
        </w:tc>
      </w:tr>
      <w:tr>
        <w:trPr>
          <w:trHeight w:val="257"/>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3/25/19</w:t>
            </w:r>
          </w:p>
        </w:tc>
      </w:tr>
      <w:tr>
        <w:trPr>
          <w:trHeight w:val="257"/>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3/25/19</w:t>
            </w:r>
          </w:p>
        </w:tc>
      </w:tr>
      <w:tr>
        <w:trPr>
          <w:trHeight w:val="419"/>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3/25/19</w:t>
            </w:r>
          </w:p>
        </w:tc>
      </w:tr>
      <w:tr>
        <w:trPr>
          <w:trHeight w:val="621"/>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3/25/19</w:t>
            </w:r>
          </w:p>
        </w:tc>
      </w:tr>
      <w:tr>
        <w:trPr>
          <w:trHeight w:val="257"/>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9/28/18</w:t>
            </w:r>
          </w:p>
        </w:tc>
      </w:tr>
      <w:tr>
        <w:trPr>
          <w:trHeight w:val="621"/>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3/25/19</w:t>
            </w:r>
          </w:p>
        </w:tc>
      </w:tr>
      <w:tr>
        <w:trPr>
          <w:trHeight w:val="419"/>
        </w:trPr>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99"/>
              </w:rPr>
              <w:t>333-227608</w:t>
            </w:r>
          </w:p>
        </w:tc>
        <w:tc>
          <w:tcPr>
            <w:tcW w:w="1140" w:type="dxa"/>
            <w:vAlign w:val="bottom"/>
          </w:tcPr>
          <w:p>
            <w:pPr>
              <w:jc w:val="center"/>
              <w:spacing w:after="0"/>
              <w:rPr>
                <w:sz w:val="20"/>
                <w:szCs w:val="20"/>
                <w:color w:val="auto"/>
              </w:rPr>
            </w:pPr>
            <w:r>
              <w:rPr>
                <w:rFonts w:ascii="Arial" w:cs="Arial" w:eastAsia="Arial" w:hAnsi="Arial"/>
                <w:sz w:val="18"/>
                <w:szCs w:val="18"/>
                <w:color w:val="auto"/>
              </w:rPr>
              <w:t>10.17</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tabs>
          <w:tab w:leader="none" w:pos="1320" w:val="left"/>
          <w:tab w:leader="none" w:pos="3000" w:val="left"/>
          <w:tab w:leader="none" w:pos="402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333-227608</w:t>
      </w:r>
      <w:r>
        <w:rPr>
          <w:sz w:val="20"/>
          <w:szCs w:val="20"/>
          <w:color w:val="auto"/>
        </w:rPr>
        <w:tab/>
      </w: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3/25/19</w:t>
      </w:r>
    </w:p>
    <w:p>
      <w:pPr>
        <w:spacing w:after="0" w:line="200" w:lineRule="exact"/>
        <w:rPr>
          <w:sz w:val="20"/>
          <w:szCs w:val="20"/>
          <w:color w:val="auto"/>
        </w:rPr>
      </w:pPr>
    </w:p>
    <w:p>
      <w:pPr>
        <w:sectPr>
          <w:pgSz w:w="11900" w:h="16838" w:orient="portrait"/>
          <w:cols w:equalWidth="0" w:num="2">
            <w:col w:w="6500" w:space="40"/>
            <w:col w:w="488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940" w:type="dxa"/>
            <w:vAlign w:val="bottom"/>
          </w:tcPr>
          <w:p>
            <w:pPr>
              <w:ind w:left="100"/>
              <w:spacing w:after="0" w:line="202" w:lineRule="exact"/>
              <w:rPr>
                <w:sz w:val="20"/>
                <w:szCs w:val="20"/>
                <w:color w:val="auto"/>
              </w:rPr>
            </w:pPr>
            <w:r>
              <w:rPr>
                <w:rFonts w:ascii="Arial" w:cs="Arial" w:eastAsia="Arial" w:hAnsi="Arial"/>
                <w:sz w:val="18"/>
                <w:szCs w:val="18"/>
                <w:color w:val="auto"/>
              </w:rPr>
              <w:t>31.1*</w:t>
            </w:r>
          </w:p>
        </w:tc>
        <w:tc>
          <w:tcPr>
            <w:tcW w:w="5280" w:type="dxa"/>
            <w:vAlign w:val="bottom"/>
            <w:tcBorders>
              <w:bottom w:val="single" w:sz="8" w:color="0000EE"/>
            </w:tcBorders>
            <w:gridSpan w:val="6"/>
          </w:tcPr>
          <w:p>
            <w:pPr>
              <w:spacing w:after="0" w:line="202"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Certification of Chief Executive Officer and Acting Financial Officer</w:t>
              </w:r>
            </w:hyperlink>
          </w:p>
        </w:tc>
        <w:tc>
          <w:tcPr>
            <w:tcW w:w="120" w:type="dxa"/>
            <w:vAlign w:val="bottom"/>
          </w:tcPr>
          <w:p>
            <w:pPr>
              <w:spacing w:after="0"/>
              <w:rPr>
                <w:sz w:val="17"/>
                <w:szCs w:val="17"/>
                <w:color w:val="auto"/>
              </w:rPr>
            </w:pPr>
          </w:p>
        </w:tc>
      </w:tr>
      <w:tr>
        <w:trPr>
          <w:trHeight w:val="183"/>
        </w:trPr>
        <w:tc>
          <w:tcPr>
            <w:tcW w:w="940" w:type="dxa"/>
            <w:vAlign w:val="bottom"/>
          </w:tcPr>
          <w:p>
            <w:pPr>
              <w:spacing w:after="0"/>
              <w:rPr>
                <w:sz w:val="15"/>
                <w:szCs w:val="15"/>
                <w:color w:val="auto"/>
              </w:rPr>
            </w:pPr>
          </w:p>
        </w:tc>
        <w:tc>
          <w:tcPr>
            <w:tcW w:w="51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Pursuant to Rules 13a-14(a) and 15d-14(a) under the Securities</w:t>
              </w:r>
            </w:hyperlink>
          </w:p>
        </w:tc>
        <w:tc>
          <w:tcPr>
            <w:tcW w:w="300" w:type="dxa"/>
            <w:vAlign w:val="bottom"/>
            <w:gridSpan w:val="4"/>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5400" w:type="dxa"/>
            <w:vAlign w:val="bottom"/>
            <w:gridSpan w:val="7"/>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Exchange Act of 1934, as Adopted Pursuant to Section 302 of the</w:t>
              </w:r>
            </w:hyperlink>
          </w:p>
        </w:tc>
      </w:tr>
      <w:tr>
        <w:trPr>
          <w:trHeight w:val="183"/>
        </w:trPr>
        <w:tc>
          <w:tcPr>
            <w:tcW w:w="940" w:type="dxa"/>
            <w:vAlign w:val="bottom"/>
          </w:tcPr>
          <w:p>
            <w:pPr>
              <w:spacing w:after="0"/>
              <w:rPr>
                <w:sz w:val="15"/>
                <w:szCs w:val="15"/>
                <w:color w:val="auto"/>
              </w:rPr>
            </w:pPr>
          </w:p>
        </w:tc>
        <w:tc>
          <w:tcPr>
            <w:tcW w:w="52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Sarbanes-Oxley Act of 2002.</w:t>
              </w:r>
            </w:hyperlink>
          </w:p>
        </w:tc>
        <w:tc>
          <w:tcPr>
            <w:tcW w:w="160" w:type="dxa"/>
            <w:vAlign w:val="bottom"/>
            <w:gridSpan w:val="2"/>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Arial" w:cs="Arial" w:eastAsia="Arial" w:hAnsi="Arial"/>
                <w:sz w:val="18"/>
                <w:szCs w:val="18"/>
                <w:color w:val="auto"/>
              </w:rPr>
              <w:t>32.1*</w:t>
            </w:r>
          </w:p>
        </w:tc>
        <w:tc>
          <w:tcPr>
            <w:tcW w:w="5400" w:type="dxa"/>
            <w:vAlign w:val="bottom"/>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Certification of Chief Executive Officer and Acting Chief Financial</w:t>
              </w:r>
            </w:hyperlink>
          </w:p>
        </w:tc>
      </w:tr>
      <w:tr>
        <w:trPr>
          <w:trHeight w:val="20"/>
        </w:trPr>
        <w:tc>
          <w:tcPr>
            <w:tcW w:w="94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4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Officer Pursuant to 18 U.S.C. Section 1350, as Adopted Pursuant to</w:t>
              </w:r>
            </w:hyperlink>
          </w:p>
        </w:tc>
      </w:tr>
      <w:tr>
        <w:trPr>
          <w:trHeight w:val="183"/>
        </w:trPr>
        <w:tc>
          <w:tcPr>
            <w:tcW w:w="940" w:type="dxa"/>
            <w:vAlign w:val="bottom"/>
          </w:tcPr>
          <w:p>
            <w:pPr>
              <w:spacing w:after="0"/>
              <w:rPr>
                <w:sz w:val="15"/>
                <w:szCs w:val="15"/>
                <w:color w:val="auto"/>
              </w:rPr>
            </w:pPr>
          </w:p>
        </w:tc>
        <w:tc>
          <w:tcPr>
            <w:tcW w:w="5400" w:type="dxa"/>
            <w:vAlign w:val="bottom"/>
            <w:gridSpan w:val="7"/>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Section 906 of the Sarbanes-Oxley Act of 2002.</w:t>
              </w:r>
            </w:hyperlink>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38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1600" w:type="dxa"/>
            <w:vAlign w:val="bottom"/>
            <w:gridSpan w:val="5"/>
          </w:tcPr>
          <w:p>
            <w:pPr>
              <w:spacing w:after="0"/>
              <w:rPr>
                <w:sz w:val="20"/>
                <w:szCs w:val="20"/>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9690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1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spacing w:after="0"/>
        <w:tabs>
          <w:tab w:leader="none" w:pos="5700" w:val="left"/>
          <w:tab w:leader="none" w:pos="7560" w:val="left"/>
        </w:tabs>
        <w:rPr>
          <w:sz w:val="20"/>
          <w:szCs w:val="20"/>
          <w:color w:val="auto"/>
        </w:rPr>
      </w:pPr>
      <w:r>
        <w:rPr>
          <w:rFonts w:ascii="Arial" w:cs="Arial" w:eastAsia="Arial" w:hAnsi="Arial"/>
          <w:sz w:val="18"/>
          <w:szCs w:val="18"/>
          <w:color w:val="auto"/>
        </w:rPr>
        <w:t>Date: May 16,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David J. Woodhouse, Ph.D.</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Executive Officer, 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33" w:right="2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2"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Form 10-Q of NGM Biopharmaceuticals, Inc.;</w:t>
      </w:r>
    </w:p>
    <w:p>
      <w:pPr>
        <w:spacing w:after="0" w:line="211" w:lineRule="exact"/>
        <w:rPr>
          <w:rFonts w:ascii="Arial" w:cs="Arial" w:eastAsia="Arial" w:hAnsi="Arial"/>
          <w:sz w:val="18"/>
          <w:szCs w:val="18"/>
          <w:color w:val="auto"/>
        </w:rPr>
      </w:pPr>
    </w:p>
    <w:p>
      <w:pPr>
        <w:jc w:val="both"/>
        <w:ind w:left="760" w:hanging="75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760" w:hanging="75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520" w:hanging="756"/>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520" w:hanging="756"/>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520" w:hanging="756"/>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jc w:val="both"/>
        <w:ind w:left="1520" w:hanging="756"/>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520" w:hanging="729"/>
        <w:spacing w:after="0" w:line="246" w:lineRule="auto"/>
        <w:tabs>
          <w:tab w:leader="none" w:pos="15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2019</w:t>
      </w:r>
    </w:p>
    <w:p>
      <w:pPr>
        <w:spacing w:after="0" w:line="200" w:lineRule="exact"/>
        <w:rPr>
          <w:sz w:val="20"/>
          <w:szCs w:val="20"/>
          <w:color w:val="auto"/>
        </w:rPr>
      </w:pPr>
    </w:p>
    <w:p>
      <w:pPr>
        <w:spacing w:after="0" w:line="25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-1905</wp:posOffset>
            </wp:positionV>
            <wp:extent cx="32931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David J. Woodhouse, Ph.D.</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 and Acting Chief Financial Officer</w:t>
      </w:r>
    </w:p>
    <w:p>
      <w:pPr>
        <w:sectPr>
          <w:pgSz w:w="11900" w:h="16838" w:orient="portrait"/>
          <w:cols w:equalWidth="0" w:num="1">
            <w:col w:w="11420"/>
          </w:cols>
          <w:pgMar w:left="240" w:top="118"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David J. Woodhouse, Chief Executive Officer and Acting Chief Financial Officer of NGM Biopharmaceuticals, Inc. (the “Company”) hereby certifies that, to the best of his knowledge:</w:t>
      </w:r>
    </w:p>
    <w:p>
      <w:pPr>
        <w:spacing w:after="0" w:line="203" w:lineRule="exact"/>
        <w:rPr>
          <w:sz w:val="20"/>
          <w:szCs w:val="20"/>
          <w:color w:val="auto"/>
        </w:rPr>
      </w:pPr>
    </w:p>
    <w:p>
      <w:pPr>
        <w:ind w:left="880" w:right="20" w:hanging="872"/>
        <w:spacing w:after="0" w:line="246" w:lineRule="auto"/>
        <w:tabs>
          <w:tab w:leader="none" w:pos="8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2019, to which this Certification is attached as Exhibit 32.1 (the “Periodic Report”), fully complies with the requirements of Section 13(a) or Section 15(d) of the Exchange Act; and</w:t>
      </w:r>
    </w:p>
    <w:p>
      <w:pPr>
        <w:spacing w:after="0" w:line="196" w:lineRule="exact"/>
        <w:rPr>
          <w:rFonts w:ascii="Arial" w:cs="Arial" w:eastAsia="Arial" w:hAnsi="Arial"/>
          <w:sz w:val="18"/>
          <w:szCs w:val="18"/>
          <w:b w:val="1"/>
          <w:bCs w:val="1"/>
          <w:color w:val="auto"/>
        </w:rPr>
      </w:pPr>
    </w:p>
    <w:p>
      <w:pPr>
        <w:ind w:left="880" w:hanging="872"/>
        <w:spacing w:after="0" w:line="246" w:lineRule="auto"/>
        <w:tabs>
          <w:tab w:leader="none" w:pos="8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has set his hands hereto as of the sixteenth day of May, 2019.</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rPr>
          <w:sz w:val="20"/>
          <w:szCs w:val="20"/>
          <w:color w:val="auto"/>
        </w:rPr>
      </w:pPr>
      <w:r>
        <w:rPr>
          <w:rFonts w:ascii="Arial" w:cs="Arial" w:eastAsia="Arial" w:hAnsi="Arial"/>
          <w:sz w:val="18"/>
          <w:szCs w:val="18"/>
          <w:color w:val="auto"/>
        </w:rPr>
        <w:t>Chief Executive Officer and Acting Chief Financial Officer</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4"/>
    </w:lvl>
  </w:abstractNum>
  <w:abstractNum w:abstractNumId="4">
    <w:nsid w:val="75A2A8D4"/>
    <w:multiLevelType w:val="hybridMultilevel"/>
    <w:lvl w:ilvl="0">
      <w:lvlJc w:val="left"/>
      <w:lvlText w:val="%1."/>
      <w:numFmt w:val="decimal"/>
      <w:start w:val="7"/>
    </w:lvl>
  </w:abstractNum>
  <w:abstractNum w:abstractNumId="5">
    <w:nsid w:val="8EDBDAB"/>
    <w:multiLevelType w:val="hybridMultilevel"/>
    <w:lvl w:ilvl="0">
      <w:lvlJc w:val="left"/>
      <w:lvlText w:val="%1."/>
      <w:numFmt w:val="decimal"/>
      <w:start w:val="8"/>
    </w:lvl>
  </w:abstractNum>
  <w:abstractNum w:abstractNumId="6">
    <w:nsid w:val="79838CB2"/>
    <w:multiLevelType w:val="hybridMultilevel"/>
    <w:lvl w:ilvl="0">
      <w:lvlJc w:val="left"/>
      <w:lvlText w:val="%1."/>
      <w:numFmt w:val="decimal"/>
      <w:start w:val="10"/>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2"/>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05" Type="http://schemas.openxmlformats.org/officeDocument/2006/relationships/hyperlink" Target="http://www.sec.gov/Archives/edgar/data/1426332/000119312519100757/d731361dex31.htm" TargetMode="External"/><Relationship Id="rId106" Type="http://schemas.openxmlformats.org/officeDocument/2006/relationships/hyperlink" Target="http://www.sec.gov/Archives/edgar/data/1426332/000119312518287727/d693178dex34.htm" TargetMode="External"/><Relationship Id="rId107" Type="http://schemas.openxmlformats.org/officeDocument/2006/relationships/hyperlink" Target="http://www.sec.gov/Archives/edgar/data/1426332/000119312519084550/d693178dex103.htm" TargetMode="External"/><Relationship Id="rId108" Type="http://schemas.openxmlformats.org/officeDocument/2006/relationships/hyperlink" Target="http://www.sec.gov/Archives/edgar/data/1426332/000119312519084550/d693178dex104.htm" TargetMode="External"/><Relationship Id="rId109" Type="http://schemas.openxmlformats.org/officeDocument/2006/relationships/hyperlink" Target="http://www.sec.gov/Archives/edgar/data/1426332/000119312519084550/d693178dex105.htm" TargetMode="External"/><Relationship Id="rId110" Type="http://schemas.openxmlformats.org/officeDocument/2006/relationships/hyperlink" Target="http://www.sec.gov/Archives/edgar/data/1426332/000119312519084550/d693178dex106.htm" TargetMode="External"/><Relationship Id="rId111" Type="http://schemas.openxmlformats.org/officeDocument/2006/relationships/hyperlink" Target="http://www.sec.gov/Archives/edgar/data/1426332/000119312518287727/d693178dex107.htm" TargetMode="External"/><Relationship Id="rId112" Type="http://schemas.openxmlformats.org/officeDocument/2006/relationships/hyperlink" Target="http://www.sec.gov/Archives/edgar/data/1426332/000119312519084550/d693178dex108.htm" TargetMode="External"/><Relationship Id="rId113" Type="http://schemas.openxmlformats.org/officeDocument/2006/relationships/hyperlink" Target="http://www.sec.gov/Archives/edgar/data/1426332/000119312519094494/d693178dex1017.htm" TargetMode="External"/><Relationship Id="rId114" Type="http://schemas.openxmlformats.org/officeDocument/2006/relationships/hyperlink" Target="http://www.sec.gov/Archives/edgar/data/1426332/000119312519084550/d69317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2019-12-28T11:48:06Z</dcterms:created>
  <dcterms:modified xsi:type="dcterms:W3CDTF">2019-12-28T11:48:06Z</dcterms:modified>
</cp:coreProperties>
</file>