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3640" w:right="1480" w:hanging="3632"/>
        <w:spacing w:after="0" w:line="344" w:lineRule="auto"/>
        <w:tabs>
          <w:tab w:leader="none" w:pos="5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-358140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0" w:lineRule="exact"/>
        <w:rPr>
          <w:sz w:val="24"/>
          <w:szCs w:val="24"/>
          <w:color w:val="auto"/>
        </w:rPr>
      </w:pPr>
    </w:p>
    <w:p>
      <w:pPr>
        <w:ind w:left="3500" w:right="1480" w:hanging="3492"/>
        <w:spacing w:after="0" w:line="320" w:lineRule="auto"/>
        <w:tabs>
          <w:tab w:leader="none" w:pos="54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 to _______</w:t>
      </w:r>
    </w:p>
    <w:p>
      <w:pPr>
        <w:spacing w:after="0" w:line="1" w:lineRule="exact"/>
        <w:rPr>
          <w:rFonts w:ascii="MS PGothic" w:cs="MS PGothic" w:eastAsia="MS PGothic" w:hAnsi="MS PGothic"/>
          <w:sz w:val="18"/>
          <w:szCs w:val="18"/>
          <w:color w:val="auto"/>
        </w:rPr>
      </w:pPr>
    </w:p>
    <w:p>
      <w:pPr>
        <w:ind w:left="40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-452755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NGM BIOPHARMACEUTICALS, INC.</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7" w:lineRule="exact"/>
        <w:rPr>
          <w:sz w:val="24"/>
          <w:szCs w:val="24"/>
          <w:color w:val="auto"/>
        </w:rPr>
      </w:pPr>
    </w:p>
    <w:tbl>
      <w:tblPr>
        <w:tblLayout w:type="fixed"/>
        <w:tblInd w:w="1640" w:type="dxa"/>
        <w:tblCellMar>
          <w:top w:w="0" w:type="dxa"/>
          <w:left w:w="0" w:type="dxa"/>
          <w:bottom w:w="0" w:type="dxa"/>
          <w:right w:w="0" w:type="dxa"/>
        </w:tblCellMar>
      </w:tblPr>
      <w:tr>
        <w:trPr>
          <w:trHeight w:val="185"/>
        </w:trPr>
        <w:tc>
          <w:tcPr>
            <w:tcW w:w="4300" w:type="dxa"/>
            <w:vAlign w:val="bottom"/>
          </w:tcPr>
          <w:p>
            <w:pPr>
              <w:jc w:val="center"/>
              <w:ind w:right="1868"/>
              <w:spacing w:after="0"/>
              <w:rPr>
                <w:sz w:val="20"/>
                <w:szCs w:val="20"/>
                <w:color w:val="auto"/>
              </w:rPr>
            </w:pPr>
            <w:r>
              <w:rPr>
                <w:rFonts w:ascii="Arial" w:cs="Arial" w:eastAsia="Arial" w:hAnsi="Arial"/>
                <w:sz w:val="16"/>
                <w:szCs w:val="16"/>
                <w:b w:val="1"/>
                <w:bCs w:val="1"/>
                <w:color w:val="auto"/>
              </w:rPr>
              <w:t>Delaware</w:t>
            </w:r>
          </w:p>
        </w:tc>
        <w:tc>
          <w:tcPr>
            <w:tcW w:w="3020" w:type="dxa"/>
            <w:vAlign w:val="bottom"/>
          </w:tcPr>
          <w:p>
            <w:pPr>
              <w:jc w:val="right"/>
              <w:ind w:right="30"/>
              <w:spacing w:after="0"/>
              <w:rPr>
                <w:sz w:val="20"/>
                <w:szCs w:val="20"/>
                <w:color w:val="auto"/>
              </w:rPr>
            </w:pPr>
            <w:r>
              <w:rPr>
                <w:rFonts w:ascii="Arial" w:cs="Arial" w:eastAsia="Arial" w:hAnsi="Arial"/>
                <w:sz w:val="16"/>
                <w:szCs w:val="16"/>
                <w:b w:val="1"/>
                <w:bCs w:val="1"/>
                <w:color w:val="auto"/>
              </w:rPr>
              <w:t>26-1679911</w:t>
            </w:r>
          </w:p>
        </w:tc>
      </w:tr>
      <w:tr>
        <w:trPr>
          <w:trHeight w:val="135"/>
        </w:trPr>
        <w:tc>
          <w:tcPr>
            <w:tcW w:w="4300" w:type="dxa"/>
            <w:vAlign w:val="bottom"/>
          </w:tcPr>
          <w:p>
            <w:pPr>
              <w:jc w:val="center"/>
              <w:ind w:right="1868"/>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020" w:type="dxa"/>
            <w:vAlign w:val="bottom"/>
          </w:tcPr>
          <w:p>
            <w:pPr>
              <w:jc w:val="center"/>
              <w:ind w:left="1890"/>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39"/>
        </w:trPr>
        <w:tc>
          <w:tcPr>
            <w:tcW w:w="4300" w:type="dxa"/>
            <w:vAlign w:val="bottom"/>
          </w:tcPr>
          <w:p>
            <w:pPr>
              <w:jc w:val="center"/>
              <w:ind w:right="1868"/>
              <w:spacing w:after="0" w:line="139" w:lineRule="exact"/>
              <w:rPr>
                <w:sz w:val="20"/>
                <w:szCs w:val="20"/>
                <w:color w:val="auto"/>
              </w:rPr>
            </w:pPr>
            <w:r>
              <w:rPr>
                <w:rFonts w:ascii="Arial" w:cs="Arial" w:eastAsia="Arial" w:hAnsi="Arial"/>
                <w:sz w:val="13"/>
                <w:szCs w:val="13"/>
                <w:b w:val="1"/>
                <w:bCs w:val="1"/>
                <w:color w:val="auto"/>
                <w:w w:val="96"/>
              </w:rPr>
              <w:t>incorporation or organization)</w:t>
            </w:r>
          </w:p>
        </w:tc>
        <w:tc>
          <w:tcPr>
            <w:tcW w:w="3020" w:type="dxa"/>
            <w:vAlign w:val="bottom"/>
          </w:tcPr>
          <w:p>
            <w:pPr>
              <w:jc w:val="center"/>
              <w:ind w:left="1890"/>
              <w:spacing w:after="0" w:line="139" w:lineRule="exact"/>
              <w:rPr>
                <w:sz w:val="20"/>
                <w:szCs w:val="20"/>
                <w:color w:val="auto"/>
              </w:rPr>
            </w:pPr>
            <w:r>
              <w:rPr>
                <w:rFonts w:ascii="Arial" w:cs="Arial" w:eastAsia="Arial" w:hAnsi="Arial"/>
                <w:sz w:val="13"/>
                <w:szCs w:val="13"/>
                <w:b w:val="1"/>
                <w:bCs w:val="1"/>
                <w:color w:val="auto"/>
                <w:w w:val="96"/>
              </w:rPr>
              <w:t>Identification No.)</w:t>
            </w:r>
          </w:p>
        </w:tc>
      </w:tr>
      <w:tr>
        <w:trPr>
          <w:trHeight w:val="189"/>
        </w:trPr>
        <w:tc>
          <w:tcPr>
            <w:tcW w:w="4300" w:type="dxa"/>
            <w:vAlign w:val="bottom"/>
          </w:tcPr>
          <w:p>
            <w:pPr>
              <w:jc w:val="center"/>
              <w:ind w:right="1868"/>
              <w:spacing w:after="0"/>
              <w:rPr>
                <w:sz w:val="20"/>
                <w:szCs w:val="20"/>
                <w:color w:val="auto"/>
              </w:rPr>
            </w:pPr>
            <w:r>
              <w:rPr>
                <w:rFonts w:ascii="Arial" w:cs="Arial" w:eastAsia="Arial" w:hAnsi="Arial"/>
                <w:sz w:val="16"/>
                <w:szCs w:val="16"/>
                <w:b w:val="1"/>
                <w:bCs w:val="1"/>
                <w:color w:val="auto"/>
              </w:rPr>
              <w:t>333 Oyster Point Boulevard</w:t>
            </w:r>
          </w:p>
        </w:tc>
        <w:tc>
          <w:tcPr>
            <w:tcW w:w="3020" w:type="dxa"/>
            <w:vAlign w:val="bottom"/>
          </w:tcPr>
          <w:p>
            <w:pPr>
              <w:spacing w:after="0"/>
              <w:rPr>
                <w:sz w:val="16"/>
                <w:szCs w:val="16"/>
                <w:color w:val="auto"/>
              </w:rPr>
            </w:pPr>
          </w:p>
        </w:tc>
      </w:tr>
      <w:tr>
        <w:trPr>
          <w:trHeight w:val="185"/>
        </w:trPr>
        <w:tc>
          <w:tcPr>
            <w:tcW w:w="4300" w:type="dxa"/>
            <w:vAlign w:val="bottom"/>
          </w:tcPr>
          <w:p>
            <w:pPr>
              <w:jc w:val="center"/>
              <w:ind w:right="1888"/>
              <w:spacing w:after="0"/>
              <w:rPr>
                <w:sz w:val="20"/>
                <w:szCs w:val="20"/>
                <w:color w:val="auto"/>
              </w:rPr>
            </w:pPr>
            <w:r>
              <w:rPr>
                <w:rFonts w:ascii="Arial" w:cs="Arial" w:eastAsia="Arial" w:hAnsi="Arial"/>
                <w:sz w:val="16"/>
                <w:szCs w:val="16"/>
                <w:b w:val="1"/>
                <w:bCs w:val="1"/>
                <w:color w:val="auto"/>
              </w:rPr>
              <w:t>South San Francisco, CA</w:t>
            </w:r>
          </w:p>
        </w:tc>
        <w:tc>
          <w:tcPr>
            <w:tcW w:w="3020" w:type="dxa"/>
            <w:vAlign w:val="bottom"/>
          </w:tcPr>
          <w:p>
            <w:pPr>
              <w:jc w:val="right"/>
              <w:ind w:right="230"/>
              <w:spacing w:after="0"/>
              <w:rPr>
                <w:sz w:val="20"/>
                <w:szCs w:val="20"/>
                <w:color w:val="auto"/>
              </w:rPr>
            </w:pPr>
            <w:r>
              <w:rPr>
                <w:rFonts w:ascii="Arial" w:cs="Arial" w:eastAsia="Arial" w:hAnsi="Arial"/>
                <w:sz w:val="16"/>
                <w:szCs w:val="16"/>
                <w:b w:val="1"/>
                <w:bCs w:val="1"/>
                <w:color w:val="auto"/>
              </w:rPr>
              <w:t>94080</w:t>
            </w:r>
          </w:p>
        </w:tc>
      </w:tr>
      <w:tr>
        <w:trPr>
          <w:trHeight w:val="168"/>
        </w:trPr>
        <w:tc>
          <w:tcPr>
            <w:tcW w:w="4300" w:type="dxa"/>
            <w:vAlign w:val="bottom"/>
          </w:tcPr>
          <w:p>
            <w:pPr>
              <w:jc w:val="center"/>
              <w:ind w:right="1868"/>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3020" w:type="dxa"/>
            <w:vAlign w:val="bottom"/>
          </w:tcPr>
          <w:p>
            <w:pPr>
              <w:jc w:val="center"/>
              <w:ind w:left="1890"/>
              <w:spacing w:after="0"/>
              <w:rPr>
                <w:sz w:val="20"/>
                <w:szCs w:val="20"/>
                <w:color w:val="auto"/>
              </w:rPr>
            </w:pPr>
            <w:r>
              <w:rPr>
                <w:rFonts w:ascii="Arial" w:cs="Arial" w:eastAsia="Arial" w:hAnsi="Arial"/>
                <w:sz w:val="13"/>
                <w:szCs w:val="13"/>
                <w:b w:val="1"/>
                <w:bCs w:val="1"/>
                <w:color w:val="auto"/>
                <w:w w:val="96"/>
              </w:rPr>
              <w:t>(Zip Code)</w:t>
            </w:r>
          </w:p>
        </w:tc>
      </w:tr>
    </w:tbl>
    <w:p>
      <w:pPr>
        <w:spacing w:after="0" w:line="52"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(650) 243-5555</w:t>
      </w:r>
    </w:p>
    <w:p>
      <w:pPr>
        <w:spacing w:after="0" w:line="133"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 w:lineRule="exact"/>
        <w:rPr>
          <w:sz w:val="24"/>
          <w:szCs w:val="24"/>
          <w:color w:val="auto"/>
        </w:rPr>
      </w:pPr>
    </w:p>
    <w:tbl>
      <w:tblPr>
        <w:tblLayout w:type="fixed"/>
        <w:tblInd w:w="130" w:type="dxa"/>
        <w:tblCellMar>
          <w:top w:w="0" w:type="dxa"/>
          <w:left w:w="0" w:type="dxa"/>
          <w:bottom w:w="0" w:type="dxa"/>
          <w:right w:w="0" w:type="dxa"/>
        </w:tblCellMar>
      </w:tblPr>
      <w:tr>
        <w:trPr>
          <w:trHeight w:val="232"/>
        </w:trPr>
        <w:tc>
          <w:tcPr>
            <w:tcW w:w="47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Trading</w:t>
            </w:r>
          </w:p>
        </w:tc>
        <w:tc>
          <w:tcPr>
            <w:tcW w:w="5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Securities are Registered</w:t>
            </w:r>
          </w:p>
        </w:tc>
      </w:tr>
      <w:tr>
        <w:trPr>
          <w:trHeight w:val="207"/>
        </w:trPr>
        <w:tc>
          <w:tcPr>
            <w:tcW w:w="4700" w:type="dxa"/>
            <w:vAlign w:val="bottom"/>
            <w:tcBorders>
              <w:left w:val="single" w:sz="8" w:color="auto"/>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Symbol</w:t>
            </w:r>
          </w:p>
        </w:tc>
        <w:tc>
          <w:tcPr>
            <w:tcW w:w="5280" w:type="dxa"/>
            <w:vAlign w:val="bottom"/>
            <w:tcBorders>
              <w:bottom w:val="single" w:sz="8" w:color="auto"/>
              <w:right w:val="single" w:sz="8" w:color="auto"/>
            </w:tcBorders>
          </w:tcPr>
          <w:p>
            <w:pPr>
              <w:spacing w:after="0"/>
              <w:rPr>
                <w:sz w:val="18"/>
                <w:szCs w:val="18"/>
                <w:color w:val="auto"/>
              </w:rPr>
            </w:pPr>
          </w:p>
        </w:tc>
      </w:tr>
      <w:tr>
        <w:trPr>
          <w:trHeight w:val="250"/>
        </w:trPr>
        <w:tc>
          <w:tcPr>
            <w:tcW w:w="4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NGM</w:t>
            </w:r>
          </w:p>
        </w:tc>
        <w:tc>
          <w:tcPr>
            <w:tcW w:w="5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110" w:lineRule="exact"/>
        <w:rPr>
          <w:sz w:val="24"/>
          <w:szCs w:val="24"/>
          <w:color w:val="auto"/>
        </w:rPr>
      </w:pPr>
    </w:p>
    <w:p>
      <w:pPr>
        <w:ind w:right="140" w:firstLine="641"/>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jc w:val="both"/>
        <w:ind w:right="40" w:firstLine="641"/>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right="100" w:firstLine="641"/>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spacing w:after="0"/>
              <w:rPr>
                <w:sz w:val="22"/>
                <w:szCs w:val="22"/>
                <w:color w:val="auto"/>
              </w:rPr>
            </w:pPr>
          </w:p>
        </w:tc>
        <w:tc>
          <w:tcPr>
            <w:tcW w:w="300" w:type="dxa"/>
            <w:vAlign w:val="bottom"/>
          </w:tcPr>
          <w:p>
            <w:pPr>
              <w:spacing w:after="0"/>
              <w:rPr>
                <w:sz w:val="22"/>
                <w:szCs w:val="22"/>
                <w:color w:val="auto"/>
              </w:rPr>
            </w:pPr>
          </w:p>
        </w:tc>
      </w:tr>
    </w:tbl>
    <w:p>
      <w:pPr>
        <w:spacing w:after="0" w:line="111" w:lineRule="exact"/>
        <w:rPr>
          <w:sz w:val="24"/>
          <w:szCs w:val="24"/>
          <w:color w:val="auto"/>
        </w:rPr>
      </w:pPr>
    </w:p>
    <w:p>
      <w:pPr>
        <w:ind w:right="40" w:firstLine="641"/>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8" w:lineRule="exact"/>
        <w:rPr>
          <w:sz w:val="24"/>
          <w:szCs w:val="24"/>
          <w:color w:val="auto"/>
        </w:rPr>
      </w:pPr>
    </w:p>
    <w:p>
      <w:pPr>
        <w:ind w:left="640" w:right="158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7, 2020, the registrant had 68,141,868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38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r>
      <w:tr>
        <w:trPr>
          <w:trHeight w:val="662"/>
        </w:trPr>
        <w:tc>
          <w:tcPr>
            <w:tcW w:w="12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820" w:type="dxa"/>
            <w:vAlign w:val="bottom"/>
            <w:gridSpan w:val="9"/>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1.</w:t>
            </w:r>
          </w:p>
        </w:tc>
        <w:tc>
          <w:tcPr>
            <w:tcW w:w="8820" w:type="dxa"/>
            <w:vAlign w:val="bottom"/>
            <w:gridSpan w:val="9"/>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r>
      <w:tr>
        <w:trPr>
          <w:trHeight w:val="243"/>
        </w:trPr>
        <w:tc>
          <w:tcPr>
            <w:tcW w:w="1220" w:type="dxa"/>
            <w:vAlign w:val="bottom"/>
          </w:tcPr>
          <w:p>
            <w:pPr>
              <w:spacing w:after="0"/>
              <w:rPr>
                <w:sz w:val="21"/>
                <w:szCs w:val="21"/>
                <w:color w:val="auto"/>
              </w:rPr>
            </w:pPr>
          </w:p>
        </w:tc>
        <w:tc>
          <w:tcPr>
            <w:tcW w:w="8820" w:type="dxa"/>
            <w:vAlign w:val="bottom"/>
            <w:gridSpan w:val="9"/>
          </w:tcPr>
          <w:p>
            <w:pP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Condensed Consolidated Balance Sheets as of March 31, 2020 (Unaudited) and December 31, 2019 (Audited)</w:t>
              </w:r>
            </w:hyperlink>
          </w:p>
        </w:tc>
      </w:tr>
      <w:tr>
        <w:trPr>
          <w:trHeight w:val="189"/>
        </w:trPr>
        <w:tc>
          <w:tcPr>
            <w:tcW w:w="1220" w:type="dxa"/>
            <w:vAlign w:val="bottom"/>
          </w:tcPr>
          <w:p>
            <w:pPr>
              <w:spacing w:after="0"/>
              <w:rPr>
                <w:sz w:val="16"/>
                <w:szCs w:val="16"/>
                <w:color w:val="auto"/>
              </w:rPr>
            </w:pPr>
          </w:p>
        </w:tc>
        <w:tc>
          <w:tcPr>
            <w:tcW w:w="8820" w:type="dxa"/>
            <w:vAlign w:val="bottom"/>
            <w:gridSpan w:val="9"/>
          </w:tcPr>
          <w:p>
            <w:pPr>
              <w:spacing w:after="0" w:line="189"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2020 and 2019</w:t>
              </w:r>
            </w:hyperlink>
          </w:p>
        </w:tc>
      </w:tr>
      <w:tr>
        <w:trPr>
          <w:trHeight w:val="183"/>
        </w:trPr>
        <w:tc>
          <w:tcPr>
            <w:tcW w:w="1220" w:type="dxa"/>
            <w:vAlign w:val="bottom"/>
          </w:tcPr>
          <w:p>
            <w:pPr>
              <w:spacing w:after="0"/>
              <w:rPr>
                <w:sz w:val="15"/>
                <w:szCs w:val="15"/>
                <w:color w:val="auto"/>
              </w:rPr>
            </w:pPr>
          </w:p>
        </w:tc>
        <w:tc>
          <w:tcPr>
            <w:tcW w:w="84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400" w:type="dxa"/>
            <w:vAlign w:val="bottom"/>
            <w:gridSpan w:val="4"/>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8820" w:type="dxa"/>
            <w:vAlign w:val="bottom"/>
            <w:gridSpan w:val="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 for the three months ended March 31, 2020 and</w:t>
              </w:r>
            </w:hyperlink>
          </w:p>
        </w:tc>
      </w:tr>
      <w:tr>
        <w:trPr>
          <w:trHeight w:val="183"/>
        </w:trPr>
        <w:tc>
          <w:tcPr>
            <w:tcW w:w="122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2019 (Unaudited)</w:t>
              </w:r>
            </w:hyperlink>
          </w:p>
        </w:tc>
        <w:tc>
          <w:tcPr>
            <w:tcW w:w="7380" w:type="dxa"/>
            <w:vAlign w:val="bottom"/>
            <w:tcBorders>
              <w:top w:val="single" w:sz="8" w:color="0000EE"/>
            </w:tcBorders>
            <w:gridSpan w:val="6"/>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1220" w:type="dxa"/>
            <w:vAlign w:val="bottom"/>
          </w:tcPr>
          <w:p>
            <w:pPr>
              <w:spacing w:after="0"/>
              <w:rPr>
                <w:sz w:val="17"/>
                <w:szCs w:val="17"/>
                <w:color w:val="auto"/>
              </w:rPr>
            </w:pPr>
          </w:p>
        </w:tc>
        <w:tc>
          <w:tcPr>
            <w:tcW w:w="8820" w:type="dxa"/>
            <w:vAlign w:val="bottom"/>
            <w:gridSpan w:val="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Stockholders’ Equity for the three months ended March 31, 2020</w:t>
              </w:r>
            </w:hyperlink>
          </w:p>
        </w:tc>
      </w:tr>
      <w:tr>
        <w:trPr>
          <w:trHeight w:val="183"/>
        </w:trPr>
        <w:tc>
          <w:tcPr>
            <w:tcW w:w="1220" w:type="dxa"/>
            <w:vAlign w:val="bottom"/>
          </w:tcPr>
          <w:p>
            <w:pPr>
              <w:spacing w:after="0"/>
              <w:rPr>
                <w:sz w:val="15"/>
                <w:szCs w:val="15"/>
                <w:color w:val="auto"/>
              </w:rPr>
            </w:pPr>
          </w:p>
        </w:tc>
        <w:tc>
          <w:tcPr>
            <w:tcW w:w="82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540" w:type="dxa"/>
            <w:vAlign w:val="bottom"/>
            <w:gridSpan w:val="5"/>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850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Convertible Preferred Stock and Stockholders’ Deficit for the three</w:t>
              </w:r>
            </w:hyperlink>
          </w:p>
        </w:tc>
        <w:tc>
          <w:tcPr>
            <w:tcW w:w="320" w:type="dxa"/>
            <w:vAlign w:val="bottom"/>
            <w:gridSpan w:val="2"/>
          </w:tcPr>
          <w:p>
            <w:pPr>
              <w:spacing w:after="0"/>
              <w:rPr>
                <w:sz w:val="17"/>
                <w:szCs w:val="17"/>
                <w:color w:val="auto"/>
              </w:rPr>
            </w:pPr>
          </w:p>
        </w:tc>
      </w:tr>
      <w:tr>
        <w:trPr>
          <w:trHeight w:val="182"/>
        </w:trPr>
        <w:tc>
          <w:tcPr>
            <w:tcW w:w="1220" w:type="dxa"/>
            <w:vAlign w:val="bottom"/>
          </w:tcPr>
          <w:p>
            <w:pPr>
              <w:spacing w:after="0"/>
              <w:rPr>
                <w:sz w:val="15"/>
                <w:szCs w:val="15"/>
                <w:color w:val="auto"/>
              </w:rPr>
            </w:pPr>
          </w:p>
        </w:tc>
        <w:tc>
          <w:tcPr>
            <w:tcW w:w="344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months ended March 31, 2019 (Unaudited)</w:t>
              </w:r>
            </w:hyperlink>
          </w:p>
        </w:tc>
        <w:tc>
          <w:tcPr>
            <w:tcW w:w="5380" w:type="dxa"/>
            <w:vAlign w:val="bottom"/>
            <w:gridSpan w:val="6"/>
          </w:tcPr>
          <w:p>
            <w:pPr>
              <w:spacing w:after="0"/>
              <w:rPr>
                <w:sz w:val="15"/>
                <w:szCs w:val="15"/>
                <w:color w:val="auto"/>
              </w:rPr>
            </w:pPr>
          </w:p>
        </w:tc>
      </w:tr>
      <w:tr>
        <w:trPr>
          <w:trHeight w:val="196"/>
        </w:trPr>
        <w:tc>
          <w:tcPr>
            <w:tcW w:w="1220" w:type="dxa"/>
            <w:vAlign w:val="bottom"/>
          </w:tcPr>
          <w:p>
            <w:pPr>
              <w:spacing w:after="0"/>
              <w:rPr>
                <w:sz w:val="17"/>
                <w:szCs w:val="17"/>
                <w:color w:val="auto"/>
              </w:rPr>
            </w:pPr>
          </w:p>
        </w:tc>
        <w:tc>
          <w:tcPr>
            <w:tcW w:w="8820" w:type="dxa"/>
            <w:vAlign w:val="bottom"/>
            <w:gridSpan w:val="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months ended March 31, 2020 and 2019</w:t>
              </w:r>
            </w:hyperlink>
          </w:p>
        </w:tc>
      </w:tr>
      <w:tr>
        <w:trPr>
          <w:trHeight w:val="183"/>
        </w:trPr>
        <w:tc>
          <w:tcPr>
            <w:tcW w:w="1220" w:type="dxa"/>
            <w:vAlign w:val="bottom"/>
          </w:tcPr>
          <w:p>
            <w:pPr>
              <w:spacing w:after="0"/>
              <w:rPr>
                <w:sz w:val="15"/>
                <w:szCs w:val="15"/>
                <w:color w:val="auto"/>
              </w:rPr>
            </w:pPr>
          </w:p>
        </w:tc>
        <w:tc>
          <w:tcPr>
            <w:tcW w:w="84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340" w:type="dxa"/>
            <w:vAlign w:val="bottom"/>
            <w:gridSpan w:val="3"/>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880" w:type="dxa"/>
            <w:vAlign w:val="bottom"/>
            <w:gridSpan w:val="8"/>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8820" w:type="dxa"/>
            <w:vAlign w:val="bottom"/>
            <w:gridSpan w:val="9"/>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 (Unaudited)</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2.</w:t>
            </w:r>
          </w:p>
        </w:tc>
        <w:tc>
          <w:tcPr>
            <w:tcW w:w="8820" w:type="dxa"/>
            <w:vAlign w:val="bottom"/>
            <w:gridSpan w:val="9"/>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Management’s Discussion and Analysis of Financial Condition and Results of Operations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3.</w:t>
            </w:r>
          </w:p>
        </w:tc>
        <w:tc>
          <w:tcPr>
            <w:tcW w:w="8820" w:type="dxa"/>
            <w:vAlign w:val="bottom"/>
            <w:gridSpan w:val="9"/>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Quantitative and Qualitative Disclosures About Market Risk</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4.</w:t>
            </w:r>
          </w:p>
        </w:tc>
        <w:tc>
          <w:tcPr>
            <w:tcW w:w="8820" w:type="dxa"/>
            <w:vAlign w:val="bottom"/>
            <w:gridSpan w:val="9"/>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Controls and Procedures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820" w:type="dxa"/>
            <w:vAlign w:val="bottom"/>
            <w:gridSpan w:val="9"/>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OTHER INFORMATION</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1.</w:t>
            </w:r>
          </w:p>
        </w:tc>
        <w:tc>
          <w:tcPr>
            <w:tcW w:w="8820" w:type="dxa"/>
            <w:vAlign w:val="bottom"/>
            <w:gridSpan w:val="9"/>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Legal Proceedings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1A.</w:t>
            </w:r>
          </w:p>
        </w:tc>
        <w:tc>
          <w:tcPr>
            <w:tcW w:w="8820" w:type="dxa"/>
            <w:vAlign w:val="bottom"/>
            <w:gridSpan w:val="9"/>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Risk Factors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2.</w:t>
            </w:r>
          </w:p>
        </w:tc>
        <w:tc>
          <w:tcPr>
            <w:tcW w:w="8820" w:type="dxa"/>
            <w:vAlign w:val="bottom"/>
            <w:gridSpan w:val="9"/>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Unregistered Sales of Equity Securities and Use of Proceeds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3.</w:t>
            </w:r>
          </w:p>
        </w:tc>
        <w:tc>
          <w:tcPr>
            <w:tcW w:w="8820" w:type="dxa"/>
            <w:vAlign w:val="bottom"/>
            <w:gridSpan w:val="9"/>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Defaults Upon Senior Securities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4.</w:t>
            </w:r>
          </w:p>
        </w:tc>
        <w:tc>
          <w:tcPr>
            <w:tcW w:w="8820" w:type="dxa"/>
            <w:vAlign w:val="bottom"/>
            <w:gridSpan w:val="9"/>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Mine Safety Disclosures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5.</w:t>
            </w:r>
          </w:p>
        </w:tc>
        <w:tc>
          <w:tcPr>
            <w:tcW w:w="8820" w:type="dxa"/>
            <w:vAlign w:val="bottom"/>
            <w:gridSpan w:val="9"/>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Other Information</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6.</w:t>
            </w:r>
          </w:p>
        </w:tc>
        <w:tc>
          <w:tcPr>
            <w:tcW w:w="8820" w:type="dxa"/>
            <w:vAlign w:val="bottom"/>
            <w:gridSpan w:val="9"/>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Exhibits</w:t>
              </w:r>
            </w:hyperlink>
          </w:p>
        </w:tc>
      </w:tr>
      <w:tr>
        <w:trPr>
          <w:trHeight w:val="243"/>
        </w:trPr>
        <w:tc>
          <w:tcPr>
            <w:tcW w:w="122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Signatures</w:t>
              </w:r>
            </w:hyperlink>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8890</wp:posOffset>
            </wp:positionV>
            <wp:extent cx="565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ectPr>
          <w:pgSz w:w="11900" w:h="16838" w:orient="portrait"/>
          <w:cols w:equalWidth="0" w:num="2">
            <w:col w:w="10040" w:space="580"/>
            <w:col w:w="600"/>
          </w:cols>
          <w:pgMar w:left="320" w:top="118"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256,952</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71,517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98,913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 from collaboration</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338,307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360,701</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3,648</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Deferred rent, current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current</w:t>
            </w: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rent, non-current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Early exercise stock option liability</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6)</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$0.001 par value; 10,000,000 shares authorized;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no shares issued or outstanding as of March 31, 2020 and</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December 31, 2019, respectively</w:t>
            </w:r>
          </w:p>
        </w:tc>
        <w:tc>
          <w:tcPr>
            <w:tcW w:w="2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8"/>
                <w:szCs w:val="18"/>
                <w:color w:val="auto"/>
              </w:rPr>
              <w:t>Common stock, $0.001 par value; 400,000,000 shares authorized;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67,936,438 and 66,960,279 shares issued and outstanding as of</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March 31, 2020 and December 31, 2019, respectively</w:t>
            </w:r>
          </w:p>
        </w:tc>
        <w:tc>
          <w:tcPr>
            <w:tcW w:w="2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68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534,218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526,771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other comprehensive gain (loss)</w:t>
            </w: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(215,259)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(196,144)</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318,972</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360,701</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7000" w:type="dxa"/>
            <w:vAlign w:val="bottom"/>
            <w:tcBorders>
              <w:bottom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1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24,364</w:t>
            </w:r>
          </w:p>
        </w:tc>
        <w:tc>
          <w:tcPr>
            <w:tcW w:w="2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25,552</w:t>
            </w:r>
          </w:p>
        </w:tc>
        <w:tc>
          <w:tcPr>
            <w:tcW w:w="100" w:type="dxa"/>
            <w:vAlign w:val="bottom"/>
            <w:shd w:val="clear" w:color="auto" w:fill="CFF0FC"/>
          </w:tcPr>
          <w:p>
            <w:pPr>
              <w:spacing w:after="0"/>
              <w:rPr>
                <w:sz w:val="18"/>
                <w:szCs w:val="18"/>
                <w:color w:val="auto"/>
              </w:rPr>
            </w:pPr>
          </w:p>
        </w:tc>
      </w:tr>
      <w:tr>
        <w:trPr>
          <w:trHeight w:val="209"/>
        </w:trPr>
        <w:tc>
          <w:tcPr>
            <w:tcW w:w="700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29,527</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100" w:type="dxa"/>
            <w:vAlign w:val="bottom"/>
            <w:tcBorders>
              <w:bottom w:val="single" w:sz="8" w:color="CFF0FC"/>
            </w:tcBorders>
          </w:tcPr>
          <w:p>
            <w:pPr>
              <w:spacing w:after="0"/>
              <w:rPr>
                <w:sz w:val="18"/>
                <w:szCs w:val="18"/>
                <w:color w:val="auto"/>
              </w:rPr>
            </w:pPr>
          </w:p>
        </w:tc>
      </w:tr>
      <w:tr>
        <w:trPr>
          <w:trHeight w:val="209"/>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45,034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34,894</w:t>
            </w:r>
          </w:p>
        </w:tc>
        <w:tc>
          <w:tcPr>
            <w:tcW w:w="100" w:type="dxa"/>
            <w:vAlign w:val="bottom"/>
            <w:shd w:val="clear" w:color="auto" w:fill="CFF0FC"/>
          </w:tcPr>
          <w:p>
            <w:pPr>
              <w:spacing w:after="0"/>
              <w:rPr>
                <w:sz w:val="18"/>
                <w:szCs w:val="18"/>
                <w:color w:val="auto"/>
              </w:rPr>
            </w:pPr>
          </w:p>
        </w:tc>
      </w:tr>
      <w:tr>
        <w:trPr>
          <w:trHeight w:val="209"/>
        </w:trPr>
        <w:tc>
          <w:tcPr>
            <w:tcW w:w="7000" w:type="dxa"/>
            <w:vAlign w:val="bottom"/>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(20,670)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(9,342)</w:t>
            </w:r>
          </w:p>
        </w:tc>
      </w:tr>
      <w:tr>
        <w:trPr>
          <w:trHeight w:val="216"/>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0"/>
        </w:trPr>
        <w:tc>
          <w:tcPr>
            <w:tcW w:w="70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(19,115)</w:t>
            </w:r>
          </w:p>
        </w:tc>
        <w:tc>
          <w:tcPr>
            <w:tcW w:w="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(8,268)</w:t>
            </w:r>
          </w:p>
        </w:tc>
      </w:tr>
      <w:tr>
        <w:trPr>
          <w:trHeight w:val="20"/>
        </w:trPr>
        <w:tc>
          <w:tcPr>
            <w:tcW w:w="70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37"/>
        </w:trPr>
        <w:tc>
          <w:tcPr>
            <w:tcW w:w="700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(0.28)</w:t>
            </w:r>
          </w:p>
        </w:tc>
        <w:tc>
          <w:tcPr>
            <w:tcW w:w="56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(1.21)</w:t>
            </w:r>
          </w:p>
        </w:tc>
      </w:tr>
      <w:tr>
        <w:trPr>
          <w:trHeight w:val="196"/>
        </w:trPr>
        <w:tc>
          <w:tcPr>
            <w:tcW w:w="70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to compute net loss</w:t>
            </w:r>
          </w:p>
        </w:tc>
        <w:tc>
          <w:tcPr>
            <w:tcW w:w="42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70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per share, basic and diluted</w:t>
            </w:r>
          </w:p>
        </w:tc>
        <w:tc>
          <w:tcPr>
            <w:tcW w:w="4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67,396,229</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6,812,129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7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00" w:type="dxa"/>
            <w:vAlign w:val="bottom"/>
          </w:tcPr>
          <w:p>
            <w:pPr>
              <w:spacing w:after="0"/>
              <w:rPr>
                <w:sz w:val="19"/>
                <w:szCs w:val="19"/>
                <w:color w:val="auto"/>
              </w:rPr>
            </w:pPr>
          </w:p>
        </w:tc>
        <w:tc>
          <w:tcPr>
            <w:tcW w:w="3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09"/>
        </w:trPr>
        <w:tc>
          <w:tcPr>
            <w:tcW w:w="700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(19,115)</w:t>
            </w:r>
          </w:p>
        </w:tc>
        <w:tc>
          <w:tcPr>
            <w:tcW w:w="128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(8,268)</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comprehensive gain (loss), net of tax:</w:t>
            </w: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1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0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marketable securities</w:t>
            </w:r>
          </w:p>
        </w:tc>
        <w:tc>
          <w:tcPr>
            <w:tcW w:w="1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(80)</w:t>
            </w:r>
          </w:p>
        </w:tc>
        <w:tc>
          <w:tcPr>
            <w:tcW w:w="12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222</w:t>
            </w:r>
          </w:p>
        </w:tc>
        <w:tc>
          <w:tcPr>
            <w:tcW w:w="100" w:type="dxa"/>
            <w:vAlign w:val="bottom"/>
            <w:shd w:val="clear" w:color="auto" w:fill="CFF0FC"/>
          </w:tcPr>
          <w:p>
            <w:pPr>
              <w:spacing w:after="0"/>
              <w:rPr>
                <w:sz w:val="17"/>
                <w:szCs w:val="17"/>
                <w:color w:val="auto"/>
              </w:rPr>
            </w:pPr>
          </w:p>
        </w:tc>
      </w:tr>
      <w:tr>
        <w:trPr>
          <w:trHeight w:val="20"/>
        </w:trPr>
        <w:tc>
          <w:tcPr>
            <w:tcW w:w="70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00" w:type="dxa"/>
            <w:vAlign w:val="bottom"/>
          </w:tcPr>
          <w:p>
            <w:pPr>
              <w:ind w:left="500"/>
              <w:spacing w:after="0"/>
              <w:rPr>
                <w:sz w:val="20"/>
                <w:szCs w:val="20"/>
                <w:color w:val="auto"/>
              </w:rPr>
            </w:pPr>
            <w:r>
              <w:rPr>
                <w:rFonts w:ascii="Arial" w:cs="Arial" w:eastAsia="Arial" w:hAnsi="Arial"/>
                <w:sz w:val="18"/>
                <w:szCs w:val="18"/>
                <w:color w:val="auto"/>
              </w:rPr>
              <w:t>Total comprehensive loss</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(19,195)</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(8,046)</w:t>
            </w:r>
          </w:p>
        </w:tc>
      </w:tr>
      <w:tr>
        <w:trPr>
          <w:trHeight w:val="20"/>
        </w:trPr>
        <w:tc>
          <w:tcPr>
            <w:tcW w:w="70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900" w:type="dxa"/>
            <w:vAlign w:val="bottom"/>
            <w:gridSpan w:val="4"/>
            <w:vMerge w:val="restart"/>
          </w:tcPr>
          <w:p>
            <w:pPr>
              <w:jc w:val="right"/>
              <w:ind w:right="288"/>
              <w:spacing w:after="0"/>
              <w:rPr>
                <w:sz w:val="20"/>
                <w:szCs w:val="20"/>
                <w:color w:val="auto"/>
              </w:rPr>
            </w:pPr>
            <w:r>
              <w:rPr>
                <w:rFonts w:ascii="Arial" w:cs="Arial" w:eastAsia="Arial" w:hAnsi="Arial"/>
                <w:sz w:val="14"/>
                <w:szCs w:val="14"/>
                <w:b w:val="1"/>
                <w:bCs w:val="1"/>
                <w:color w:val="auto"/>
              </w:rPr>
              <w:t>Common Stock</w:t>
            </w:r>
            <w:r>
              <w:rPr>
                <w:rFonts w:ascii="Arial" w:cs="Arial" w:eastAsia="Arial" w:hAnsi="Arial"/>
                <w:sz w:val="24"/>
                <w:szCs w:val="24"/>
                <w:b w:val="1"/>
                <w:bCs w:val="1"/>
                <w:color w:val="auto"/>
                <w:vertAlign w:val="superscript"/>
              </w:rPr>
              <w:t>(1)</w:t>
            </w:r>
          </w:p>
        </w:tc>
        <w:tc>
          <w:tcPr>
            <w:tcW w:w="22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540" w:type="dxa"/>
            <w:vAlign w:val="bottom"/>
          </w:tcPr>
          <w:p>
            <w:pPr>
              <w:spacing w:after="0"/>
              <w:rPr>
                <w:sz w:val="15"/>
                <w:szCs w:val="15"/>
                <w:color w:val="auto"/>
              </w:rPr>
            </w:pPr>
          </w:p>
        </w:tc>
        <w:tc>
          <w:tcPr>
            <w:tcW w:w="190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Paid-In</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gridSpan w:val="4"/>
          </w:tcPr>
          <w:p>
            <w:pPr>
              <w:ind w:left="10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4"/>
          </w:tcPr>
          <w:p>
            <w:pPr>
              <w:ind w:left="10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48"/>
              <w:spacing w:after="0" w:line="236" w:lineRule="exact"/>
              <w:rPr>
                <w:sz w:val="20"/>
                <w:szCs w:val="20"/>
                <w:color w:val="auto"/>
              </w:rPr>
            </w:pPr>
            <w:r>
              <w:rPr>
                <w:rFonts w:ascii="Arial" w:cs="Arial" w:eastAsia="Arial" w:hAnsi="Arial"/>
                <w:sz w:val="14"/>
                <w:szCs w:val="14"/>
                <w:b w:val="1"/>
                <w:bCs w:val="1"/>
                <w:color w:val="auto"/>
                <w:w w:val="93"/>
              </w:rPr>
              <w:t>Capital</w:t>
            </w:r>
            <w:r>
              <w:rPr>
                <w:rFonts w:ascii="Arial" w:cs="Arial" w:eastAsia="Arial" w:hAnsi="Arial"/>
                <w:sz w:val="24"/>
                <w:szCs w:val="24"/>
                <w:b w:val="1"/>
                <w:bCs w:val="1"/>
                <w:color w:val="auto"/>
                <w:w w:val="93"/>
                <w:vertAlign w:val="superscript"/>
              </w:rPr>
              <w:t>(1)</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Gain (Loss)</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54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2019</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66,886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526,771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(196,144)</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330,719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54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540" w:type="dxa"/>
            <w:vAlign w:val="bottom"/>
          </w:tcPr>
          <w:p>
            <w:pPr>
              <w:ind w:left="380"/>
              <w:spacing w:after="0" w:line="157" w:lineRule="exact"/>
              <w:rPr>
                <w:sz w:val="20"/>
                <w:szCs w:val="20"/>
                <w:color w:val="auto"/>
              </w:rPr>
            </w:pPr>
            <w:r>
              <w:rPr>
                <w:rFonts w:ascii="Arial" w:cs="Arial" w:eastAsia="Arial" w:hAnsi="Arial"/>
                <w:sz w:val="14"/>
                <w:szCs w:val="14"/>
                <w:color w:val="auto"/>
              </w:rPr>
              <w:t>exercise of stock options</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984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3,590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3,591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Vesting of common stock from</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54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early exercises</w:t>
            </w:r>
          </w:p>
        </w:tc>
        <w:tc>
          <w:tcPr>
            <w:tcW w:w="8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21</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162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162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unrealized loss on</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54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available-for-sale securities</w:t>
            </w:r>
          </w:p>
        </w:tc>
        <w:tc>
          <w:tcPr>
            <w:tcW w:w="106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(80)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76"/>
        </w:trPr>
        <w:tc>
          <w:tcPr>
            <w:tcW w:w="45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(19,115)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(19,115)</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4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2020</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67,891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534,218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(55)</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(215,259)</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318,972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00" w:right="60" w:hanging="392"/>
        <w:spacing w:after="0" w:line="247" w:lineRule="auto"/>
        <w:tabs>
          <w:tab w:leader="none" w:pos="4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April 2019, the Company completed its initial public offering (“IPO”) and concurrent private placement with Merck Sharp &amp; Dohme Corp. (“Merck”), in which the Company issued an aggregate of 7,521,394 and 4,121,683 shares of common stock, respectively, for net proceeds of $107.8 million and $65.9 million, respectively. Upon the closing of the IPO, all of the then outstanding shares of convertible preferred stock were automatically converted into shares of common stock and its related carrying amount of $295.1 million was reclassified to common stock and additional paid-in-capital.</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CONVERTIBLE PREFERRED STOCK</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STOCKHOLDERS’ DEFICIT</w:t>
      </w:r>
    </w:p>
    <w:p>
      <w:pPr>
        <w:jc w:val="center"/>
        <w:ind w:right="-79"/>
        <w:spacing w:after="0" w:line="234" w:lineRule="auto"/>
        <w:rPr>
          <w:sz w:val="20"/>
          <w:szCs w:val="20"/>
          <w:color w:val="auto"/>
        </w:rPr>
      </w:pPr>
      <w:r>
        <w:rPr>
          <w:rFonts w:ascii="Arial" w:cs="Arial" w:eastAsia="Arial" w:hAnsi="Arial"/>
          <w:sz w:val="18"/>
          <w:szCs w:val="18"/>
          <w:i w:val="1"/>
          <w:iCs w:val="1"/>
          <w:color w:val="auto"/>
        </w:rPr>
        <w:t>(Unaudited)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322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32283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p>
      <w:pPr>
        <w:spacing w:after="0" w:line="240" w:lineRule="exact"/>
        <w:rPr>
          <w:sz w:val="20"/>
          <w:szCs w:val="20"/>
          <w:color w:val="auto"/>
        </w:rPr>
      </w:pPr>
    </w:p>
    <w:p>
      <w:pPr>
        <w:jc w:val="center"/>
        <w:ind w:left="3300"/>
        <w:spacing w:after="0"/>
        <w:rPr>
          <w:sz w:val="20"/>
          <w:szCs w:val="20"/>
          <w:color w:val="auto"/>
        </w:rPr>
      </w:pPr>
      <w:r>
        <w:rPr>
          <w:rFonts w:ascii="Arial" w:cs="Arial" w:eastAsia="Arial" w:hAnsi="Arial"/>
          <w:sz w:val="14"/>
          <w:szCs w:val="14"/>
          <w:b w:val="1"/>
          <w:bCs w:val="1"/>
          <w:color w:val="auto"/>
        </w:rPr>
        <w:t>Convertible</w:t>
      </w:r>
    </w:p>
    <w:p>
      <w:pPr>
        <w:spacing w:after="0" w:line="15" w:lineRule="exact"/>
        <w:rPr>
          <w:sz w:val="20"/>
          <w:szCs w:val="20"/>
          <w:color w:val="auto"/>
        </w:rPr>
      </w:pPr>
    </w:p>
    <w:p>
      <w:pPr>
        <w:jc w:val="center"/>
        <w:ind w:left="3300"/>
        <w:spacing w:after="0"/>
        <w:rPr>
          <w:sz w:val="20"/>
          <w:szCs w:val="20"/>
          <w:color w:val="auto"/>
        </w:rPr>
      </w:pPr>
      <w:r>
        <w:rPr>
          <w:rFonts w:ascii="Arial" w:cs="Arial" w:eastAsia="Arial" w:hAnsi="Arial"/>
          <w:sz w:val="14"/>
          <w:szCs w:val="14"/>
          <w:b w:val="1"/>
          <w:bCs w:val="1"/>
          <w:color w:val="auto"/>
        </w:rPr>
        <w:t>Preferred Stock</w:t>
      </w:r>
    </w:p>
    <w:tbl>
      <w:tblPr>
        <w:tblLayout w:type="fixed"/>
        <w:tblInd w:w="0" w:type="dxa"/>
        <w:tblCellMar>
          <w:top w:w="0" w:type="dxa"/>
          <w:left w:w="0" w:type="dxa"/>
          <w:bottom w:w="0" w:type="dxa"/>
          <w:right w:w="0" w:type="dxa"/>
        </w:tblCellMar>
      </w:tblPr>
      <w:tr>
        <w:trPr>
          <w:trHeight w:val="169"/>
        </w:trPr>
        <w:tc>
          <w:tcPr>
            <w:tcW w:w="3320" w:type="dxa"/>
            <w:vAlign w:val="bottom"/>
          </w:tcPr>
          <w:p>
            <w:pPr>
              <w:spacing w:after="0"/>
              <w:rPr>
                <w:sz w:val="14"/>
                <w:szCs w:val="14"/>
                <w:color w:val="auto"/>
              </w:rPr>
            </w:pPr>
          </w:p>
        </w:tc>
        <w:tc>
          <w:tcPr>
            <w:tcW w:w="8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r>
      <w:tr>
        <w:trPr>
          <w:trHeight w:val="169"/>
        </w:trPr>
        <w:tc>
          <w:tcPr>
            <w:tcW w:w="3320" w:type="dxa"/>
            <w:vAlign w:val="bottom"/>
          </w:tcPr>
          <w:p>
            <w:pPr>
              <w:spacing w:after="0"/>
              <w:rPr>
                <w:sz w:val="20"/>
                <w:szCs w:val="20"/>
                <w:color w:val="auto"/>
              </w:rPr>
            </w:pPr>
            <w:r>
              <w:rPr>
                <w:rFonts w:ascii="Arial" w:cs="Arial" w:eastAsia="Arial" w:hAnsi="Arial"/>
                <w:sz w:val="14"/>
                <w:szCs w:val="14"/>
                <w:color w:val="auto"/>
              </w:rPr>
              <w:t>Balance at December 31, 2018</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47,267</w:t>
            </w:r>
          </w:p>
        </w:tc>
        <w:tc>
          <w:tcPr>
            <w:tcW w:w="2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$ 294,874</w:t>
            </w:r>
          </w:p>
        </w:tc>
      </w:tr>
      <w:tr>
        <w:trPr>
          <w:trHeight w:val="174"/>
        </w:trPr>
        <w:tc>
          <w:tcPr>
            <w:tcW w:w="3320" w:type="dxa"/>
            <w:vAlign w:val="bottom"/>
          </w:tcPr>
          <w:p>
            <w:pPr>
              <w:ind w:left="260"/>
              <w:spacing w:after="0"/>
              <w:rPr>
                <w:sz w:val="20"/>
                <w:szCs w:val="20"/>
                <w:color w:val="auto"/>
              </w:rPr>
            </w:pPr>
            <w:r>
              <w:rPr>
                <w:rFonts w:ascii="Arial" w:cs="Arial" w:eastAsia="Arial" w:hAnsi="Arial"/>
                <w:sz w:val="14"/>
                <w:szCs w:val="14"/>
                <w:color w:val="auto"/>
              </w:rPr>
              <w:t>Issuance of common stock</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2"/>
        </w:trPr>
        <w:tc>
          <w:tcPr>
            <w:tcW w:w="3320" w:type="dxa"/>
            <w:vAlign w:val="bottom"/>
          </w:tcPr>
          <w:p>
            <w:pPr>
              <w:ind w:left="380"/>
              <w:spacing w:after="0"/>
              <w:rPr>
                <w:sz w:val="20"/>
                <w:szCs w:val="20"/>
                <w:color w:val="auto"/>
              </w:rPr>
            </w:pPr>
            <w:r>
              <w:rPr>
                <w:rFonts w:ascii="Arial" w:cs="Arial" w:eastAsia="Arial" w:hAnsi="Arial"/>
                <w:sz w:val="14"/>
                <w:szCs w:val="14"/>
                <w:color w:val="auto"/>
              </w:rPr>
              <w:t>under 401(k) Plan</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332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3320" w:type="dxa"/>
            <w:vAlign w:val="bottom"/>
          </w:tcPr>
          <w:p>
            <w:pPr>
              <w:ind w:left="380"/>
              <w:spacing w:after="0"/>
              <w:rPr>
                <w:sz w:val="20"/>
                <w:szCs w:val="20"/>
                <w:color w:val="auto"/>
              </w:rPr>
            </w:pPr>
            <w:r>
              <w:rPr>
                <w:rFonts w:ascii="Arial" w:cs="Arial" w:eastAsia="Arial" w:hAnsi="Arial"/>
                <w:sz w:val="14"/>
                <w:szCs w:val="14"/>
                <w:color w:val="auto"/>
              </w:rPr>
              <w:t>exercise of stock options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3320" w:type="dxa"/>
            <w:vAlign w:val="bottom"/>
          </w:tcPr>
          <w:p>
            <w:pPr>
              <w:ind w:left="260"/>
              <w:spacing w:after="0"/>
              <w:rPr>
                <w:sz w:val="20"/>
                <w:szCs w:val="20"/>
                <w:color w:val="auto"/>
              </w:rPr>
            </w:pPr>
            <w:r>
              <w:rPr>
                <w:rFonts w:ascii="Arial" w:cs="Arial" w:eastAsia="Arial" w:hAnsi="Arial"/>
                <w:sz w:val="14"/>
                <w:szCs w:val="14"/>
                <w:color w:val="auto"/>
              </w:rPr>
              <w:t>Vesting of common stock from</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3320" w:type="dxa"/>
            <w:vAlign w:val="bottom"/>
          </w:tcPr>
          <w:p>
            <w:pPr>
              <w:ind w:left="380"/>
              <w:spacing w:after="0"/>
              <w:rPr>
                <w:sz w:val="20"/>
                <w:szCs w:val="20"/>
                <w:color w:val="auto"/>
              </w:rPr>
            </w:pPr>
            <w:r>
              <w:rPr>
                <w:rFonts w:ascii="Arial" w:cs="Arial" w:eastAsia="Arial" w:hAnsi="Arial"/>
                <w:sz w:val="14"/>
                <w:szCs w:val="14"/>
                <w:color w:val="auto"/>
              </w:rPr>
              <w:t>early exercises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332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3320" w:type="dxa"/>
            <w:vAlign w:val="bottom"/>
          </w:tcPr>
          <w:p>
            <w:pPr>
              <w:ind w:left="380"/>
              <w:spacing w:after="0"/>
              <w:rPr>
                <w:sz w:val="20"/>
                <w:szCs w:val="20"/>
                <w:color w:val="auto"/>
              </w:rPr>
            </w:pPr>
            <w:r>
              <w:rPr>
                <w:rFonts w:ascii="Arial" w:cs="Arial" w:eastAsia="Arial" w:hAnsi="Arial"/>
                <w:sz w:val="14"/>
                <w:szCs w:val="14"/>
                <w:color w:val="auto"/>
              </w:rPr>
              <w:t>expense</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3320" w:type="dxa"/>
            <w:vAlign w:val="bottom"/>
          </w:tcPr>
          <w:p>
            <w:pPr>
              <w:ind w:left="260"/>
              <w:spacing w:after="0"/>
              <w:rPr>
                <w:sz w:val="20"/>
                <w:szCs w:val="20"/>
                <w:color w:val="auto"/>
              </w:rPr>
            </w:pPr>
            <w:r>
              <w:rPr>
                <w:rFonts w:ascii="Arial" w:cs="Arial" w:eastAsia="Arial" w:hAnsi="Arial"/>
                <w:sz w:val="14"/>
                <w:szCs w:val="14"/>
                <w:color w:val="auto"/>
              </w:rPr>
              <w:t>Changes in unrealized gain on</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3320" w:type="dxa"/>
            <w:vAlign w:val="bottom"/>
          </w:tcPr>
          <w:p>
            <w:pPr>
              <w:ind w:left="380"/>
              <w:spacing w:after="0"/>
              <w:rPr>
                <w:sz w:val="20"/>
                <w:szCs w:val="20"/>
                <w:color w:val="auto"/>
              </w:rPr>
            </w:pPr>
            <w:r>
              <w:rPr>
                <w:rFonts w:ascii="Arial" w:cs="Arial" w:eastAsia="Arial" w:hAnsi="Arial"/>
                <w:sz w:val="14"/>
                <w:szCs w:val="14"/>
                <w:color w:val="auto"/>
              </w:rPr>
              <w:t>available-for-sale securities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3320" w:type="dxa"/>
            <w:vAlign w:val="bottom"/>
          </w:tcPr>
          <w:p>
            <w:pPr>
              <w:ind w:left="260"/>
              <w:spacing w:after="0"/>
              <w:rPr>
                <w:sz w:val="20"/>
                <w:szCs w:val="20"/>
                <w:color w:val="auto"/>
              </w:rPr>
            </w:pPr>
            <w:r>
              <w:rPr>
                <w:rFonts w:ascii="Arial" w:cs="Arial" w:eastAsia="Arial" w:hAnsi="Arial"/>
                <w:sz w:val="14"/>
                <w:szCs w:val="14"/>
                <w:color w:val="auto"/>
              </w:rPr>
              <w:t>Net exercise of preferred stock</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3320" w:type="dxa"/>
            <w:vAlign w:val="bottom"/>
          </w:tcPr>
          <w:p>
            <w:pPr>
              <w:ind w:left="380"/>
              <w:spacing w:after="0"/>
              <w:rPr>
                <w:sz w:val="20"/>
                <w:szCs w:val="20"/>
                <w:color w:val="auto"/>
              </w:rPr>
            </w:pPr>
            <w:r>
              <w:rPr>
                <w:rFonts w:ascii="Arial" w:cs="Arial" w:eastAsia="Arial" w:hAnsi="Arial"/>
                <w:sz w:val="14"/>
                <w:szCs w:val="14"/>
                <w:color w:val="auto"/>
              </w:rPr>
              <w:t>warrant to Series A preferred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3320" w:type="dxa"/>
            <w:vAlign w:val="bottom"/>
          </w:tcPr>
          <w:p>
            <w:pPr>
              <w:ind w:left="380"/>
              <w:spacing w:after="0"/>
              <w:rPr>
                <w:sz w:val="20"/>
                <w:szCs w:val="20"/>
                <w:color w:val="auto"/>
              </w:rPr>
            </w:pPr>
            <w:r>
              <w:rPr>
                <w:rFonts w:ascii="Arial" w:cs="Arial" w:eastAsia="Arial" w:hAnsi="Arial"/>
                <w:sz w:val="14"/>
                <w:szCs w:val="14"/>
                <w:color w:val="auto"/>
              </w:rPr>
              <w:t>stock</w:t>
            </w: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165"/>
        </w:trPr>
        <w:tc>
          <w:tcPr>
            <w:tcW w:w="3320" w:type="dxa"/>
            <w:vAlign w:val="bottom"/>
          </w:tcPr>
          <w:p>
            <w:pPr>
              <w:ind w:left="260"/>
              <w:spacing w:after="0"/>
              <w:rPr>
                <w:sz w:val="20"/>
                <w:szCs w:val="20"/>
                <w:color w:val="auto"/>
              </w:rPr>
            </w:pPr>
            <w:r>
              <w:rPr>
                <w:rFonts w:ascii="Arial" w:cs="Arial" w:eastAsia="Arial" w:hAnsi="Arial"/>
                <w:sz w:val="14"/>
                <w:szCs w:val="14"/>
                <w:color w:val="auto"/>
              </w:rPr>
              <w:t>Cumulative effect adjustment</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3320" w:type="dxa"/>
            <w:vAlign w:val="bottom"/>
          </w:tcPr>
          <w:p>
            <w:pPr>
              <w:ind w:left="380"/>
              <w:spacing w:after="0"/>
              <w:rPr>
                <w:sz w:val="20"/>
                <w:szCs w:val="20"/>
                <w:color w:val="auto"/>
              </w:rPr>
            </w:pPr>
            <w:r>
              <w:rPr>
                <w:rFonts w:ascii="Arial" w:cs="Arial" w:eastAsia="Arial" w:hAnsi="Arial"/>
                <w:sz w:val="14"/>
                <w:szCs w:val="14"/>
                <w:color w:val="auto"/>
              </w:rPr>
              <w:t>upon adoption of ASU 2014-09</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33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3320" w:type="dxa"/>
            <w:vAlign w:val="bottom"/>
          </w:tcPr>
          <w:p>
            <w:pPr>
              <w:spacing w:after="0"/>
              <w:rPr>
                <w:sz w:val="20"/>
                <w:szCs w:val="20"/>
                <w:color w:val="auto"/>
              </w:rPr>
            </w:pPr>
            <w:r>
              <w:rPr>
                <w:rFonts w:ascii="Arial" w:cs="Arial" w:eastAsia="Arial" w:hAnsi="Arial"/>
                <w:sz w:val="14"/>
                <w:szCs w:val="14"/>
                <w:color w:val="auto"/>
              </w:rPr>
              <w:t>Balance at March 31, 2019</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47,283</w:t>
            </w:r>
          </w:p>
        </w:tc>
        <w:tc>
          <w:tcPr>
            <w:tcW w:w="2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$ 295,072</w:t>
            </w:r>
          </w:p>
        </w:tc>
      </w:tr>
      <w:tr>
        <w:trPr>
          <w:trHeight w:val="20"/>
        </w:trPr>
        <w:tc>
          <w:tcPr>
            <w:tcW w:w="3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75"/>
        </w:trPr>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20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Gain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r>
      <w:tr>
        <w:trPr>
          <w:trHeight w:val="169"/>
        </w:trPr>
        <w:tc>
          <w:tcPr>
            <w:tcW w:w="640" w:type="dxa"/>
            <w:vAlign w:val="bottom"/>
          </w:tcPr>
          <w:p>
            <w:pPr>
              <w:jc w:val="right"/>
              <w:spacing w:after="0"/>
              <w:rPr>
                <w:sz w:val="20"/>
                <w:szCs w:val="20"/>
                <w:color w:val="auto"/>
              </w:rPr>
            </w:pPr>
            <w:r>
              <w:rPr>
                <w:rFonts w:ascii="Arial" w:cs="Arial" w:eastAsia="Arial" w:hAnsi="Arial"/>
                <w:sz w:val="14"/>
                <w:szCs w:val="14"/>
                <w:color w:val="auto"/>
              </w:rPr>
              <w:t>6,733</w:t>
            </w:r>
          </w:p>
        </w:tc>
        <w:tc>
          <w:tcPr>
            <w:tcW w:w="200" w:type="dxa"/>
            <w:vAlign w:val="bottom"/>
          </w:tcPr>
          <w:p>
            <w:pPr>
              <w:spacing w:after="0"/>
              <w:rPr>
                <w:sz w:val="14"/>
                <w:szCs w:val="14"/>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39,258</w:t>
            </w:r>
          </w:p>
        </w:tc>
        <w:tc>
          <w:tcPr>
            <w:tcW w:w="2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(267)</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(147,193)</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(108,195)</w:t>
            </w:r>
          </w:p>
        </w:tc>
      </w:tr>
      <w:tr>
        <w:trPr>
          <w:trHeight w:val="346"/>
        </w:trPr>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40" w:type="dxa"/>
            <w:vAlign w:val="bottom"/>
          </w:tcPr>
          <w:p>
            <w:pPr>
              <w:spacing w:after="0"/>
              <w:rPr>
                <w:sz w:val="24"/>
                <w:szCs w:val="24"/>
                <w:color w:val="auto"/>
              </w:rPr>
            </w:pPr>
          </w:p>
        </w:tc>
      </w:tr>
      <w:tr>
        <w:trPr>
          <w:trHeight w:val="338"/>
        </w:trPr>
        <w:tc>
          <w:tcPr>
            <w:tcW w:w="640" w:type="dxa"/>
            <w:vAlign w:val="bottom"/>
          </w:tcPr>
          <w:p>
            <w:pPr>
              <w:jc w:val="right"/>
              <w:spacing w:after="0"/>
              <w:rPr>
                <w:sz w:val="20"/>
                <w:szCs w:val="20"/>
                <w:color w:val="auto"/>
              </w:rPr>
            </w:pPr>
            <w:r>
              <w:rPr>
                <w:rFonts w:ascii="Arial" w:cs="Arial" w:eastAsia="Arial" w:hAnsi="Arial"/>
                <w:sz w:val="14"/>
                <w:szCs w:val="14"/>
                <w:color w:val="auto"/>
              </w:rPr>
              <w:t>80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279</w:t>
            </w:r>
          </w:p>
        </w:tc>
        <w:tc>
          <w:tcPr>
            <w:tcW w:w="40" w:type="dxa"/>
            <w:vAlign w:val="bottom"/>
          </w:tcPr>
          <w:p>
            <w:pPr>
              <w:spacing w:after="0"/>
              <w:rPr>
                <w:sz w:val="24"/>
                <w:szCs w:val="24"/>
                <w:color w:val="auto"/>
              </w:rPr>
            </w:pPr>
          </w:p>
        </w:tc>
      </w:tr>
      <w:tr>
        <w:trPr>
          <w:trHeight w:val="338"/>
        </w:trPr>
        <w:tc>
          <w:tcPr>
            <w:tcW w:w="640" w:type="dxa"/>
            <w:vAlign w:val="bottom"/>
          </w:tcPr>
          <w:p>
            <w:pPr>
              <w:jc w:val="right"/>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237</w:t>
            </w:r>
          </w:p>
        </w:tc>
        <w:tc>
          <w:tcPr>
            <w:tcW w:w="40" w:type="dxa"/>
            <w:vAlign w:val="bottom"/>
          </w:tcPr>
          <w:p>
            <w:pPr>
              <w:spacing w:after="0"/>
              <w:rPr>
                <w:sz w:val="24"/>
                <w:szCs w:val="24"/>
                <w:color w:val="auto"/>
              </w:rPr>
            </w:pPr>
          </w:p>
        </w:tc>
      </w:tr>
      <w:tr>
        <w:trPr>
          <w:trHeight w:val="338"/>
        </w:trPr>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2,605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2,605</w:t>
            </w:r>
          </w:p>
        </w:tc>
        <w:tc>
          <w:tcPr>
            <w:tcW w:w="40" w:type="dxa"/>
            <w:vAlign w:val="bottom"/>
          </w:tcPr>
          <w:p>
            <w:pPr>
              <w:spacing w:after="0"/>
              <w:rPr>
                <w:sz w:val="24"/>
                <w:szCs w:val="24"/>
                <w:color w:val="auto"/>
              </w:rPr>
            </w:pPr>
          </w:p>
        </w:tc>
      </w:tr>
      <w:tr>
        <w:trPr>
          <w:trHeight w:val="338"/>
        </w:trPr>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222</w:t>
            </w:r>
          </w:p>
        </w:tc>
        <w:tc>
          <w:tcPr>
            <w:tcW w:w="40" w:type="dxa"/>
            <w:vAlign w:val="bottom"/>
          </w:tcPr>
          <w:p>
            <w:pPr>
              <w:spacing w:after="0"/>
              <w:rPr>
                <w:sz w:val="24"/>
                <w:szCs w:val="24"/>
                <w:color w:val="auto"/>
              </w:rPr>
            </w:pPr>
          </w:p>
        </w:tc>
      </w:tr>
      <w:tr>
        <w:trPr>
          <w:trHeight w:val="500"/>
        </w:trPr>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337"/>
        </w:trPr>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(6,156)</w:t>
            </w:r>
          </w:p>
        </w:tc>
        <w:tc>
          <w:tcPr>
            <w:tcW w:w="1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(6,156)</w:t>
            </w:r>
          </w:p>
        </w:tc>
      </w:tr>
      <w:tr>
        <w:trPr>
          <w:trHeight w:val="161"/>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(8,268)</w:t>
            </w:r>
          </w:p>
        </w:tc>
        <w:tc>
          <w:tcPr>
            <w:tcW w:w="1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(8,268)</w:t>
            </w:r>
          </w:p>
        </w:tc>
      </w:tr>
      <w:tr>
        <w:trPr>
          <w:trHeight w:val="20"/>
        </w:trPr>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640" w:type="dxa"/>
            <w:vAlign w:val="bottom"/>
          </w:tcPr>
          <w:p>
            <w:pPr>
              <w:jc w:val="right"/>
              <w:spacing w:after="0"/>
              <w:rPr>
                <w:sz w:val="20"/>
                <w:szCs w:val="20"/>
                <w:color w:val="auto"/>
              </w:rPr>
            </w:pPr>
            <w:r>
              <w:rPr>
                <w:rFonts w:ascii="Arial" w:cs="Arial" w:eastAsia="Arial" w:hAnsi="Arial"/>
                <w:sz w:val="14"/>
                <w:szCs w:val="14"/>
                <w:color w:val="auto"/>
              </w:rPr>
              <w:t>6,855</w:t>
            </w:r>
          </w:p>
        </w:tc>
        <w:tc>
          <w:tcPr>
            <w:tcW w:w="200" w:type="dxa"/>
            <w:vAlign w:val="bottom"/>
          </w:tcPr>
          <w:p>
            <w:pPr>
              <w:spacing w:after="0"/>
              <w:rPr>
                <w:sz w:val="14"/>
                <w:szCs w:val="14"/>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42,477</w:t>
            </w:r>
          </w:p>
        </w:tc>
        <w:tc>
          <w:tcPr>
            <w:tcW w:w="2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(45)</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(161,617)</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(119,178)</w:t>
            </w:r>
          </w:p>
        </w:tc>
      </w:tr>
      <w:tr>
        <w:trPr>
          <w:trHeight w:val="20"/>
        </w:trPr>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60" w:space="300"/>
            <w:col w:w="6020"/>
          </w:cols>
          <w:pgMar w:left="320" w:top="118" w:right="399" w:bottom="1440" w:gutter="0" w:footer="0" w:header="0"/>
          <w:type w:val="continuous"/>
        </w:sectPr>
      </w:pP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See accompanying notes to unaudited condensed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00" w:type="dxa"/>
            <w:vAlign w:val="bottom"/>
          </w:tcPr>
          <w:p>
            <w:pPr>
              <w:spacing w:after="0"/>
              <w:rPr>
                <w:sz w:val="19"/>
                <w:szCs w:val="19"/>
                <w:color w:val="auto"/>
              </w:rPr>
            </w:pPr>
          </w:p>
        </w:tc>
        <w:tc>
          <w:tcPr>
            <w:tcW w:w="3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Three Months Ended March 31,</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(19,115)</w:t>
            </w:r>
          </w:p>
        </w:tc>
        <w:tc>
          <w:tcPr>
            <w:tcW w:w="132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(8,268)</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discount on marketable securities</w:t>
            </w:r>
          </w:p>
        </w:tc>
        <w:tc>
          <w:tcPr>
            <w:tcW w:w="1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non-cash expenses</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Related party receivable from collaboration</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(5,343)</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710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w:t>
            </w:r>
          </w:p>
        </w:tc>
        <w:tc>
          <w:tcPr>
            <w:tcW w:w="1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710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(4,872)</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0"/>
        </w:trPr>
        <w:tc>
          <w:tcPr>
            <w:tcW w:w="71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(19,110)</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(12,100)</w:t>
            </w:r>
          </w:p>
        </w:tc>
        <w:tc>
          <w:tcPr>
            <w:tcW w:w="0" w:type="dxa"/>
            <w:vAlign w:val="bottom"/>
          </w:tcPr>
          <w:p>
            <w:pPr>
              <w:spacing w:after="0"/>
              <w:rPr>
                <w:sz w:val="1"/>
                <w:szCs w:val="1"/>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marketable securities</w:t>
            </w:r>
          </w:p>
        </w:tc>
        <w:tc>
          <w:tcPr>
            <w:tcW w:w="1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(29,399)</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(72,734)</w:t>
            </w:r>
          </w:p>
        </w:tc>
        <w:tc>
          <w:tcPr>
            <w:tcW w:w="0" w:type="dxa"/>
            <w:vAlign w:val="bottom"/>
          </w:tcPr>
          <w:p>
            <w:pPr>
              <w:spacing w:after="0"/>
              <w:rPr>
                <w:sz w:val="1"/>
                <w:szCs w:val="1"/>
                <w:color w:val="auto"/>
              </w:rPr>
            </w:pP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Proceeds from sales and maturities of marketable securities</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56,837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w:t>
            </w:r>
          </w:p>
        </w:tc>
        <w:tc>
          <w:tcPr>
            <w:tcW w:w="1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09"/>
        </w:trPr>
        <w:tc>
          <w:tcPr>
            <w:tcW w:w="71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1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26,873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upon exercise</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400"/>
              <w:spacing w:after="0" w:line="203" w:lineRule="exact"/>
              <w:rPr>
                <w:sz w:val="20"/>
                <w:szCs w:val="20"/>
                <w:color w:val="auto"/>
              </w:rPr>
            </w:pPr>
            <w:r>
              <w:rPr>
                <w:rFonts w:ascii="Arial" w:cs="Arial" w:eastAsia="Arial" w:hAnsi="Arial"/>
                <w:sz w:val="18"/>
                <w:szCs w:val="18"/>
                <w:color w:val="auto"/>
              </w:rPr>
              <w:t>of stock options</w:t>
            </w:r>
          </w:p>
        </w:tc>
        <w:tc>
          <w:tcPr>
            <w:tcW w:w="1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3,591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252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deferred financing costs</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1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(9,610)</w:t>
            </w:r>
          </w:p>
        </w:tc>
        <w:tc>
          <w:tcPr>
            <w:tcW w:w="0" w:type="dxa"/>
            <w:vAlign w:val="bottom"/>
          </w:tcPr>
          <w:p>
            <w:pPr>
              <w:spacing w:after="0"/>
              <w:rPr>
                <w:sz w:val="1"/>
                <w:szCs w:val="1"/>
                <w:color w:val="auto"/>
              </w:rPr>
            </w:pPr>
          </w:p>
        </w:tc>
      </w:tr>
      <w:tr>
        <w:trPr>
          <w:trHeight w:val="215"/>
        </w:trPr>
        <w:tc>
          <w:tcPr>
            <w:tcW w:w="71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tcBorders>
              <w:bottom w:val="single" w:sz="8" w:color="CFF0FC"/>
            </w:tcBorders>
          </w:tcPr>
          <w:p>
            <w:pPr>
              <w:ind w:left="160"/>
              <w:spacing w:after="0" w:line="203" w:lineRule="exact"/>
              <w:rPr>
                <w:sz w:val="20"/>
                <w:szCs w:val="20"/>
                <w:color w:val="auto"/>
              </w:rPr>
            </w:pPr>
            <w:r>
              <w:rPr>
                <w:rFonts w:ascii="Arial" w:cs="Arial" w:eastAsia="Arial" w:hAnsi="Arial"/>
                <w:sz w:val="18"/>
                <w:szCs w:val="18"/>
                <w:color w:val="auto"/>
              </w:rPr>
              <w:t>period</w:t>
            </w:r>
          </w:p>
        </w:tc>
        <w:tc>
          <w:tcPr>
            <w:tcW w:w="1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247,472</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59,172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18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258,826</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exercise of convertible preferred stock warrant to Series</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 preferred stock</w:t>
            </w:r>
          </w:p>
        </w:tc>
        <w:tc>
          <w:tcPr>
            <w:tcW w:w="1180" w:type="dxa"/>
            <w:vAlign w:val="bottom"/>
            <w:shd w:val="clear" w:color="auto" w:fill="CFF0FC"/>
          </w:tcPr>
          <w:p>
            <w:pPr>
              <w:jc w:val="right"/>
              <w:ind w:right="99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100"/>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Vesting of common stock from early exercises</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property and equipment purchases accrued but</w:t>
            </w: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not yet paid</w:t>
            </w:r>
          </w:p>
        </w:tc>
        <w:tc>
          <w:tcPr>
            <w:tcW w:w="1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Deferred IPO costs accrued but not yet paid</w:t>
            </w:r>
          </w:p>
        </w:tc>
        <w:tc>
          <w:tcPr>
            <w:tcW w:w="1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CONDSENSED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NGM Biopharmaceuticals, Inc. and its wholly-owned subsidiary (collectively, referred to as the “Company”) is a biopharmaceutical company focused on developing novel therapeutics based on our scientific understanding of key biological pathways underlying cardio-metabolic, liver, oncologic and ophthalmic diseases. The Company’s current most advanced portfolio is composed of six proprietary product candidates (aldafermin (NGM282), NGM313, NGM120, NGM217, NGM621 and NGM395) focused on non-alcoholic steatohepatitis (“NASH”), diabetes, oncology, age-related macular degeneration (“AMD”) and metabolic disease.</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was incorporated in Delaware in December 2007 and commenced operations in 2008. Its headquarters are located at 333 Oyster Point Blvd., South San Francisco, California 94080.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of America (“U.S. GAAP”) and Regulation S-X for interim consolidated financial information. These unaudited condensed consolidated financial statements should be read in conjunction with the audited consolidated financial statements and notes for the year ended December 31, 2019 included in the Company’s Annual Report on Form 10-K for the year ended December 31, 2019 filed with the U.S. Securities and Exchange Commission (“SEC”) on March 17, 2020 (the “Annual Report”). These unaudited condensed consolidated financial statements reflect all adjustments that management believes are necessary for a fair presentation of the periods presented. All such adjustments are of a normal recurring nature and are not necessarily indicative of results expected for the full fiscal year or for any subsequent interim period.</w:t>
      </w:r>
    </w:p>
    <w:p>
      <w:pPr>
        <w:spacing w:after="0" w:line="20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These unaudited condensed consolidated financial statements include the consolidated accounts of the Company and its wholly-owned foreign subsidiary in Australia. All intercompany balances and transactions have been eliminated upon consolidation.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the valuation of common stock and the associated stock-based compensation expense, contract manufacturing accruals, clinical trial accruals and revenue recognition in accordance with Accounting Standards Codification 606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Need for Additional Capital</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Since inception, the Company has incurred net losses and negative cash flow from operations. During the three months ended March 31, 2020 and 2019, the Company incurred net losses of $19.1 million and $ 8.3 million, respectively. As of March 31, 2020, the Company had an accumulated deficit of $215.3 million and does not expect to experience positive cash flows from operations in the near future. The Company had $328.5 million of cash, cash equivalents and marketable securities as of March 31, 2020, and therefore the Company expects that its cash and cash equivalents and marketable securities will be sufficient to fund its operations for a period of at least one year from the date these unaudited condensed consolidated financial statements are available for issuance. To fully implement the Company’s business plan and fund its operations, the Company will need to raise additional capital through the issuance of equity securities or debt financings, collaborations, strategic alliances and licensing arrangements, government or other third-party funding or a combination of these.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carrying amounts of cash and cash equivalents, receivables from collaborations, the related party receivables from collaboration and other current assets and liabilities approximate their respective fair values because of the short-term nature of those instruments. Fair value accounting is applied to the convertible preferred stock warrant liabilities that are recorded at their estimated fair value in the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and cash equivalents are stated at fair value. Cash equivalents are securities with an original maturity of three months or less at the time of purchase. The Company limits its credit risk associated with cash and cash equivalents by placing its investments with a bank it believes is highly creditworthy and with highly rated money market funds. As of March 31, 2020 and December 31, 2019, cash and cash equivalents consisted of bank deposits and investments in money market funds.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appropriate classification of the Company’s marketable securities is determined at the time of purchase and such designations are re-evaluated at each balance sheet date. All of the Company’s securities are considered as available-for-sale and carried at estimated fair values and reported in cash equivalents, short-term marketable securities or long-term marketable securities. Unrealized gains and losses on available-for-sale securities are excluded from net loss and reported in accumulated other comprehensive loss as a separate component of stockholders’ equity.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investments are regularly reviewed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 As of March 31, 2020, the Company did not record any impairment related to other-than-temporary declines in the fair value of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34"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 xml:space="preserve">The Company’s restricted cash represents collateral in connection with the lease on the Company’s headquarters entered into in 2015 and is classified as a non-current asset on the condensed consolidated balance sheets as the collateral will not be returned to the Company in less than 12 months </w:t>
      </w:r>
      <w:r>
        <w:rPr>
          <w:rFonts w:ascii="Arial" w:cs="Arial" w:eastAsia="Arial" w:hAnsi="Arial"/>
          <w:sz w:val="18"/>
          <w:szCs w:val="18"/>
          <w:i w:val="1"/>
          <w:iCs w:val="1"/>
          <w:color w:val="auto"/>
        </w:rPr>
        <w:t>(Note 6)</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234"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Cash and cash equivalents and marketable securities from the Company’s available-for-sale and marketable security portfolio potentially subject the Company to concentrations of credit risk. The Company is invested in money market funds and marketable securities through custodial relationships with major U.S. and Australian banks. Under its investment policy, the Company limits amounts invested in such securities by credit rating, maturity, industry group, investment type and issuer, except for securities issued by the U.S. government.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 w:name="page11"/>
    <w:bookmarkEnd w:id="10"/>
    <w:p>
      <w:pPr>
        <w:ind w:right="460"/>
        <w:spacing w:after="0" w:line="250" w:lineRule="auto"/>
        <w:rPr>
          <w:sz w:val="20"/>
          <w:szCs w:val="20"/>
          <w:color w:val="auto"/>
        </w:rPr>
      </w:pPr>
      <w:r>
        <w:rPr>
          <w:rFonts w:ascii="Arial" w:cs="Arial" w:eastAsia="Arial" w:hAnsi="Arial"/>
          <w:sz w:val="18"/>
          <w:szCs w:val="18"/>
          <w:color w:val="auto"/>
        </w:rPr>
        <w:t xml:space="preserve">Related party receivables from collaborations </w:t>
      </w:r>
      <w:r>
        <w:rPr>
          <w:rFonts w:ascii="Arial" w:cs="Arial" w:eastAsia="Arial" w:hAnsi="Arial"/>
          <w:sz w:val="18"/>
          <w:szCs w:val="18"/>
          <w:i w:val="1"/>
          <w:iCs w:val="1"/>
          <w:color w:val="auto"/>
        </w:rPr>
        <w:t>(Note 5)</w:t>
      </w:r>
      <w:r>
        <w:rPr>
          <w:rFonts w:ascii="Arial" w:cs="Arial" w:eastAsia="Arial" w:hAnsi="Arial"/>
          <w:sz w:val="18"/>
          <w:szCs w:val="18"/>
          <w:color w:val="auto"/>
        </w:rPr>
        <w:t xml:space="preserve"> are typically unsecured. Accordingly, the Company may be exposed to credit risk generally associated with its current Collaboration Agreement with Merck (“Collaboration Agreement”) and any future collaboration agreements with other collaboration partners. To date, the Company has not experienced any losses related to these receivables.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Merck accounted for 100% of the Company’s revenue for the three months ended March 31, 2020 and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5780" w:type="dxa"/>
            <w:vAlign w:val="bottom"/>
            <w:shd w:val="clear" w:color="auto" w:fill="CFF0FC"/>
          </w:tcPr>
          <w:p>
            <w:pPr>
              <w:ind w:left="2180"/>
              <w:spacing w:after="0"/>
              <w:rPr>
                <w:sz w:val="20"/>
                <w:szCs w:val="20"/>
                <w:color w:val="auto"/>
              </w:rPr>
            </w:pPr>
            <w:r>
              <w:rPr>
                <w:rFonts w:ascii="Arial" w:cs="Arial" w:eastAsia="Arial" w:hAnsi="Arial"/>
                <w:sz w:val="18"/>
                <w:szCs w:val="18"/>
                <w:color w:val="auto"/>
              </w:rPr>
              <w:t>3 years</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5780" w:type="dxa"/>
            <w:vAlign w:val="bottom"/>
          </w:tcPr>
          <w:p>
            <w:pPr>
              <w:ind w:left="2180"/>
              <w:spacing w:after="0" w:line="202" w:lineRule="exact"/>
              <w:rPr>
                <w:sz w:val="20"/>
                <w:szCs w:val="20"/>
                <w:color w:val="auto"/>
              </w:rPr>
            </w:pPr>
            <w:r>
              <w:rPr>
                <w:rFonts w:ascii="Arial" w:cs="Arial" w:eastAsia="Arial" w:hAnsi="Arial"/>
                <w:sz w:val="18"/>
                <w:szCs w:val="18"/>
                <w:color w:val="auto"/>
              </w:rPr>
              <w:t>3 years</w:t>
            </w: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w:t>
            </w:r>
          </w:p>
        </w:tc>
        <w:tc>
          <w:tcPr>
            <w:tcW w:w="5780" w:type="dxa"/>
            <w:vAlign w:val="bottom"/>
            <w:shd w:val="clear" w:color="auto" w:fill="CFF0FC"/>
          </w:tcPr>
          <w:p>
            <w:pPr>
              <w:ind w:left="2180"/>
              <w:spacing w:after="0" w:line="202" w:lineRule="exact"/>
              <w:rPr>
                <w:sz w:val="20"/>
                <w:szCs w:val="20"/>
                <w:color w:val="auto"/>
              </w:rPr>
            </w:pPr>
            <w:r>
              <w:rPr>
                <w:rFonts w:ascii="Arial" w:cs="Arial" w:eastAsia="Arial" w:hAnsi="Arial"/>
                <w:sz w:val="18"/>
                <w:szCs w:val="18"/>
                <w:color w:val="auto"/>
              </w:rPr>
              <w:t>Shorter of life of asset or lease term</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lease agreements for its laboratory and office facilities are classified as operating leases. Rent expense is recognized on a straight-line basis over the term of the lease. Incentives granted under the Company’s facilities leases, including allowances to fund leasehold improvements and rent holidays, are capitalized and are recognized as reductions to rental expense on a straight-line basis over the term of the 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March 31, 2020 and December 31, 2019, no revision to the remaining useful lives or write-down of long-lived assets was required.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adopted Accounting Standard Update (“ASU”) 2014-09, Revenue from Contracts with Customers (Topic 606), and subsequent amendments, on January 1, 2019. ASC 606 requires an entity to recognize revenue upon the transfer of goods or services to customers in an amount that reflects the consideration to which the entity expects to be entitled in exchange for those goods or services. The Company applies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jc w:val="both"/>
        <w:spacing w:after="0" w:line="236" w:lineRule="auto"/>
        <w:rPr>
          <w:sz w:val="20"/>
          <w:szCs w:val="20"/>
          <w:color w:val="auto"/>
        </w:rPr>
      </w:pPr>
      <w:r>
        <w:rPr>
          <w:rFonts w:ascii="Arial" w:cs="Arial" w:eastAsia="Arial" w:hAnsi="Arial"/>
          <w:sz w:val="18"/>
          <w:szCs w:val="18"/>
          <w:color w:val="auto"/>
        </w:rPr>
        <w:t>All of the Company’s revenue to date has been generated from its collaboration agreements, primarily with Merck. The terms of these agreements generally require the Company to provide (i) license options for its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assesses whether the promises in its arrangements, including any options provided to the customer, are considered distinct performance obligations that should be accounted for separately. Judgment is required to determine whether the license to a compound is distinct from research and development services or participation in research or steering committees, as well as whether options create material rights in the contract.</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unconstrained variable consideration related to the performance of research and development services. The Company typically submits a budget for the research and development services to the customer in advance of performing the services. The transaction price is allocated to the identified performance obligations based on the standalone selling prices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regulatory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customer’s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 w:name="page13"/>
    <w:bookmarkEnd w:id="12"/>
    <w:p>
      <w:pPr>
        <w:jc w:val="both"/>
        <w:spacing w:after="0" w:line="238"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(“CROs”)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stock-based compensation programs include stock options and shares that will be issued under the Company’s 2019 Employee Stock Purchase Plan (the “ESPP”). Stock-based compensation to employees is valued on the grant date of each award using the Black-Scholes option-pricing model, and its estimated fair value is recognized over the period during which the employee is required to provide service in exchange for the award, which is generally the vesting period of each award. Stock-based compensation expense for non-employee stock-based awards is also measured based on the fair value on grant date with its estimated fair value recorded over the period for which the non-employee is required to provide service in exchange for the award. As non-cash stock-based compensation expense is based on awards ultimately expected to vest, it is reduced by an estimate for future forfeitures. Forfeitures are estimated at the time of grant and revised, if necessary, in subsequent periods if actual forfeitures materially differ from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functional currency of NGM Biopharmaceuticals Australia Pty Ltd., a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net on the consolidated statements of operations.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Australian Dollars and the Euro. Payments on contracts denominated in foreign currencies are made at the spot rate on the day of payment. Changes in the exchange rate between billing dates and payment dates are recorded within other income (expense), net on the condensed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Comprehensive loss is comprised of net loss and certain changes in equity that are excluded from net loss. For the three months ended March 31, 2020 and 2019, the difference between comprehensive loss and net loss consisted of changes in net unrealized loss on marketable securities of $0.1 million and changes in net unrealized gain on marketable securities of $0.2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Basic net loss per share is calculated by dividing net loss by the weighted average number of shares outstanding during the period, less shares subject to repurchase and excludes any dilutive effects of stock-based awards and warrants. Diluted net loss per share is computed giving effect to all potentially dilutive shares, including common stock issuable upon exercise of stock options, and unvested restricted common stock and stock units. As the Company had net losses for the three months ended March 31, 2020 and 2019, all potential common shares were determined to be anti-dilutive.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76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8"/>
                <w:szCs w:val="18"/>
                <w:color w:val="auto"/>
              </w:rPr>
            </w:pPr>
          </w:p>
        </w:tc>
      </w:tr>
      <w:tr>
        <w:trPr>
          <w:trHeight w:val="21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56"/>
        </w:trPr>
        <w:tc>
          <w:tcPr>
            <w:tcW w:w="76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(19,115)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(8,268)</w:t>
            </w:r>
          </w:p>
        </w:tc>
      </w:tr>
      <w:tr>
        <w:trPr>
          <w:trHeight w:val="196"/>
        </w:trPr>
        <w:tc>
          <w:tcPr>
            <w:tcW w:w="76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r>
      <w:tr>
        <w:trPr>
          <w:trHeight w:val="213"/>
        </w:trPr>
        <w:tc>
          <w:tcPr>
            <w:tcW w:w="7620" w:type="dxa"/>
            <w:vAlign w:val="bottom"/>
          </w:tcPr>
          <w:p>
            <w:pPr>
              <w:ind w:left="260"/>
              <w:spacing w:after="0"/>
              <w:rPr>
                <w:sz w:val="20"/>
                <w:szCs w:val="20"/>
                <w:color w:val="auto"/>
              </w:rPr>
            </w:pPr>
            <w:r>
              <w:rPr>
                <w:rFonts w:ascii="Arial" w:cs="Arial" w:eastAsia="Arial" w:hAnsi="Arial"/>
                <w:sz w:val="18"/>
                <w:szCs w:val="18"/>
                <w:color w:val="auto"/>
              </w:rPr>
              <w:t>Weighted average number of shares used in</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46"/>
        </w:trPr>
        <w:tc>
          <w:tcPr>
            <w:tcW w:w="7620" w:type="dxa"/>
            <w:vAlign w:val="bottom"/>
            <w:tcBorders>
              <w:bottom w:val="single" w:sz="8" w:color="CFF0FC"/>
            </w:tcBorders>
          </w:tcPr>
          <w:p>
            <w:pPr>
              <w:ind w:left="260"/>
              <w:spacing w:after="0" w:line="206" w:lineRule="exact"/>
              <w:rPr>
                <w:sz w:val="20"/>
                <w:szCs w:val="20"/>
                <w:color w:val="auto"/>
              </w:rPr>
            </w:pPr>
            <w:r>
              <w:rPr>
                <w:rFonts w:ascii="Arial" w:cs="Arial" w:eastAsia="Arial" w:hAnsi="Arial"/>
                <w:sz w:val="18"/>
                <w:szCs w:val="18"/>
                <w:color w:val="auto"/>
              </w:rPr>
              <w:t>calculating net loss per share—basic and diluted</w:t>
            </w:r>
            <w:r>
              <w:rPr>
                <w:rFonts w:ascii="Arial" w:cs="Arial" w:eastAsia="Arial" w:hAnsi="Arial"/>
                <w:sz w:val="15"/>
                <w:szCs w:val="15"/>
                <w:color w:val="auto"/>
              </w:rPr>
              <w:t>(1)</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67,396,229</w:t>
            </w:r>
          </w:p>
        </w:tc>
        <w:tc>
          <w:tcPr>
            <w:tcW w:w="2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6,812,129</w:t>
            </w:r>
          </w:p>
        </w:tc>
        <w:tc>
          <w:tcPr>
            <w:tcW w:w="260" w:type="dxa"/>
            <w:vAlign w:val="bottom"/>
            <w:tcBorders>
              <w:bottom w:val="single" w:sz="8" w:color="CFF0FC"/>
            </w:tcBorders>
          </w:tcPr>
          <w:p>
            <w:pPr>
              <w:spacing w:after="0"/>
              <w:rPr>
                <w:sz w:val="21"/>
                <w:szCs w:val="21"/>
                <w:color w:val="auto"/>
              </w:rPr>
            </w:pPr>
          </w:p>
        </w:tc>
      </w:tr>
      <w:tr>
        <w:trPr>
          <w:trHeight w:val="196"/>
        </w:trPr>
        <w:tc>
          <w:tcPr>
            <w:tcW w:w="7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(0.28)</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(1.21)</w:t>
            </w:r>
          </w:p>
        </w:tc>
      </w:tr>
      <w:tr>
        <w:trPr>
          <w:trHeight w:val="20"/>
        </w:trPr>
        <w:tc>
          <w:tcPr>
            <w:tcW w:w="76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r>
    </w:tbl>
    <w:p>
      <w:pPr>
        <w:spacing w:after="0" w:line="221" w:lineRule="exact"/>
        <w:rPr>
          <w:sz w:val="20"/>
          <w:szCs w:val="20"/>
          <w:color w:val="auto"/>
        </w:rPr>
      </w:pPr>
    </w:p>
    <w:p>
      <w:pPr>
        <w:ind w:left="400" w:right="200" w:hanging="392"/>
        <w:spacing w:after="0" w:line="249" w:lineRule="auto"/>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April 2019, the Company completed its IPO and concurrent private placement with Merck, in which the Company issued an aggregate of 7,521,394 and 4,121,683 shares of common stock, respectively. All of the then outstanding shares of convertible preferred stock were automatically converted into shares of common stock upon the closing of the IPO.</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19"/>
                <w:szCs w:val="19"/>
                <w:color w:val="auto"/>
              </w:rPr>
            </w:pPr>
          </w:p>
        </w:tc>
        <w:tc>
          <w:tcPr>
            <w:tcW w:w="364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760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8"/>
                <w:szCs w:val="18"/>
                <w:color w:val="auto"/>
              </w:rPr>
            </w:pPr>
          </w:p>
        </w:tc>
      </w:tr>
      <w:tr>
        <w:trPr>
          <w:trHeight w:val="20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47,283,846</w:t>
            </w:r>
          </w:p>
        </w:tc>
        <w:tc>
          <w:tcPr>
            <w:tcW w:w="28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540" w:type="dxa"/>
            <w:vAlign w:val="bottom"/>
          </w:tcPr>
          <w:p>
            <w:pPr>
              <w:jc w:val="right"/>
              <w:spacing w:after="0"/>
              <w:rPr>
                <w:sz w:val="20"/>
                <w:szCs w:val="20"/>
                <w:color w:val="auto"/>
              </w:rPr>
            </w:pPr>
            <w:r>
              <w:rPr>
                <w:rFonts w:ascii="Arial" w:cs="Arial" w:eastAsia="Arial" w:hAnsi="Arial"/>
                <w:sz w:val="18"/>
                <w:szCs w:val="18"/>
                <w:color w:val="auto"/>
              </w:rPr>
              <w:t>10,824,034</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11,183,787</w:t>
            </w:r>
          </w:p>
        </w:tc>
        <w:tc>
          <w:tcPr>
            <w:tcW w:w="28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Shares committed under ESPP</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396,360</w:t>
            </w:r>
          </w:p>
        </w:tc>
        <w:tc>
          <w:tcPr>
            <w:tcW w:w="2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r>
      <w:tr>
        <w:trPr>
          <w:trHeight w:val="209"/>
        </w:trPr>
        <w:tc>
          <w:tcPr>
            <w:tcW w:w="760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11,220,394</w:t>
            </w:r>
          </w:p>
        </w:tc>
        <w:tc>
          <w:tcPr>
            <w:tcW w:w="2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58,467,633</w:t>
            </w:r>
          </w:p>
        </w:tc>
        <w:tc>
          <w:tcPr>
            <w:tcW w:w="28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operates in one business segment. Substantially all of the Company’s long-lived assets, comprised of property and equipment, are based in the United States. For the three months ended March 31, 2020 and 2019, the Company’s revenues were entirely within the United States based upon the location of the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our condensed consolidated financial statements upon adoption. Under the Jumpstart Our Business Startups Act of 2012, as amended (the “JOBS Act”), the Company meets the definition of an emerging growth company, and has elected the extended transition period for complying with new or revised accounting standards pursuant to Section 107(b) of the JOBS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August 2018, the FASB issued ASU 2018-13, Fair Value Measurements (Topic 820): Disclosure Framework – Changes to the Disclosure Requirements for Fair Value Measurement as part of the FASB’s disclosure framework project. This ASU modifies the disclosure requirements on fair value measurements in Topic 820, Fair Value Measurement by removing the requirement to disclose amounts of and reasons for transfers between Level 1 and Level 2 of the fair value hierarchy, the policy for timing of transfers between levels and the valuation process for Level 3 fair value measurements. This ASU also modifies existing disclosure requirements by clarifying that the measurement uncertainty disclosure is to communicate information about the uncertainty in measurement as of the reporting date, and it adds required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The Company adopted this ASU effective January 1, 2020, noting no material impact on the Company’s condensed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2016, the FASB issued ASU 2016 -02, Leases (Topic 842), which increases lease transparency and comparability among organizations. Under the new standard, lessees will be required to recognize right-of-use (“ROU”) assets and lease liabilities arising from lease arrangements on the consolidated balance sheets, with the exception of leases with a term of 12 months or less, which permits a lessee to make an accounting policy election by class of underlying asset not to recognize the ROU assets and lease liabilities. In March 2018, the FASB approved an alternative transition method to the modified retrospective approach, which eliminates the requirement to restate prior period condensed consolidated financial statements and allows the cumulative effect of the retrospective allocation to be recorded as an adjustment to the opening balance of retained earnings at the date of adoption. In November 2019, the FASB issued ASU 2019-10, which defers the effective date for certain ASUs including ASU 2016-02. The new guidance is now effective for the Company’s fiscal year beginning after December 15, 2020, and interim periods within fiscal years beginning after December 15, 2021.</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plans to adopt the new lease standard using the optional transition method, which allows the Company to recognize a cumulative-effect adjustment to the opening balance of accumulated deficit at the date of adoption and apply the new disclosure requirements beginning in the period of adoption. The Company also plans to elect the package of practical expedients permitted under the transition guidance within the new standard, which, among other things, allows the Company to carryforward the historical lease classification and make an accounting policy election whereby ROU assets and lease liabilities associated with lease arrangements with terms less than one year will not be recognized. We will continue to evaluate the effect that this guidance will have on our condensed consolidated financial statements.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June 2016, the FASB issued ASU 2016 -13, Financial Instruments – Credit Losses (Topic 326): Measurement of Credit Losses on Financial Instruments. The new standard amends guidance on reporting credit losses for financial assets held at amortized cost basis, including accounts receivable, investments classified as available for sale, such as our debt securities, and unbilled related party revenue. Estimated credit losses will be recorded as an allowance rather than a write-down. This standard is effective for the Company’s fiscal year beginning after December 15, 2022. Early adoption is permitted for all entities. The Company is currently assessing the timing of adoption and the impact that the adoption of ASU 2016-13 will have on its condensed consolidated financial statements.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November 2018, the FASB issued ASU 2018-18, Collaborative Arrangements (ASC 808): Clarifying the Interaction between ASC 808 and ASC 606, which clarifies that certain transactions between collaborative arrangement participants should be accounted for as revenue under ASC 606 when the collaborative arrangement participant is a customer in the context of a unit of account. In those situations, all the guidance in ASC 606 should be applied, including recognition, measurement, presentation and disclosure requirements. This ASU adds unit-of-account guidance in ASC 808 to align with the guidance in ASC 606 (that is, a distinct good or service) when an entity is assessing whether the collaborative arrangement or a part of the arrangement is within the scope of ASC 606, and requires that in a transaction with a collaborative arrangement participant that is not directly related to sales to third parties, presenting the transaction together with revenue recognized under ASC 606 is precluded if the collaborative arrangement participant is not a customer. This ASU will be effective for the Company’s fiscal year beginning after December 15, 2020, and interim periods within fiscal years beginning after December 15, 2021. The Company is currently assessing the impact of this ASU on its condensed consolidated financial statements.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new guidance modifies ASC 740 to simplify several aspects of accounting for income taxes, including eliminating certain exceptions to the guidance in ASC 740 related to the approach for intraperiod tax allocation. This ASU will be effective for the Company for fiscal year beginning after December 15, 2021, and interim periods within fiscal year beginning after December 15, 2022, and is required to be adopted prospectively, with the exception of certain specific amendments. The Company is currently assessing the impact of this ASU on its condensed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3. Fair Value Measurements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Financial assets and liabilities are recorded at fair value. The carrying amount of certain financial instruments, including cash and cash equivalents, receivable from collaboration, related party receivable from collaboration and other current assets and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accounting is applied to the convertible preferred stock warrant liabilities that are recorded at their estimated fair value in the condensed consolidated financial statements.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FASB has defined fair value as the exchange price that would be received for an asset or paid to transfer a liability, or an exit price, in the principal or most advantageous market for that asset or liability in an orderly transaction between market participants on the measurement date, and established a fair value hierarchy that requires an entity to maximize the use of observable inputs, where available, and minimize the use of unobservable inputs when measuring fair value. The FASB set forth three levels of inputs that may be used to measure fair value: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12" w:lineRule="exact"/>
        <w:rPr>
          <w:sz w:val="20"/>
          <w:szCs w:val="20"/>
          <w:color w:val="auto"/>
        </w:rPr>
      </w:pPr>
    </w:p>
    <w:p>
      <w:pPr>
        <w:jc w:val="both"/>
        <w:ind w:left="560"/>
        <w:spacing w:after="0"/>
        <w:rPr>
          <w:sz w:val="20"/>
          <w:szCs w:val="20"/>
          <w:color w:val="auto"/>
        </w:rPr>
      </w:pPr>
      <w:r>
        <w:rPr>
          <w:rFonts w:ascii="Arial" w:cs="Arial" w:eastAsia="Arial" w:hAnsi="Arial"/>
          <w:sz w:val="18"/>
          <w:szCs w:val="18"/>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3" w:lineRule="exact"/>
        <w:rPr>
          <w:sz w:val="20"/>
          <w:szCs w:val="20"/>
          <w:color w:val="auto"/>
        </w:rPr>
      </w:pPr>
    </w:p>
    <w:p>
      <w:pPr>
        <w:jc w:val="both"/>
        <w:ind w:left="560"/>
        <w:spacing w:after="0" w:line="246" w:lineRule="auto"/>
        <w:rPr>
          <w:sz w:val="20"/>
          <w:szCs w:val="20"/>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date, the Company has not recorded any impairment charges on marketable securities other than temporary declines in market value.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 w:name="page17"/>
    <w:bookmarkEnd w:id="16"/>
    <w:p>
      <w:pPr>
        <w:ind w:right="100"/>
        <w:spacing w:after="0" w:line="246" w:lineRule="auto"/>
        <w:rPr>
          <w:sz w:val="20"/>
          <w:szCs w:val="20"/>
          <w:color w:val="auto"/>
        </w:rPr>
      </w:pPr>
      <w:r>
        <w:rPr>
          <w:rFonts w:ascii="Arial" w:cs="Arial" w:eastAsia="Arial" w:hAnsi="Arial"/>
          <w:sz w:val="18"/>
          <w:szCs w:val="18"/>
          <w:color w:val="auto"/>
        </w:rPr>
        <w:t>Cash and cash equivalents and marketable securities, all of which are classified as available-for-sale securities consisted of the following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Gross</w:t>
            </w:r>
          </w:p>
        </w:tc>
        <w:tc>
          <w:tcPr>
            <w:tcW w:w="10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Gross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7"/>
                <w:szCs w:val="17"/>
                <w:color w:val="auto"/>
              </w:rPr>
            </w:pPr>
          </w:p>
        </w:tc>
        <w:tc>
          <w:tcPr>
            <w:tcW w:w="12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25"/>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Gain</w:t>
            </w:r>
          </w:p>
        </w:tc>
        <w:tc>
          <w:tcPr>
            <w:tcW w:w="10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Loss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March 31, 2020</w:t>
            </w: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239,089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239,089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agency bonds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Commercial paper</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37,401</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310,661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Classified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8"/>
                <w:szCs w:val="18"/>
                <w:color w:val="auto"/>
              </w:rPr>
              <w:t>Short-term marketable securities (amortized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tcPr>
          <w:p>
            <w:pPr>
              <w:ind w:left="400"/>
              <w:spacing w:after="0" w:line="203" w:lineRule="exact"/>
              <w:rPr>
                <w:sz w:val="20"/>
                <w:szCs w:val="20"/>
                <w:color w:val="auto"/>
              </w:rPr>
            </w:pPr>
            <w:r>
              <w:rPr>
                <w:rFonts w:ascii="Arial" w:cs="Arial" w:eastAsia="Arial" w:hAnsi="Arial"/>
                <w:sz w:val="18"/>
                <w:szCs w:val="18"/>
                <w:color w:val="auto"/>
              </w:rPr>
              <w:t>cost of $71,572)</w:t>
            </w:r>
          </w:p>
        </w:tc>
        <w:tc>
          <w:tcPr>
            <w:tcW w:w="100" w:type="dxa"/>
            <w:vAlign w:val="bottom"/>
            <w:tcBorders>
              <w:bottom w:val="single" w:sz="8" w:color="CFF0FC"/>
            </w:tcBorders>
          </w:tcPr>
          <w:p>
            <w:pPr>
              <w:spacing w:after="0"/>
              <w:rPr>
                <w:sz w:val="17"/>
                <w:szCs w:val="17"/>
                <w:color w:val="auto"/>
              </w:rPr>
            </w:pPr>
          </w:p>
        </w:tc>
        <w:tc>
          <w:tcPr>
            <w:tcW w:w="104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71,517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20" w:type="dxa"/>
            <w:vAlign w:val="bottom"/>
            <w:shd w:val="clear" w:color="auto" w:fill="CFF0FC"/>
          </w:tcPr>
          <w:p>
            <w:pPr>
              <w:ind w:left="740"/>
              <w:spacing w:after="0" w:line="195" w:lineRule="exact"/>
              <w:rPr>
                <w:sz w:val="20"/>
                <w:szCs w:val="20"/>
                <w:color w:val="auto"/>
              </w:rPr>
            </w:pPr>
            <w:r>
              <w:rPr>
                <w:rFonts w:ascii="Arial" w:cs="Arial" w:eastAsia="Arial" w:hAnsi="Arial"/>
                <w:sz w:val="18"/>
                <w:szCs w:val="18"/>
                <w:color w:val="auto"/>
              </w:rPr>
              <w:t>Total cash and cash equivalents and</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900"/>
              <w:spacing w:after="0" w:line="203" w:lineRule="exact"/>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310,606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Gross</w:t>
            </w: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Gross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7"/>
                <w:szCs w:val="17"/>
                <w:color w:val="auto"/>
              </w:rPr>
            </w:pPr>
          </w:p>
        </w:tc>
        <w:tc>
          <w:tcPr>
            <w:tcW w:w="10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rPr>
              <w:t>Fair</w:t>
            </w:r>
          </w:p>
        </w:tc>
      </w:tr>
      <w:tr>
        <w:trPr>
          <w:trHeight w:val="225"/>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Gain</w:t>
            </w:r>
          </w:p>
        </w:tc>
        <w:tc>
          <w:tcPr>
            <w:tcW w:w="10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Loss</w:t>
            </w:r>
          </w:p>
        </w:tc>
        <w:tc>
          <w:tcPr>
            <w:tcW w:w="22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Value</w:t>
            </w: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2019</w:t>
            </w: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244,973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agency bonds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66,077</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24,840</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 securities</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7,985</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100" w:type="dxa"/>
            <w:vAlign w:val="bottom"/>
            <w:shd w:val="clear" w:color="auto" w:fill="CFF0FC"/>
          </w:tcPr>
          <w:p>
            <w:pPr>
              <w:spacing w:after="0"/>
              <w:rPr>
                <w:sz w:val="18"/>
                <w:szCs w:val="18"/>
                <w:color w:val="auto"/>
              </w:rPr>
            </w:pPr>
          </w:p>
        </w:tc>
      </w:tr>
      <w:tr>
        <w:trPr>
          <w:trHeight w:val="250"/>
        </w:trPr>
        <w:tc>
          <w:tcPr>
            <w:tcW w:w="5820" w:type="dxa"/>
            <w:vAlign w:val="bottom"/>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343,861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343,886</w:t>
            </w:r>
          </w:p>
        </w:tc>
        <w:tc>
          <w:tcPr>
            <w:tcW w:w="100" w:type="dxa"/>
            <w:vAlign w:val="bottom"/>
          </w:tcPr>
          <w:p>
            <w:pPr>
              <w:spacing w:after="0"/>
              <w:rPr>
                <w:sz w:val="21"/>
                <w:szCs w:val="21"/>
                <w:color w:val="auto"/>
              </w:rPr>
            </w:pPr>
          </w:p>
        </w:tc>
      </w:tr>
      <w:tr>
        <w:trPr>
          <w:trHeight w:val="197"/>
        </w:trPr>
        <w:tc>
          <w:tcPr>
            <w:tcW w:w="58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Classified as:</w:t>
            </w: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18"/>
                <w:szCs w:val="18"/>
                <w:color w:val="auto"/>
              </w:rPr>
            </w:pPr>
          </w:p>
        </w:tc>
      </w:tr>
      <w:tr>
        <w:trPr>
          <w:trHeight w:val="215"/>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marketable securities (amortized</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8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cost of $98,888)</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98,913</w:t>
            </w:r>
          </w:p>
        </w:tc>
        <w:tc>
          <w:tcPr>
            <w:tcW w:w="100" w:type="dxa"/>
            <w:vAlign w:val="bottom"/>
            <w:shd w:val="clear" w:color="auto" w:fill="CFF0FC"/>
          </w:tcPr>
          <w:p>
            <w:pPr>
              <w:spacing w:after="0"/>
              <w:rPr>
                <w:sz w:val="17"/>
                <w:szCs w:val="17"/>
                <w:color w:val="auto"/>
              </w:rPr>
            </w:pPr>
          </w:p>
        </w:tc>
      </w:tr>
      <w:tr>
        <w:trPr>
          <w:trHeight w:val="195"/>
        </w:trPr>
        <w:tc>
          <w:tcPr>
            <w:tcW w:w="5820" w:type="dxa"/>
            <w:vAlign w:val="bottom"/>
          </w:tcPr>
          <w:p>
            <w:pPr>
              <w:ind w:left="740"/>
              <w:spacing w:after="0" w:line="195" w:lineRule="exact"/>
              <w:rPr>
                <w:sz w:val="20"/>
                <w:szCs w:val="20"/>
                <w:color w:val="auto"/>
              </w:rPr>
            </w:pPr>
            <w:r>
              <w:rPr>
                <w:rFonts w:ascii="Arial" w:cs="Arial" w:eastAsia="Arial" w:hAnsi="Arial"/>
                <w:sz w:val="18"/>
                <w:szCs w:val="18"/>
                <w:color w:val="auto"/>
              </w:rPr>
              <w:t>Total cash and cash equivalents and</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820" w:type="dxa"/>
            <w:vAlign w:val="bottom"/>
          </w:tcPr>
          <w:p>
            <w:pPr>
              <w:ind w:left="900"/>
              <w:spacing w:after="0" w:line="203" w:lineRule="exact"/>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343,886</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Cash and cash equivalents in the table above excludes cash on deposit with banks of $17.9 million and $0.6 million as of March 31, 2020 and December 31, 2019, respectively.</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March 31, 2020 and December 31, 2019, the Company’s marketable securities had remaining contractual maturities less than one year. As of March 31, 2020 and December 31, 2019, there were four marketable securities in an unrealized loss position, all of which have been in an unrealized loss position for less than 12 months. The Company does not intend to sell the marketable securities that are currently in an unrealized loss position and it is highly unlikely that the Company will be required to sell the investments before recovery of their amortized cost basis, which may be maturity.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sets forth the estimated fair value of the Company’s financial assets and liabilities that were measured at fair value on a recurring basis as of March 31, 2020 and December 31, 2019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As of March 31, 2020</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Fair Value Measurements</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239,089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239,089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agency bonds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34,116</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37,401</w:t>
            </w:r>
          </w:p>
        </w:tc>
        <w:tc>
          <w:tcPr>
            <w:tcW w:w="24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239,089</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71,517</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2019</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Fair Value Measurements</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244,973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agency bonds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66,077</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24,840</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agencies securities</w:t>
            </w: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24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244,973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98,913</w:t>
            </w:r>
          </w:p>
        </w:tc>
        <w:tc>
          <w:tcPr>
            <w:tcW w:w="24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343,886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three months ended March 31, 2020 and year ended December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 and Restricted Cash</w:t>
      </w:r>
    </w:p>
    <w:p>
      <w:pPr>
        <w:spacing w:after="0" w:line="234"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A reconciliation of cash, cash equivalents and restricted cash reported within our condensed consolidated balance sheets to the amount reported within the accompanying condensed consolidated statements of cash flows is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256,952</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258,826</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700" w:type="dxa"/>
            <w:vAlign w:val="bottom"/>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Laboratory equipment and office furniture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 gross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(31,486)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(29,756)</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18,274</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Depreciation expense was approximately $1.7 million and $2.0 million for the three months ended March 31, 2020 and 2019, respectively.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9"/>
        </w:trPr>
        <w:tc>
          <w:tcPr>
            <w:tcW w:w="7700" w:type="dxa"/>
            <w:vAlign w:val="bottom"/>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9"/>
        </w:trPr>
        <w:tc>
          <w:tcPr>
            <w:tcW w:w="770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6"/>
        </w:trPr>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Clinical trials and research and development costs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Personnel-related costs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Manufacturing costs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w:t>
            </w: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accrued liabilities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21,949</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22,991</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Research Collaboration and License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2015, the Company entered into the Collaboration Agreement with Merck, covering the discovery, development and commercialization of novel therapies across a range of therapeutic areas. Pursuant to this agreement, the Company received an upfront payment of $94.0 million in April 2015. Concurrent with entry into the Collaboration Agreement, the parties entered into a Stock Purchase Agreement in which Merck agreed to purchase 8,833,333 shares of Series E convertible preferred stock at a price of $12.00 per share, resulting in net proceeds of approximately $106.0 million. The Company considered the ASC 606 criteria for combining contracts and determined that the Collaboration Agreement and Stock Purchase Agreement should be combined into a single contract. The Company accounted for the overall agreement based on the fair values of the assets and services exchanged, resulting in $106.0 million allocated to the equity component and $94.0 million allocated to the revenue components.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Collaboration Agreement became effective in March 2015 and has a non-cancellable five-year term running through March 16, 2020. The agreement included an exclusive worldwide license to our growth differentiation factor 15 (“GDF15”) receptor agonist program. In March 2019, Merck exercised its option to extend the research phase of the collaboration through March 16, 2022. Merck terminated its license to the GDF15 receptor agonist program in May 2019. The collaboration also includes a broad, multiyear drug discovery and early development program financially supported by Merck but scientifically directed by the Company with input from Merck. The Company determines the scientific direction and areas of therapeutic interest, with input from Merck, and is primarily responsible for the conduct of all research, preclinical and early clinical development activities, through human proof of concept. The Company makes the final determinations as to which compounds to advance into and through initial clinical trials, which to progress into human proof-of-concept studies and the design of any such studies, with input from Merck through various governance committees. The Company may terminate its participation in any of the governance committees by providing written notice to Merck of its intention to disband and no longer participate. Merck will fund both the internal and external costs of the Company’s research and early development activities up to $75.0 million each year of the initial five-year term and during the extended two-year research period.</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Upon completion of a human proof-of-concept study for a particular compound, regardless of the results of such study, Merck has the one-time option, at a cost of $20.0 million, to obtain an exclusive, worldwide license, on specified terms, to that compound, as well as to other molecules that are directed against the same target in the same manner. If Merck exercises its option, Merck will be responsible, at its own cost, for any further development and commercialization activities for compounds within that licensed program. Upon such exercise by Merck, the Company in turn has the right, at the start of the first Phase 3 clinical study for that compound, to elect to participate in a worldwide cost and profit share with Merck, as well as the option to co-detail the compound in the United States, or the Company can elect instead to receive milestones and royalties from Merck based on Merck’s further development and commercialization of the compound. If the Company elects to participate in the cost and profit share, subject to certain limitations, Merck will provide the Company with financial assistance in the form of interest bearing advances of the Company’s share of the overall development costs, which Merck will recoup from the Company’s share of any profit ultimately resulting from sales of the compound and other compounds that reach commercialization. If the Company does not opt in to the cost and profit sharing option, then the Company is eligible to receive development and regulatory milestone payments upon the achievement 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 w:name="page20"/>
    <w:bookmarkEnd w:id="19"/>
    <w:p>
      <w:pPr>
        <w:jc w:val="both"/>
        <w:spacing w:after="0"/>
        <w:rPr>
          <w:sz w:val="20"/>
          <w:szCs w:val="20"/>
          <w:color w:val="auto"/>
        </w:rPr>
      </w:pPr>
      <w:r>
        <w:rPr>
          <w:rFonts w:ascii="Arial" w:cs="Arial" w:eastAsia="Arial" w:hAnsi="Arial"/>
          <w:sz w:val="18"/>
          <w:szCs w:val="18"/>
          <w:color w:val="auto"/>
        </w:rPr>
        <w:t>specific clinical development or regulatory events with respect to the licensed compound indications in the United States, European Union (“EU”) and Japan of up to an aggregate of $449.0 million. The Company may also receive commercial milestone payments up to $125.0 million and royalty payments of varying percentages based on the achievement of certain levels of net sales.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Collaboration Agreement, the Company also granted Merck a worldwide, exclusive right to conduct research and development on small molecule compounds generated by Merck that have specified activity against any target that the Company is researching or developing under the research phase and about which the Company has generated unique biological insights. If Merck ultimately does not exercise its license option to the compound the Company has taken through a human proof-of-concept study that is directed to any such target, Merck’s research license for its own small molecule program will become non-exclusive, but it will retain an exclusive license to any small molecule compounds that it has, as of that time, identified and developed. Merck has sole responsibility for the research and development of any of these small molecule compounds, at its own cost. The Company is eligible to receive milestone and royalty payments on small molecule compounds that are developed by Merck under the Company’s license, in some cases at the same rates as those the Company is eligible to receive from Merck for a licensed program originating from the Company’s own research and development efforts, provided that, but for use of the Company’s proprietary information, Merck would not have discovered such small molecule compounds. However, the Company will not have the option to cost and profit share or the option to co-detail those small molecule products.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research and early development program had an initial term of five years, until March 16, 2020. In March 2019, Merck exercised its option to extend the research phase of the collaboration through March 16, 2022. In connection with this extension, Merck agreed to continue to fund the Company’s research and development efforts during the two-year extension period at the same levels as during the initial term and, in lieu of a $20.0 million extension fee that would have otherwise been payable to the Company, Merck will make additional payments totaling up to $20.0 million in support of the Company’s research and development program activities across 2021 and the first quarter of 2022. Under the terms of the agreement, Merck is required to pay a $20.0 million extension fee if it elects to exercise its second option to extend the research phase of the collaboration through March 16, 2024.</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the end of the research phase, Merck has the right to either require the Company to continue to conduct research and development activities with respect to certain of the then-existing programs for up to three years, which we call the tail period, by agreeing to pay all its internal and external costs for related work, or to take over such selected programs and conduct such research and development activities itself, at its own cost.</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evaluated the Collaboration Agreement with Merck under ASC 606. The Company identified the following promised goods or services at the inception of the Collaboration Arrangement: (i) license to GDF15 receptor agonist program; (ii) license to pursue research and development and commercialization of small molecule compounds; (iii) performance of research and development services for five years; (iv) two options to extend performance of the research and development services, each for two additional years; and (v) options to obtain licenses to additional compounds after proof of concept trials. The Company determined the GDF15 receptor agonist program license and small molecule program license are not distinct from the research and development services, resulting in these items being combined into a single performance obligation.</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considered whether the options created material rights in the contract and concluded that the fee attached to the exercise of such options approximated the SSP of the promised goods or services included in the options. Therefore, the options do not give rise to material rights, are not performance obligations in the Collaboration Agreement and, if and when exercised, will be accounted for as separate arrangements under ASC 606.</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transaction price consists of the $94.0 million upfront fee and the potential funding amounts of up to $75.0 million per year for each of the first five years of the Collaboration Agreement. No milestones or other forms of consideration are included in the transaction price as those amounts are contingent upon Merck exercising an option for licenses on additional compounds and would, therefore, be pursuant to separate arrangements and are not part of the Collaboration Agreement estimated transaction price.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 w:name="page21"/>
    <w:bookmarkEnd w:id="20"/>
    <w:p>
      <w:pPr>
        <w:ind w:right="160"/>
        <w:spacing w:after="0" w:line="238" w:lineRule="auto"/>
        <w:rPr>
          <w:sz w:val="20"/>
          <w:szCs w:val="20"/>
          <w:color w:val="auto"/>
        </w:rPr>
      </w:pPr>
      <w:r>
        <w:rPr>
          <w:rFonts w:ascii="Arial" w:cs="Arial" w:eastAsia="Arial" w:hAnsi="Arial"/>
          <w:sz w:val="18"/>
          <w:szCs w:val="18"/>
          <w:color w:val="auto"/>
        </w:rPr>
        <w:t>Additionally, if a separate arrangement is created by the exercise of an option, such amounts would then be contingent on events outside of either party’s control, such as products proving to be commercially viable and governmental agencies granting regulatory approval. Such contingencies and uncertainties result in the amounts being constrained and withheld from inclusion in the estimated transaction price of a separate arrangement. Consequently, the estimated transaction price related to the Collaboration Agreement is comprised of the up-front payment and the ongoing research and development reimbursements.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Any fees associated with options, including upfront fees, funding fees, milestones, etc., are not included in the transaction price as they are associated with options that are not material rights and, thus, are not performance obligations within the Collaboration Agreement. This includes the $20.0 million license fee associated with Merck’s exercise of its option on NGM313. That amount was recognized in the period of exercise (i.e., fourth quarter of 2018) as the Company has no further obligations related to that license. Merck exercised its option on the NGM313 compound and paid the Company the $20.0 million option exercise fee in November 2018. The Phase 3 clinical study for NGM313 has not begun, and the Company has not made an election as to whether it will participate in the cost and profit share or receive milestone and royalty payments. The amounts do not impact the estimated transaction price associated with the single performance obligation identified in the Collaboration Agreement.</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there is only one performance obligation in the Collaboration Agreement, the transaction price was allocated entirely to that performance obligation. The Company uses a cost-based input method to measure proportional performance and calculate the corresponding amount of revenue to recognize. The Company believes this is the best measure of progress given that other measures do not reflect how the Company transfers its performance obligation to Merck. In applying the cost-based input measure of revenue recognition, the Company measures actual costs incurred relative to budgeted costs to fulfill the combined performance obligation. These costs consist of full-time equivalent hours plus allowable external (third-party) costs incurred. Revenue is recognized based on actual costs incurred as a percentage of total budgeted costs as the Company completes its performance obligation. The Company re-evaluates the estimate of expected costs to satisfy the performance obligation each reporting period and makes adjustments for any significant changes.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May 2019, Merck terminated its license to the GDF15 receptor agonist program. The research and development services within the Collaboration Agreement are not affected by the GDF15 receptor agonist program license termination and are expected to continue through the remainder of the research program term.</w:t>
      </w:r>
    </w:p>
    <w:p>
      <w:pPr>
        <w:spacing w:after="0" w:line="20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of March 31, 2020 and December 31, 2019, deferred revenue related to the single performance obligation in the Collaboration Agreement was zero and $4.9 million, respectively. The remaining balance of $4.9 million in deferred revenue at the end of the prior reporting period was fully earned and recognized as of March 16, 2020. The Company has recognized revenue of approximately $388.1 million related to the single performance obligation in the Collaboration Agreement.</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Series E convertible preferred stock purchase agreement, the Company and Merck entered into an agreement whereby Merck agreed to purchase 4,121,683 shares of our common stock in a separate private placement concurrent with the completion of the Company’s IPO at a price per share equal to the public offering price of $16.00, resulting in Merck owning approximately 19.9% of the Company’s outstanding shares of common stock following the completion of the IPO.</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is also eligible to receive additional payments specific to Merck opting into a licensed program. Each licensed program is eligible to receive a one-time payment of $ 20.0 million upon Merck’s exercise of its one-time option to obtain an exclusive, worldwide license to a compound following its completion of a human proof-of-concept study. In addition, if the Company does not opt into the cost and profit sharing option, then the Company is eligible to receive an aggregate of $449.0 million in milestone payments, of which $77.7 million relates to the potential achievement of specific clinical development events and $371.3 million relates to the potential achievement of certain regulatory events with respect to the licensed compounds for the first three indications in the United States, EU and Japan.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 w:name="page22"/>
    <w:bookmarkEnd w:id="21"/>
    <w:p>
      <w:pPr>
        <w:jc w:val="both"/>
        <w:ind w:right="20"/>
        <w:spacing w:after="0" w:line="246" w:lineRule="auto"/>
        <w:rPr>
          <w:sz w:val="20"/>
          <w:szCs w:val="20"/>
          <w:color w:val="auto"/>
        </w:rPr>
      </w:pPr>
      <w:r>
        <w:rPr>
          <w:rFonts w:ascii="Arial" w:cs="Arial" w:eastAsia="Arial" w:hAnsi="Arial"/>
          <w:sz w:val="18"/>
          <w:szCs w:val="18"/>
          <w:color w:val="auto"/>
        </w:rPr>
        <w:t>A breakout of the milestone payments in connection with the potential achievement of certain clinical development events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First</w:t>
            </w:r>
          </w:p>
        </w:tc>
        <w:tc>
          <w:tcPr>
            <w:tcW w:w="180" w:type="dxa"/>
            <w:vAlign w:val="bottom"/>
          </w:tcPr>
          <w:p>
            <w:pPr>
              <w:spacing w:after="0"/>
              <w:rPr>
                <w:sz w:val="17"/>
                <w:szCs w:val="17"/>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Second</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Third</w:t>
            </w:r>
          </w:p>
        </w:tc>
      </w:tr>
      <w:tr>
        <w:trPr>
          <w:trHeight w:val="225"/>
        </w:trPr>
        <w:tc>
          <w:tcPr>
            <w:tcW w:w="6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Indication</w:t>
            </w:r>
          </w:p>
        </w:tc>
        <w:tc>
          <w:tcPr>
            <w:tcW w:w="180" w:type="dxa"/>
            <w:vAlign w:val="bottom"/>
          </w:tcPr>
          <w:p>
            <w:pPr>
              <w:spacing w:after="0"/>
              <w:rPr>
                <w:sz w:val="19"/>
                <w:szCs w:val="19"/>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Indication</w:t>
            </w:r>
          </w:p>
        </w:tc>
        <w:tc>
          <w:tcPr>
            <w:tcW w:w="1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Indication</w:t>
            </w:r>
          </w:p>
        </w:tc>
      </w:tr>
      <w:tr>
        <w:trPr>
          <w:trHeight w:val="209"/>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Upon administration of an applicable product to the first patient in</w:t>
            </w: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66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the first Phase 3 clinical trial for such product for the given</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indication</w:t>
            </w: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35,000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25,250</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17,500</w:t>
            </w:r>
          </w:p>
        </w:tc>
        <w:tc>
          <w:tcPr>
            <w:tcW w:w="120" w:type="dxa"/>
            <w:vAlign w:val="bottom"/>
            <w:shd w:val="clear" w:color="auto" w:fill="CFF0FC"/>
          </w:tcPr>
          <w:p>
            <w:pPr>
              <w:spacing w:after="0"/>
              <w:rPr>
                <w:sz w:val="17"/>
                <w:szCs w:val="17"/>
                <w:color w:val="auto"/>
              </w:rPr>
            </w:pPr>
          </w:p>
        </w:tc>
      </w:tr>
    </w:tbl>
    <w:p>
      <w:pPr>
        <w:spacing w:after="0" w:line="24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 breakout of the milestone payments in connection with the potential achievement of certain regulatory events for each of the three indications, for each of the three geographic areas,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First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Second</w:t>
            </w:r>
          </w:p>
        </w:tc>
        <w:tc>
          <w:tcPr>
            <w:tcW w:w="220" w:type="dxa"/>
            <w:vAlign w:val="bottom"/>
          </w:tcPr>
          <w:p>
            <w:pPr>
              <w:spacing w:after="0"/>
              <w:rPr>
                <w:sz w:val="17"/>
                <w:szCs w:val="17"/>
                <w:color w:val="auto"/>
              </w:rPr>
            </w:pPr>
          </w:p>
        </w:tc>
        <w:tc>
          <w:tcPr>
            <w:tcW w:w="1560" w:type="dxa"/>
            <w:vAlign w:val="bottom"/>
            <w:gridSpan w:val="2"/>
          </w:tcPr>
          <w:p>
            <w:pPr>
              <w:ind w:left="30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82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Indication</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FF0FC"/>
            </w:tcBorders>
          </w:tcPr>
          <w:p>
            <w:pPr>
              <w:spacing w:after="0"/>
              <w:rPr>
                <w:sz w:val="19"/>
                <w:szCs w:val="19"/>
                <w:color w:val="auto"/>
              </w:rPr>
            </w:pPr>
          </w:p>
        </w:tc>
      </w:tr>
      <w:tr>
        <w:trPr>
          <w:trHeight w:val="21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100" w:type="dxa"/>
            <w:vAlign w:val="bottom"/>
            <w:shd w:val="clear" w:color="auto" w:fill="CFF0FC"/>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European Union</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18"/>
                <w:szCs w:val="18"/>
                <w:color w:val="auto"/>
              </w:rPr>
            </w:pPr>
          </w:p>
        </w:tc>
      </w:tr>
      <w:tr>
        <w:trPr>
          <w:trHeight w:val="216"/>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15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100" w:type="dxa"/>
            <w:vAlign w:val="bottom"/>
            <w:shd w:val="clear" w:color="auto" w:fill="CFF0FC"/>
          </w:tcPr>
          <w:p>
            <w:pPr>
              <w:spacing w:after="0"/>
              <w:rPr>
                <w:sz w:val="18"/>
                <w:szCs w:val="18"/>
                <w:color w:val="auto"/>
              </w:rPr>
            </w:pPr>
          </w:p>
        </w:tc>
      </w:tr>
      <w:tr>
        <w:trPr>
          <w:trHeight w:val="210"/>
        </w:trPr>
        <w:tc>
          <w:tcPr>
            <w:tcW w:w="282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165,000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123,750</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82,500</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371,250</w:t>
            </w:r>
          </w:p>
        </w:tc>
        <w:tc>
          <w:tcPr>
            <w:tcW w:w="10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Related Party Revenue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revenue from its collaboration and license agreements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500" w:type="dxa"/>
            <w:vAlign w:val="bottom"/>
            <w:gridSpan w:val="6"/>
          </w:tcPr>
          <w:p>
            <w:pPr>
              <w:ind w:left="36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4760" w:type="dxa"/>
            <w:vAlign w:val="bottom"/>
            <w:tcBorders>
              <w:bottom w:val="single" w:sz="8" w:color="CFF0FC"/>
            </w:tcBorders>
          </w:tcPr>
          <w:p>
            <w:pPr>
              <w:spacing w:after="0"/>
              <w:rPr>
                <w:sz w:val="18"/>
                <w:szCs w:val="18"/>
                <w:color w:val="auto"/>
              </w:rPr>
            </w:pPr>
          </w:p>
        </w:tc>
        <w:tc>
          <w:tcPr>
            <w:tcW w:w="298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0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396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24,364</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25,552</w:t>
            </w:r>
          </w:p>
        </w:tc>
        <w:tc>
          <w:tcPr>
            <w:tcW w:w="100" w:type="dxa"/>
            <w:vAlign w:val="bottom"/>
            <w:shd w:val="clear" w:color="auto" w:fill="CFF0FC"/>
          </w:tcPr>
          <w:p>
            <w:pPr>
              <w:spacing w:after="0"/>
              <w:rPr>
                <w:sz w:val="18"/>
                <w:szCs w:val="18"/>
                <w:color w:val="auto"/>
              </w:rPr>
            </w:pPr>
          </w:p>
        </w:tc>
      </w:tr>
    </w:tbl>
    <w:p>
      <w:pPr>
        <w:spacing w:after="0" w:line="215"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color w:val="auto"/>
        </w:rPr>
        <w:t>For the three months ended March 31, 2020 and March 31 2019, the Company recognized collaboration and license revenue under the Collaboration Agreement of $24.4 million and $25.6 million, respectively, of which $4.9 million and $5.7 million, respectively, were recognized from the upfront license fee by applying the cost-based input measure of revenue recognition in accordance with ASC 606 and the remaining balance related to research and development activities reimbursed by Merck provided under the Collaboration Agreement.</w:t>
      </w:r>
    </w:p>
    <w:p>
      <w:pPr>
        <w:spacing w:after="0" w:line="20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Company is also eligible to receive commercial milestone payments of up to $125.0 million payable for each licensed product. In addition, the Company is eligible to receive royalties at ascending low-double digit to mid-teen percentage rates, depending on the level of net sales Merck achieves worldwide for each licensed compound.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Changes in related party contract liabilities were as follows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Borders>
              <w:bottom w:val="single" w:sz="8" w:color="CFF0FC"/>
            </w:tcBorders>
          </w:tcPr>
          <w:p>
            <w:pPr>
              <w:spacing w:after="0"/>
              <w:rPr>
                <w:sz w:val="18"/>
                <w:szCs w:val="18"/>
                <w:color w:val="auto"/>
              </w:rPr>
            </w:pPr>
          </w:p>
        </w:tc>
        <w:tc>
          <w:tcPr>
            <w:tcW w:w="37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Amounts</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414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Revenue recognized through March 16, 2020</w:t>
            </w:r>
          </w:p>
        </w:tc>
        <w:tc>
          <w:tcPr>
            <w:tcW w:w="3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(4,872)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372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There were no contract assets for all the periods presented.</w:t>
            </w:r>
          </w:p>
        </w:tc>
        <w:tc>
          <w:tcPr>
            <w:tcW w:w="3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40" w:type="dxa"/>
            <w:vAlign w:val="bottom"/>
            <w:vMerge w:val="continue"/>
          </w:tcPr>
          <w:p>
            <w:pPr>
              <w:spacing w:after="0"/>
              <w:rPr>
                <w:sz w:val="24"/>
                <w:szCs w:val="24"/>
                <w:color w:val="auto"/>
              </w:rPr>
            </w:pPr>
          </w:p>
        </w:tc>
        <w:tc>
          <w:tcPr>
            <w:tcW w:w="3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40" w:type="dxa"/>
            <w:vAlign w:val="bottom"/>
          </w:tcPr>
          <w:p>
            <w:pPr>
              <w:spacing w:after="0"/>
              <w:rPr>
                <w:sz w:val="24"/>
                <w:szCs w:val="24"/>
                <w:color w:val="auto"/>
              </w:rPr>
            </w:pPr>
          </w:p>
        </w:tc>
        <w:tc>
          <w:tcPr>
            <w:tcW w:w="3720" w:type="dxa"/>
            <w:vAlign w:val="bottom"/>
          </w:tcPr>
          <w:p>
            <w:pPr>
              <w:jc w:val="right"/>
              <w:ind w:right="305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4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and Lease Guarantee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September 2009, the Company entered into an operating lease for a corporate office space and laboratory facility at 630 Gateway Blvd, in South San Francisco, California (“630 Gateway”) for approximately 50,000 square feet, as amended in June 2014 (“2014 Lease Amendment”), which expires in November 2020. The 2014 Lease Amendment provided for tenant improvement allowances of $0.8 million. The 2014 Lease Amendment contains scheduled rent increases over the lease term and has an option for the Company to extend the lease for an additional three-year term.</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December 2015, the Company entered into a new operating lease for its corporate office space and laboratory facility at 333 Oyster Point Blvd, South San Francisco, California (“333 Oyster Point”) for approximately 122,000 square feet that expires in December 2023. The lease provided a tenant improvement allowance of $15.2 million that the Company used in 2016 towards $22.3 million in total leasehold improvements that are amortized over the lease term of seven years.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333 Oyster Point lease agreement requires a letter of credit in the amount of $2.3 million as a security deposit to the lease, which the Company has recorded as long-term restricted cash on the condensed consolidated balance sheets. The Company has the right to reduce the letter of credit amount by $0.4 million on each of the 3rd anniversary and 4th anniversary of the rent commencement date. In September 2019, the Company reduced its letter of credit by $0.4 million and reclassified from restricted cash to cash and cash equivalents on the condensed consolidated balance sheets.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July 2016, the Company assigned its operating lease of 630 Gateway to Merck, a related party, as part of the Company’s relocation to 333 Oyster Point. As part of the assignment of the lease, the Company is liable to the lessor if Merck defaults on its lease obligations. Therefore, in substance, the Company has guaranteed the lease payments for 630 Gateway, including lease-related expenses such as utilities, property tax, and common area maintenance without any limitations. The Company assessed the need for a potential guarantee liability on the assigned lease, and concluded that the value of the guarantee was insignificant as of March 31, 2020 because of the short duration of the remaining lease term through November 2020, and Merck’s credit rating of AA/A1 and subsequent investment in tenant improvements to the facility. As of March 31, 2020 and 2019, the remaining lease payment obligations that are due for 630 Gateway were approximately $1.5 million and $3.5 million, respectively, which are to be paid directly from Merck to the lessor.</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$0.5 million for the three months ended March 31, 2020 and 2019,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the unassigned lease obligations described above are as follows as of March 31, 2020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24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2021</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100" w:type="dxa"/>
            <w:vAlign w:val="bottom"/>
            <w:tcBorders>
              <w:bottom w:val="single" w:sz="8" w:color="CFF0FC"/>
            </w:tcBorders>
          </w:tcPr>
          <w:p>
            <w:pPr>
              <w:spacing w:after="0"/>
              <w:rPr>
                <w:sz w:val="18"/>
                <w:szCs w:val="18"/>
                <w:color w:val="auto"/>
              </w:rPr>
            </w:pPr>
          </w:p>
        </w:tc>
      </w:tr>
      <w:tr>
        <w:trPr>
          <w:trHeight w:val="210"/>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3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 w:name="page24"/>
    <w:bookmarkEnd w:id="23"/>
    <w:p>
      <w:pPr>
        <w:jc w:val="both"/>
        <w:spacing w:after="0" w:line="238"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has 10,000,000 shares of preferred stock authorized, which may be issued at the discretion of the Company’s board of directors. The board of directors may issue shares of preferred stock in one or more series and to fix the number, rights, preferences, privileges and restrictions. These rights, preferences and privileges could include dividend rights, conversion rights, voting rights, terms of redemption, liquidation preferences and sinking fund terms. As of March 31, 2020, the Company did not have any shares of preferred stock issued or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March 31, 2020 and December 31, 2019, the Company had 67,936,438 and 66,960,279 shares of common stock outstanding, respectively, which includes shares subject to repurchase of 53,437 and 74,454, respectively, as a result of early exercise of stock options not yet vested. As of March 31, 2020 and December 31, 2019, the Company reserved shares of common stock for issuance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1820" w:type="dxa"/>
            <w:vAlign w:val="bottom"/>
            <w:gridSpan w:val="2"/>
          </w:tcPr>
          <w:p>
            <w:pPr>
              <w:ind w:left="340"/>
              <w:spacing w:after="0"/>
              <w:rPr>
                <w:sz w:val="20"/>
                <w:szCs w:val="20"/>
                <w:color w:val="auto"/>
              </w:rPr>
            </w:pPr>
            <w:r>
              <w:rPr>
                <w:rFonts w:ascii="Arial" w:cs="Arial" w:eastAsia="Arial" w:hAnsi="Arial"/>
                <w:sz w:val="18"/>
                <w:szCs w:val="18"/>
                <w:b w:val="1"/>
                <w:bCs w:val="1"/>
                <w:color w:val="auto"/>
              </w:rPr>
              <w:t>March 31,</w:t>
            </w:r>
          </w:p>
        </w:tc>
        <w:tc>
          <w:tcPr>
            <w:tcW w:w="166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76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0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outstanding</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10,824,034</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10,824,780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Common stock options available for grant</w:t>
            </w:r>
          </w:p>
        </w:tc>
        <w:tc>
          <w:tcPr>
            <w:tcW w:w="1540" w:type="dxa"/>
            <w:vAlign w:val="bottom"/>
          </w:tcPr>
          <w:p>
            <w:pPr>
              <w:jc w:val="right"/>
              <w:spacing w:after="0"/>
              <w:rPr>
                <w:sz w:val="20"/>
                <w:szCs w:val="20"/>
                <w:color w:val="auto"/>
              </w:rPr>
            </w:pPr>
            <w:r>
              <w:rPr>
                <w:rFonts w:ascii="Arial" w:cs="Arial" w:eastAsia="Arial" w:hAnsi="Arial"/>
                <w:sz w:val="18"/>
                <w:szCs w:val="18"/>
                <w:color w:val="auto"/>
              </w:rPr>
              <w:t>7,012,247</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5,316,066</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401(k) Matching Plan</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28,274</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ESPP shares available for purchase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897,255</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897,255</w:t>
            </w:r>
          </w:p>
        </w:tc>
        <w:tc>
          <w:tcPr>
            <w:tcW w:w="100" w:type="dxa"/>
            <w:vAlign w:val="bottom"/>
            <w:tcBorders>
              <w:bottom w:val="single" w:sz="8" w:color="CFF0FC"/>
            </w:tcBorders>
          </w:tcPr>
          <w:p>
            <w:pPr>
              <w:spacing w:after="0"/>
              <w:rPr>
                <w:sz w:val="18"/>
                <w:szCs w:val="18"/>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18,761,810</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17,066,375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2018, the Company adopted the 2018 Equity Incentive Plan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 The Company’s 2008 Equity Incentive Plan (the “2008 Plan”) expired at the beginning of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under the 2008 Plan and the 2018 Plan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ind w:left="320"/>
              <w:spacing w:after="0"/>
              <w:rPr>
                <w:sz w:val="20"/>
                <w:szCs w:val="20"/>
                <w:color w:val="auto"/>
              </w:rPr>
            </w:pPr>
            <w:r>
              <w:rPr>
                <w:rFonts w:ascii="Arial" w:cs="Arial" w:eastAsia="Arial" w:hAnsi="Arial"/>
                <w:sz w:val="15"/>
                <w:szCs w:val="15"/>
                <w:b w:val="1"/>
                <w:bCs w:val="1"/>
                <w:color w:val="auto"/>
              </w:rPr>
              <w:t>Outstanding Options</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5"/>
                <w:szCs w:val="15"/>
                <w:b w:val="1"/>
                <w:bCs w:val="1"/>
                <w:color w:val="auto"/>
              </w:rPr>
              <w:t>Weighted</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97"/>
              </w:rPr>
              <w:t>Average</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rPr>
              <w:t>Aggregate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Weighted</w:t>
            </w:r>
          </w:p>
        </w:tc>
        <w:tc>
          <w:tcPr>
            <w:tcW w:w="114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rPr>
              <w:t>Remaining</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rPr>
              <w:t>Intrinsic</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20" w:type="dxa"/>
            <w:vAlign w:val="bottom"/>
            <w:gridSpan w:val="3"/>
          </w:tcPr>
          <w:p>
            <w:pPr>
              <w:jc w:val="center"/>
              <w:ind w:right="240"/>
              <w:spacing w:after="0" w:line="162" w:lineRule="exact"/>
              <w:rPr>
                <w:sz w:val="20"/>
                <w:szCs w:val="20"/>
                <w:color w:val="auto"/>
              </w:rPr>
            </w:pPr>
            <w:r>
              <w:rPr>
                <w:rFonts w:ascii="Arial" w:cs="Arial" w:eastAsia="Arial" w:hAnsi="Arial"/>
                <w:sz w:val="15"/>
                <w:szCs w:val="15"/>
                <w:b w:val="1"/>
                <w:bCs w:val="1"/>
                <w:color w:val="auto"/>
              </w:rPr>
              <w:t>Options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rPr>
              <w:t>Average</w:t>
            </w:r>
          </w:p>
        </w:tc>
        <w:tc>
          <w:tcPr>
            <w:tcW w:w="114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rPr>
              <w:t>Contractual</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9"/>
              </w:rPr>
              <w:t>Value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20" w:type="dxa"/>
            <w:vAlign w:val="bottom"/>
            <w:gridSpan w:val="3"/>
          </w:tcPr>
          <w:p>
            <w:pPr>
              <w:jc w:val="center"/>
              <w:ind w:right="220"/>
              <w:spacing w:after="0" w:line="162" w:lineRule="exact"/>
              <w:rPr>
                <w:sz w:val="20"/>
                <w:szCs w:val="20"/>
                <w:color w:val="auto"/>
              </w:rPr>
            </w:pPr>
            <w:r>
              <w:rPr>
                <w:rFonts w:ascii="Arial" w:cs="Arial" w:eastAsia="Arial" w:hAnsi="Arial"/>
                <w:sz w:val="15"/>
                <w:szCs w:val="15"/>
                <w:b w:val="1"/>
                <w:bCs w:val="1"/>
                <w:color w:val="auto"/>
              </w:rPr>
              <w:t>Available</w:t>
            </w:r>
          </w:p>
        </w:tc>
        <w:tc>
          <w:tcPr>
            <w:tcW w:w="1160" w:type="dxa"/>
            <w:vAlign w:val="bottom"/>
            <w:gridSpan w:val="2"/>
          </w:tcPr>
          <w:p>
            <w:pPr>
              <w:jc w:val="right"/>
              <w:ind w:right="280"/>
              <w:spacing w:after="0" w:line="162" w:lineRule="exact"/>
              <w:rPr>
                <w:sz w:val="20"/>
                <w:szCs w:val="20"/>
                <w:color w:val="auto"/>
              </w:rPr>
            </w:pPr>
            <w:r>
              <w:rPr>
                <w:rFonts w:ascii="Arial" w:cs="Arial" w:eastAsia="Arial" w:hAnsi="Arial"/>
                <w:sz w:val="15"/>
                <w:szCs w:val="15"/>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Exercise</w:t>
            </w:r>
          </w:p>
        </w:tc>
        <w:tc>
          <w:tcPr>
            <w:tcW w:w="114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97"/>
              </w:rPr>
              <w:t>Life</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rPr>
              <w:t>(in</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for Grant</w:t>
            </w:r>
          </w:p>
        </w:tc>
        <w:tc>
          <w:tcPr>
            <w:tcW w:w="220" w:type="dxa"/>
            <w:vAlign w:val="bottom"/>
            <w:tcBorders>
              <w:bottom w:val="single" w:sz="8" w:color="CFF0FC"/>
            </w:tcBorders>
            <w:gridSpan w:val="2"/>
          </w:tcPr>
          <w:p>
            <w:pPr>
              <w:spacing w:after="0"/>
              <w:rPr>
                <w:sz w:val="15"/>
                <w:szCs w:val="15"/>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5"/>
                <w:szCs w:val="15"/>
                <w:b w:val="1"/>
                <w:bCs w:val="1"/>
                <w:color w:val="auto"/>
              </w:rPr>
              <w:t>Options</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5"/>
                <w:szCs w:val="15"/>
                <w:b w:val="1"/>
                <w:bCs w:val="1"/>
                <w:color w:val="auto"/>
              </w:rPr>
              <w:t>Price</w:t>
            </w:r>
          </w:p>
        </w:tc>
        <w:tc>
          <w:tcPr>
            <w:tcW w:w="2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(in Years)</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rPr>
              <w:t>Thousands)</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Balances at December 31, 2019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5,316,066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10,824,780</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60"/>
              <w:spacing w:after="0"/>
              <w:rPr>
                <w:sz w:val="20"/>
                <w:szCs w:val="20"/>
                <w:color w:val="auto"/>
              </w:rPr>
            </w:pPr>
            <w:r>
              <w:rPr>
                <w:rFonts w:ascii="Arial" w:cs="Arial" w:eastAsia="Arial" w:hAnsi="Arial"/>
                <w:sz w:val="18"/>
                <w:szCs w:val="18"/>
                <w:color w:val="auto"/>
              </w:rPr>
              <w:t>Additional shares reserved</w:t>
            </w:r>
          </w:p>
        </w:tc>
        <w:tc>
          <w:tcPr>
            <w:tcW w:w="1000" w:type="dxa"/>
            <w:vAlign w:val="bottom"/>
          </w:tcPr>
          <w:p>
            <w:pPr>
              <w:jc w:val="right"/>
              <w:spacing w:after="0"/>
              <w:rPr>
                <w:sz w:val="20"/>
                <w:szCs w:val="20"/>
                <w:color w:val="auto"/>
              </w:rPr>
            </w:pPr>
            <w:r>
              <w:rPr>
                <w:rFonts w:ascii="Arial" w:cs="Arial" w:eastAsia="Arial" w:hAnsi="Arial"/>
                <w:sz w:val="18"/>
                <w:szCs w:val="18"/>
                <w:color w:val="auto"/>
              </w:rPr>
              <w:t>2,678,411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granted</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(1,463,250)</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1,463,250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60"/>
              <w:spacing w:after="0"/>
              <w:rPr>
                <w:sz w:val="20"/>
                <w:szCs w:val="20"/>
                <w:color w:val="auto"/>
              </w:rPr>
            </w:pPr>
            <w:r>
              <w:rPr>
                <w:rFonts w:ascii="Arial" w:cs="Arial" w:eastAsia="Arial" w:hAnsi="Arial"/>
                <w:sz w:val="18"/>
                <w:szCs w:val="18"/>
                <w:color w:val="auto"/>
              </w:rPr>
              <w:t>Options exercised</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(982,976)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cancelled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481,020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(481,020)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Balances at March 31,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7,012,247</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10,824,034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22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Vested and expected to vest at</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March 31, 2020</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10,701,082</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8.84</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6.52</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44,576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Outstanding and exercisable at</w:t>
            </w:r>
          </w:p>
        </w:tc>
        <w:tc>
          <w:tcPr>
            <w:tcW w:w="10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60"/>
              <w:spacing w:after="0" w:line="203" w:lineRule="exact"/>
              <w:rPr>
                <w:sz w:val="20"/>
                <w:szCs w:val="20"/>
                <w:color w:val="auto"/>
              </w:rPr>
            </w:pPr>
            <w:r>
              <w:rPr>
                <w:rFonts w:ascii="Arial" w:cs="Arial" w:eastAsia="Arial" w:hAnsi="Arial"/>
                <w:sz w:val="18"/>
                <w:szCs w:val="18"/>
                <w:color w:val="auto"/>
              </w:rPr>
              <w:t>March 31, 2020</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10,824,034</w:t>
            </w:r>
          </w:p>
        </w:tc>
        <w:tc>
          <w:tcPr>
            <w:tcW w:w="140" w:type="dxa"/>
            <w:vAlign w:val="bottom"/>
          </w:tcPr>
          <w:p>
            <w:pPr>
              <w:spacing w:after="0"/>
              <w:rPr>
                <w:sz w:val="17"/>
                <w:szCs w:val="17"/>
                <w:color w:val="auto"/>
              </w:rPr>
            </w:pPr>
          </w:p>
        </w:tc>
        <w:tc>
          <w:tcPr>
            <w:tcW w:w="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8.90</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6.55</w:t>
            </w:r>
          </w:p>
        </w:tc>
        <w:tc>
          <w:tcPr>
            <w:tcW w:w="10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44,651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weighted-average grant date fair value of stock options granted during the three months ended March 31, 2020 and 2019 was $9.73 and $7.72 per share, respectively. The intrinsic value of stock options exercised was $12.8 million and $ 0.7 million for the three months ended March 31, 2020 and 2019, respectively. Due to the Company’s net operating losses, the Company did not realize any tax benefits from stock-based payment arrangements for the three months ended March 31, 2020 and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 Expense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Employee and director stock-based compensation expense for the three months ended March 31, 2020 and 2019, was calculated based on awards ultimately expected to vest and has been reduced for estimated forfeitures. The following table summarizes stock-based compensation expense related to stock-based payment awards previously granted to employees and directors for the three months ended March 31, 2020 and 2019, which was allocated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500" w:type="dxa"/>
            <w:vAlign w:val="bottom"/>
            <w:gridSpan w:val="6"/>
          </w:tcPr>
          <w:p>
            <w:pPr>
              <w:ind w:left="36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5520" w:type="dxa"/>
            <w:vAlign w:val="bottom"/>
            <w:tcBorders>
              <w:bottom w:val="single" w:sz="8" w:color="CFF0FC"/>
            </w:tcBorders>
          </w:tcPr>
          <w:p>
            <w:pPr>
              <w:spacing w:after="0"/>
              <w:rPr>
                <w:sz w:val="18"/>
                <w:szCs w:val="18"/>
                <w:color w:val="auto"/>
              </w:rPr>
            </w:pPr>
          </w:p>
        </w:tc>
        <w:tc>
          <w:tcPr>
            <w:tcW w:w="2220" w:type="dxa"/>
            <w:vAlign w:val="bottom"/>
            <w:tcBorders>
              <w:bottom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1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26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FF0FC"/>
            </w:tcBorders>
          </w:tcPr>
          <w:p>
            <w:pPr>
              <w:spacing w:after="0"/>
              <w:rPr>
                <w:sz w:val="18"/>
                <w:szCs w:val="18"/>
                <w:color w:val="auto"/>
              </w:rPr>
            </w:pPr>
          </w:p>
        </w:tc>
      </w:tr>
      <w:tr>
        <w:trPr>
          <w:trHeight w:val="21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326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3,667</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w:t>
            </w:r>
          </w:p>
        </w:tc>
        <w:tc>
          <w:tcPr>
            <w:tcW w:w="100" w:type="dxa"/>
            <w:vAlign w:val="bottom"/>
            <w:shd w:val="clear" w:color="auto" w:fill="CFF0FC"/>
          </w:tcPr>
          <w:p>
            <w:pPr>
              <w:spacing w:after="0"/>
              <w:rPr>
                <w:sz w:val="18"/>
                <w:szCs w:val="18"/>
                <w:color w:val="auto"/>
              </w:rPr>
            </w:pPr>
          </w:p>
        </w:tc>
      </w:tr>
      <w:tr>
        <w:trPr>
          <w:trHeight w:val="20"/>
        </w:trPr>
        <w:tc>
          <w:tcPr>
            <w:tcW w:w="5520" w:type="dxa"/>
            <w:vAlign w:val="bottom"/>
            <w:tcBorders>
              <w:top w:val="single" w:sz="8" w:color="CFF0FC"/>
            </w:tcBorders>
          </w:tcPr>
          <w:p>
            <w:pPr>
              <w:spacing w:after="0" w:line="20" w:lineRule="exact"/>
              <w:rPr>
                <w:sz w:val="1"/>
                <w:szCs w:val="1"/>
                <w:color w:val="auto"/>
              </w:rPr>
            </w:pPr>
          </w:p>
        </w:tc>
        <w:tc>
          <w:tcPr>
            <w:tcW w:w="2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Stock-Based Compensation Expense and Grants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grants stock options to non-employees in exchange for services performed for the Company. The Company did not grant stock options to non-employees during the three months ended March 31, 2020 and granted 25,000 options to non-employees during the three months ended March 31, 2019. Stock-based compensation expense related to stock-based payment awards to non-employees for the three months ended March 31, 2020 and 2019 was $28,000 and $32,000,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8. Income Taxes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Since inception, the Company has incurred net losses and expects to record a net loss for the year ended December 31, 2020. Additionally, the net deferred tax assets have been fully offset by a valuation allowance. Therefore, the Company has not recorded a tax provision for income taxes for the three months ended March 31, 2020.</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March 27, 2020, the Coronavirus Aid, Relief and Economic Security Act (the “CARES Act”) was enacted. Under U.S. GAAP, the Company is required to recognize the tax effects of new legislation in the reporting period in which the legislation was enacted. The CARES Act included changes to current U.S. tax provisions that benefit business entities and modified certain tax provisions of the 2017 Tax Cuts and Jobs Act (the “2017 Tax Act”). The tax relief measures included a five-year net operating loss carryback, suspension of the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properties. The CARES Act also provided other non-tax benefits to assist business entities impacted by the ongoing COVID-19 pandemic. The Company has evaluated the CARES Act and concluded that it did not result in any material adjustments to the Company’s income tax provision or net deferred tax assets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condensed consolidated financial statements and notes to the condensed consolidated financial statements included elsewhere in this Quarterly Report on Form 10-Q.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that could impact our business, including those set forth in the section titled “Risk Factors” under Part II, Item 1A in this Quarterly Report on Form 10-Q. In some cases, you can identify forward-looking statements by terminology such as “anticipate,” “believe,” “continue,” “could,” “estimate,” “expect,” “intend,” “may,” “plan,” “potentially,” “predict,” “should,” “will” or the negative of these terms or other similar expressions.</w:t>
      </w: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biopharmaceutical company focused on developing novel therapeutics based on our scientific understanding of key biological pathways underlying cardio-metabolic, liver, oncologic and ophthalmic diseases. These diseases represent leading causes of morbidity and mortality and a significant burden for healthcare systems. Since the commencement of our operations in 2008, we have generated a robust portfolio of product candidates. Our most advanced product candidate, aldafermin, previously known as NGM282, is wholly-owned and entered Phase 2b development for the treatment of NASH in 2019. Five of our other product candidates are in Phase 1 clinical trials, and our other programs are in preclinical studies; some of these are subject to our Merck collaboration as described below.</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2015, we entered into a five-year research collaboration, product development and license agreement with Merck that allows us to develop multiple product candidates in parallel without bearing substantially greater costs or incurring significantly greater risk compared to developing candidates on our own. Through March 31, 2020, Merck had paid us $438.4 million, of which $20.0 million was to license NGM313 and related compounds and $418.4 million was upfront payment and reimbursement of research and development expenses. In March 2019, Merck exercised its option to extend the collaboration through March 16, 2022 and has the right to extend it again through March 16, 2024. As part of the extension through March 16, 2022, Merck agreed to continue to fund our research and development efforts at the same levels during the two-year extension period and, in lieu of a $20.0 million extension fee payable to us, Merck will make additional payments totaling up to $20.0 million in support of our research and development activities across 2021 and the first quarter of 2022.</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April 2019, we completed the IPO of our common stock, in which we issued an aggregate of 7,521,394 shares of common stock, including 854,727 shares of common stock issued pursuant to the over-allotment option granted to the underwriters, at a price of $16.00 per share, before underwriting discounts and commissions. We received approximately $107.8 million in net proceeds, after deducting underwriting discounts, commissions and offering expenses of $4.1 million. The offering expenses were offset against the net proceeds received from the sale of common stock. At the closing of the IPO, all shares of outstanding convertible preferred stock were automatically converted to 47,283,839 shares of common stock. Concurrent with the completion of the IPO, we also issued 4,121,683 shares of common stock to Merck in a private placement at a price of $16.00 per share for proceeds of $65.9 million, which resulted in Merck owning approximately 19.9% of our outstanding shares of common stock immediately following the private placement.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jc w:val="both"/>
        <w:spacing w:after="0" w:line="238" w:lineRule="auto"/>
        <w:rPr>
          <w:sz w:val="20"/>
          <w:szCs w:val="20"/>
          <w:color w:val="auto"/>
        </w:rPr>
      </w:pPr>
      <w:r>
        <w:rPr>
          <w:rFonts w:ascii="Arial" w:cs="Arial" w:eastAsia="Arial" w:hAnsi="Arial"/>
          <w:sz w:val="18"/>
          <w:szCs w:val="18"/>
          <w:color w:val="auto"/>
        </w:rPr>
        <w:t>We have incurred net losses in each year since our inception. Our consolidated net losses were $19.1 million and $8.3 million for the three months ended March 31, 2020 and 2019, respectively. As of March 31, 2020, we had an accumulated deficit of $215.3 million. Substantially all of our net losses have resulted from costs incurred in connection with our research and development programs and from general and administrative costs associated with our operations. Our net losses may fluctuate significantly from quarter to quarter and year to year, depending on the timing of our clinical trials and our expenses on other research and development activities.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Since inception, we have funded our operations primarily through the private placement of convertible preferred stock totaling $295.1 million, net proceeds from our IPO of $107.8 million, proceeds from a private placement of shares of common stock to Merck of $65.9 million, research and development service fees provided by collaboration partners, primarily Merck, of $344.2 million, upfront license fees paid by collaboration partners, primarily Merck, of $123.0 million and the license fee from Merck for NGM313 and related compounds of $20.0 million. We do not have any products approved for sale and do not anticipate generating revenue from product sales for the foreseeable future, if ever. We plan to continue to fund our operations and capital funding needs through public or private equity or debt financings, government or other third-party funding, collaborations, strategic alliances and licensing arrangements or a combination of these. The sale of convertible debt or additional equity could result in additional dilution to our stockholders. Incurring indebtedness would result in debt service obligations and could result in operating and financing covenants that would restrict our operations. We cannot ensure that financing will be available in the amounts we need or on terms acceptable to us, if at all. Our ability to raise additional capital may be adversely impacted by worsening global economic conditions and the recent disruptions to, and volatility in, the credit and financial markets in the United States and worldwide resulting from the evolving effects of the COVID-19 pandemic. If we are not able to secure adequate additional funding, we may be forced to make reductions in spending, extend payment terms with suppliers, liquidate assets where possible and/or suspend or curtail planned programs. Any of these actions could materially harm our business, results of operations and future prospects. 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w:t>
      </w:r>
    </w:p>
    <w:p>
      <w:pPr>
        <w:spacing w:after="0" w:line="34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have no manufacturing facilities and all of our manufacturing activities are contracted out to third parties. Additionally, we utilize third-party CROs to carry out certain clinical development activities.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COVID-19 Business Update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continuing to closely monitor the impact of the global COVID-19 pandemic on our business and are taking proactive efforts designed to protect the health and safety of our patients, study investigators, clinical research staff and employees, and to maintain business continuity. We believe that the measures we are implementing are appropriate. We will continue to closely monitor and seek to comply with guidance from governmental authorities and adjust our activities as appropriate.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Based on guidance issued by federal, state and local authorities, we transitioned to a remote work model for a vast majority of our employees, effective March 16, 2020, while maintaining essential in-person laboratory functions in order to advance key research and development initiatives, supported by the implementation of updated onsite safety procedures.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conduct of our business activities, we are also taking actions designed to protect the safety and well-being of patients, healthcare workers and employees. For patients already enrolled in our clinical trials, we are working closely with clinical trial investigators and site staff to continue treatment in compliance with trial protocols and to uphold trial integrity, while working to observe government and institutional guidelines designed to safeguard the health and safety of patients, clinical trial investigators and site staff. We are continuing to evaluate clinical trial site initiations and patient enrollment on a case-by-case and patient-by-patient basis in coordination with clinical trial investigators and site staff. Some clinical trial sites, both within and outside of the United States, continue to screen patients in our clinical trials, and new patients are being enrolled when appropriate. These internal and external efforts have allowed us to continue progress across our clinical development programs, and while we have, overall, experienced a slower pace of clinical trial site initiation and clinical trial enrollment than originally anticipated in certain of our clinical trials, including our Phase 2b clinical trials of aldafermin for the treatment of NASH patients with fibrosis stage F2 or F3 (“ALPINE 2/3”) and stage F4 (“ALPINE 4”), the impact of the COVID-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8" w:name="page29"/>
    <w:bookmarkEnd w:id="28"/>
    <w:p>
      <w:pPr>
        <w:jc w:val="both"/>
        <w:spacing w:after="0" w:line="246" w:lineRule="auto"/>
        <w:rPr>
          <w:sz w:val="20"/>
          <w:szCs w:val="20"/>
          <w:color w:val="auto"/>
        </w:rPr>
      </w:pPr>
      <w:r>
        <w:rPr>
          <w:rFonts w:ascii="Arial" w:cs="Arial" w:eastAsia="Arial" w:hAnsi="Arial"/>
          <w:sz w:val="18"/>
          <w:szCs w:val="18"/>
          <w:color w:val="auto"/>
        </w:rPr>
        <w:t>19 pandemic to date has not resulted in a significant impact to our clinical development timelines and we currently remain on track with previously provided timelines.</w:t>
      </w:r>
    </w:p>
    <w:p>
      <w:pPr>
        <w:spacing w:after="0" w:line="197"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While the COVID-19 pandemic has not yet resulted in a significant delay to our clinical development timelines, as the pandemic continues, we anticipate a continuing negative impact on our ability to initiate additional clinical trial sites, maintain patient enrollment and enroll new patients which may impact timelines in the future. Our ability to attract clinical trial sites and principal investigators to conduct our clinical trials and to conduct the necessary clinical trial site initiation procedures has been and may continue to be impacted by quarantines, shelter-in-place and similar restrictions imposed by federal, state and local governments. These restrictions may also prohibit patients from enrolling in, or continuing to participate in, our clinical trials. Principal investigators and clinical trial site staff, as healthcare providers, may have heightened exposure to COVID</w:t>
      </w:r>
      <w:r>
        <w:rPr>
          <w:rFonts w:ascii="MS PGothic" w:cs="MS PGothic" w:eastAsia="MS PGothic" w:hAnsi="MS PGothic"/>
          <w:sz w:val="18"/>
          <w:szCs w:val="18"/>
          <w:color w:val="auto"/>
        </w:rPr>
        <w:t>‑</w:t>
      </w:r>
      <w:r>
        <w:rPr>
          <w:rFonts w:ascii="Arial" w:cs="Arial" w:eastAsia="Arial" w:hAnsi="Arial"/>
          <w:sz w:val="18"/>
          <w:szCs w:val="18"/>
          <w:color w:val="auto"/>
        </w:rPr>
        <w:t>19 and if their health is impacted by COVID-19 it could adversely impact the conduct of our clinical trials at their sites. Similarly, potential participants in our clinical trials may be unwilling to enroll in, and enrolled patients may be unwilling to continue to participate in, our clinical trials due to an unwillingness to travel to sites for required screening and clinical trial visits and procedures. Enrolled patients may be unable to comply with clinical trial protocols if quarantines, shelter-in-place and similar restrictions continue to impede patient movement or interrupt healthcare services. In addition, we may be required to develop and implement additional clinical study policies and procedures designed to help protect patients from the COVID-19 disease, which may include using telemedicine visits, remote monitoring of patients and clinical trial sites, and measures designed to ensure that data from clinical trials that may be disrupted as result of the pandemic are collected pursuant to the study protocol and consistent with current Good Clinical Practices (“cGCPs”), with any material protocol deviation reviewed and approved by the clinical trial site Institutional Review Boards (“IRB”), all or any of which could materially and adversely affect our clinical development timelines and our ability to obtain regulatory approvals of our product candidates, and could significantly increase our costs. We could also see an impact on our ability to report clinical trial results, or interact with regulators, ethics committees or other important agencies due to limitations in regulatory authority employee resources or otherwise. Moreover, we rely on third-party CROs and other third parties to assist us with clinical development activities, and we cannot guarantee that they will continue to perform their contractual duties in a timely and satisfactory manner as a result of the COVID-19 pandemic. In addition, while we have not experienced, and do not at this time anticipate, any disruption to drug supply for our ongoing clinical trials, we could experience disruptions to our supply chain and operations resulting from the evolving effects of the COVID-19 pandemic, and associated delays in the manufacturing and supply of drug product for our clinical trials, which could adversely affect our ability to conduct ongoing and future clinical trials of our product candidates. In any event, if the COVID-19 pandemic continues and persists for an extended period of time, we could experience significant disruptions to our clinical development timelines, which would adversely affect our business, financial condition, results of operations and growth prospects.</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the pandemic could result in significant and prolonged disruption of global financial markets, reducing our ability to access capital, which could in the future negatively affect the financial resources available to us. In addition, a recession or market correction resulting from the spread of COVID-19 could materially affect our business and the value of our common stock. We also cannot predict how the evolving effects of the COVID-19 pandemic may influence the future decisions of our current collaborator to license any programs available to it under the Collaboration Agreement or to exercise its remaining option to extend our research and early development program beyond March 16, 2022.</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While we expect the COVID-19 pandemic to continue to adversely affect our business operations, the extent of the impact on our clinical development and regulatory efforts, our ability to raise sufficient additional capital on acceptable terms, if at all, the decisions of our collaboration partner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U.S. and in other countries, and the effectiveness of actions taken globally to contain and treat COVID-19. For additional information about risks and uncertainties related to the COVID-19 pandemic that may impact our business, financial condition and results of operations, 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under Part II, Item 1A in this Quarterly Report on Form 10-Q.</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revenue to date has been generated primarily from recognition of license fees and research and development service funding pursuant to our collaboration agreements, the most significant of which is with Merck. Merck is also a significant stockholder and therefore a related party, as such, collaboration revenue from Merck is referred to as related party revenue. We have not generated any revenue from commercial product sales to date. We receive research and development funding pursuant to our Collaboration Agreement and we may also be entitled to receive additional milestone and other contingent payments upon the occurrence of specific events. Due to the nature of this Collaboration Agreement and timing of related revenue recognition, our revenue has fluctuated from period to period in the past and we expect that it will continue to fluctuate in future periods.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summarizes the sources of our related party revenue for the three months ended March 31, 2020 and 2019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00" w:type="dxa"/>
            <w:vAlign w:val="bottom"/>
          </w:tcPr>
          <w:p>
            <w:pPr>
              <w:spacing w:after="0"/>
              <w:rPr>
                <w:sz w:val="19"/>
                <w:szCs w:val="19"/>
                <w:color w:val="auto"/>
              </w:rPr>
            </w:pPr>
          </w:p>
        </w:tc>
        <w:tc>
          <w:tcPr>
            <w:tcW w:w="354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770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24,364</w:t>
            </w: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25,552</w:t>
            </w:r>
          </w:p>
        </w:tc>
        <w:tc>
          <w:tcPr>
            <w:tcW w:w="120" w:type="dxa"/>
            <w:vAlign w:val="bottom"/>
            <w:shd w:val="clear" w:color="auto" w:fill="CFF0FC"/>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Research and development efforts relating to our product candidates include manufacturing drug substance and drug product, clinical trial supplies, conducting preclinical studies and clinical trials and providing support for these operations.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research and development expenses consist of both internal and external costs. Our internal costs include employee, consultant, facility and other research and development operating expenses. Our external costs include fees paid to CROs and other service providers in connection with our clinical trials and preclinical studies, third-party license fees and costs related to acquiring and manufacturing drug substance, drug product and clinical trial materials.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clinical development efforts are spread across multiple programs, some of which are subject to the Merck collaboration and two of which, aldafermin and NGM395, are wholly-owned and funded by us. Our lead product candidate, aldafermin, is being studied in two ongoing Phase 2b clinical trials for the treatment of NASH. For the foreseeable future, we anticipate the majority of our financial resources outside of the Merck collaboration will be dedicated to the development of aldafermin. We are also devoting financial resources to the development of NGM395, a long-acting GDF15 analog. In the future, we may devote financial resources to other programs in the event Merck does not elect to license these programs upon completion of a proof-of-concept study or in the event Merck elects to terminate its license to a program.</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our research and development expenses, including the clinical development of our other product candidates that are subject to the Merck collaboration, exceed the funding caps provided in our Collaboration Agreement, which may happen in the fiscal year ended December 31, 2020 and potentially thereafter during the collaboration, we could be required to devote our own financial resources toward the development of programs subject to the collaboration.</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Earlier this year, we completed the fourth and final 24-week expansion cohort of a Phase 2 trial of aldafermin, a double-blind, placebo-controlled study of once-daily 1 mg aldafermin for the treatment of patients with fibrosis stage F2 or F3 NASH. Our ongoing Phase 2b clinical trials include our ALPINE 2/3 clinical trial, a double-blind, placebo-controlled study testing 0.3 mg, 1 mg and 3 mg daily doses of aldafermin for 24 weeks for the treatment of NASH patients with fibrosis stage F2 or F3, and our ALPINE 4 clinical trial, a double-blind, placebo-controlled study testing 0.3 mg, 1 mg and 3 mg daily doses of aldafermin for 48 weeks for the treatment of fibrosis stage F4 NASH patients with compensated cirrhosis. The ALPINE 4 clinical trial was initiated in the first quarter of 2020. Significant portions of our research and development resources are focused on these clinical trials and other work needed to prepare aldafermin for potential regulatory approval for the treatment of NASH, including manufacturing of clinical trial materials and preparation for Phase 3 testing.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jc w:val="both"/>
        <w:spacing w:after="0" w:line="237" w:lineRule="auto"/>
        <w:rPr>
          <w:sz w:val="20"/>
          <w:szCs w:val="20"/>
          <w:color w:val="auto"/>
        </w:rPr>
      </w:pPr>
      <w:r>
        <w:rPr>
          <w:rFonts w:ascii="Arial" w:cs="Arial" w:eastAsia="Arial" w:hAnsi="Arial"/>
          <w:sz w:val="18"/>
          <w:szCs w:val="18"/>
          <w:color w:val="auto"/>
        </w:rPr>
        <w:t>NGM395, together with NGM386, comprise our GDF15 receptor agonist program and both were licensed to Merck at the inception of the Merck collaboration. Substantially all of the related research and development expenses for these product candidates were borne directly by Merck under our Collaboration Agreement until May 2019, when Merck terminated its license to the GDF15 receptor agonist program and we regained full rights to NGM395 and NGM386. Following our assessment of the NGM386 study results, we decided to suspend activities related to NGM386 and focus on advancing NGM395. In the first quarter of 2020, we initiated a Phase 1 clinical trial evaluating the safety, tolerability and pharmacokinetics of NGM395 in obese but otherwise healthy adults. As a result, we expect to continue to incur research and development expenses with respect to NGM395 in the future.</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substantial research activities and work with preclinical candidates, we have ongoing Phase 1 clinical programs for our NGM120, NGM217 and NGM621 product candidates, all of which are subject to reimbursement under our Merck collaboration up to the funding caps provided in the Collaboration Agreement.</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NGM120, an antagonistic antibody that binds glial cell-derived neurotrophic factor receptor alpha-like (“GFRAL”) and inhibits GDF15 signaling, we recently completed a Phase 1 trial assessing safety, tolerability and pharmacokinetics. This clinical trial demonstrated that NGM120 was well tolerated at all doses studied and the pharmacokinetics supported once-monthly dosing. Earlier this year, we initiated a Phase 1a/1b clinical study with NGM120 in cancer patients to explore its potential to treat cancer anorexia/cachexia syndrome and, possibly, cancer. Merck has a one-time option to license NGM120 upon our completion of a proof-of-concept study in humans.</w:t>
      </w:r>
    </w:p>
    <w:p>
      <w:pPr>
        <w:spacing w:after="0" w:line="202" w:lineRule="exact"/>
        <w:rPr>
          <w:sz w:val="20"/>
          <w:szCs w:val="20"/>
          <w:color w:val="auto"/>
        </w:rPr>
      </w:pPr>
    </w:p>
    <w:p>
      <w:pPr>
        <w:jc w:val="both"/>
        <w:spacing w:after="0" w:line="206" w:lineRule="exact"/>
        <w:rPr>
          <w:sz w:val="20"/>
          <w:szCs w:val="20"/>
          <w:color w:val="auto"/>
        </w:rPr>
      </w:pPr>
      <w:r>
        <w:rPr>
          <w:rFonts w:ascii="Arial" w:cs="Arial" w:eastAsia="Arial" w:hAnsi="Arial"/>
          <w:sz w:val="18"/>
          <w:szCs w:val="18"/>
          <w:color w:val="auto"/>
        </w:rPr>
        <w:t>Earlier this year, we substantially completed our Phase 1 clinical trial of NGM217, an inhibitory antibody against an undisclosed target, to assess safety and tolerability and to inform dose-range finding for future studies. Based on those results, in the second half of 2020, we plan to commence a Phase 1b/2a proof of</w:t>
      </w:r>
      <w:r>
        <w:rPr>
          <w:rFonts w:ascii="MS PGothic" w:cs="MS PGothic" w:eastAsia="MS PGothic" w:hAnsi="MS PGothic"/>
          <w:sz w:val="18"/>
          <w:szCs w:val="18"/>
          <w:color w:val="auto"/>
        </w:rPr>
        <w:t>‑</w:t>
      </w:r>
      <w:r>
        <w:rPr>
          <w:rFonts w:ascii="Arial" w:cs="Arial" w:eastAsia="Arial" w:hAnsi="Arial"/>
          <w:sz w:val="18"/>
          <w:szCs w:val="18"/>
          <w:color w:val="auto"/>
        </w:rPr>
        <w:t>concept study in adults with autoimmune diabetes to assess NGM217’s ability to increase levels of C-peptide, a biomarker of insulin production. Merck has a one-time option to license NGM217 upon our completion of a proof-of-concept study in humans.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completed enrollment in a Phase 1 clinical trial of NGM621, an inhibitory antibody binding complement C3, to assess the safety and tolerability of up to two intravitreal injections of NGM621 in patients with geographic atrophy (“GA”), an advanced dry form of AMD. We also plan to initiate a Phase 2 proof-of-concept clinical trial, also in patients with GA, in the second half of 2020. Merck has a one-time option to license NGM621 upon our completion of a proof-of-concept study in humans.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2018, Merck exercised its option to license our NGM313 program. NGM313, now also known as MK-3655, is an agonistic antibody selectively modulating fibroblast growth factor receptor 1c-beta-klotho (“FGFR1c/KLB”). Upon exercising its license, Merck became responsible for all future development expenses unless we elect to exercise our worldwide cost and profit sharing option at the commencement of Phase 3 testing, at which point we would be responsible for a portion of the future development expense. NGM313 has completed the single ascending dose and multiple ascending dose portions of Phase 1 testing in overweight or obese but otherwise healthy adults, as well as a Phase 1b study in obese insulin resistant subjects with nonalcoholic fatty liver disease. We expect Merck to initiate a Phase 2b study of NGM313 in NASH patients in the second half of 2020.</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research and development expenses related to the development of aldafermin, NGM313 (prior to Merck exercising its option), NGM120, NGM217, NGM621 and NGM395 consist primarily of:</w:t>
      </w:r>
    </w:p>
    <w:p>
      <w:pPr>
        <w:spacing w:after="0" w:line="197" w:lineRule="exact"/>
        <w:rPr>
          <w:sz w:val="20"/>
          <w:szCs w:val="20"/>
          <w:color w:val="auto"/>
        </w:rPr>
      </w:pPr>
    </w:p>
    <w:p>
      <w:pPr>
        <w:ind w:left="820" w:hanging="27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w:t>
      </w:r>
    </w:p>
    <w:p>
      <w:pPr>
        <w:spacing w:after="0" w:line="211" w:lineRule="exact"/>
        <w:rPr>
          <w:rFonts w:ascii="Arial" w:cs="Arial" w:eastAsia="Arial" w:hAnsi="Arial"/>
          <w:sz w:val="18"/>
          <w:szCs w:val="18"/>
          <w:color w:val="auto"/>
        </w:rPr>
      </w:pPr>
    </w:p>
    <w:p>
      <w:pPr>
        <w:ind w:left="820" w:right="20" w:hanging="272"/>
        <w:spacing w:after="0" w:line="246"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including continued testing, such as process validation and stability, of drug substance and drug product;</w:t>
      </w:r>
    </w:p>
    <w:p>
      <w:pPr>
        <w:spacing w:after="0" w:line="196" w:lineRule="exact"/>
        <w:rPr>
          <w:rFonts w:ascii="Arial" w:cs="Arial" w:eastAsia="Arial" w:hAnsi="Arial"/>
          <w:sz w:val="18"/>
          <w:szCs w:val="18"/>
          <w:color w:val="auto"/>
        </w:rPr>
      </w:pPr>
    </w:p>
    <w:p>
      <w:pPr>
        <w:ind w:left="820" w:hanging="27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 related studies;</w:t>
      </w:r>
    </w:p>
    <w:p>
      <w:pPr>
        <w:spacing w:after="0" w:line="211" w:lineRule="exact"/>
        <w:rPr>
          <w:rFonts w:ascii="Arial" w:cs="Arial" w:eastAsia="Arial" w:hAnsi="Arial"/>
          <w:sz w:val="18"/>
          <w:szCs w:val="18"/>
          <w:color w:val="auto"/>
        </w:rPr>
      </w:pPr>
    </w:p>
    <w:p>
      <w:pPr>
        <w:ind w:left="820" w:right="20" w:hanging="272"/>
        <w:spacing w:after="0" w:line="246"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research and development functions;</w:t>
      </w:r>
    </w:p>
    <w:p>
      <w:pPr>
        <w:spacing w:after="0" w:line="196" w:lineRule="exact"/>
        <w:rPr>
          <w:rFonts w:ascii="Arial" w:cs="Arial" w:eastAsia="Arial" w:hAnsi="Arial"/>
          <w:sz w:val="18"/>
          <w:szCs w:val="18"/>
          <w:color w:val="auto"/>
        </w:rPr>
      </w:pPr>
    </w:p>
    <w:p>
      <w:pPr>
        <w:ind w:left="820" w:hanging="27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paid to consultants for research and development activities;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1" w:name="page32"/>
    <w:bookmarkEnd w:id="31"/>
    <w:p>
      <w:pPr>
        <w:ind w:left="820" w:hanging="27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operating expenses, including facility costs and depreciation expenses; and</w:t>
      </w:r>
    </w:p>
    <w:p>
      <w:pPr>
        <w:spacing w:after="0" w:line="211" w:lineRule="exact"/>
        <w:rPr>
          <w:rFonts w:ascii="Arial" w:cs="Arial" w:eastAsia="Arial" w:hAnsi="Arial"/>
          <w:sz w:val="18"/>
          <w:szCs w:val="18"/>
          <w:color w:val="auto"/>
        </w:rPr>
      </w:pPr>
    </w:p>
    <w:p>
      <w:pPr>
        <w:ind w:left="820" w:hanging="27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process of conducting and supplying materials for preclinical studies and clinical trials necessary to obtain regulatory approval of our product candidates is costly and time consuming. We may never succeed in achieving marketing approval for any of our product candidates. The success of each product candidate may be affected by numerous factors, including preclinical data, clinical data, competition, manufacturing capability, our sales capabilities, our ability to work effectively with our collaboration partners, regulatory matters, third-party payor matters and commercial viability.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research and development expenses for our programs, including programs that are subject to our</w:t>
      </w:r>
    </w:p>
    <w:p>
      <w:pPr>
        <w:spacing w:after="0"/>
        <w:rPr>
          <w:sz w:val="20"/>
          <w:szCs w:val="20"/>
          <w:color w:val="auto"/>
        </w:rPr>
      </w:pPr>
      <w:r>
        <w:rPr>
          <w:rFonts w:ascii="Arial" w:cs="Arial" w:eastAsia="Arial" w:hAnsi="Arial"/>
          <w:sz w:val="18"/>
          <w:szCs w:val="18"/>
          <w:color w:val="auto"/>
        </w:rPr>
        <w:t>Collaboration Agreement with Merck, for the three months ended March 31, 2020 and 2019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500" w:type="dxa"/>
            <w:vAlign w:val="bottom"/>
            <w:gridSpan w:val="6"/>
          </w:tcPr>
          <w:p>
            <w:pPr>
              <w:ind w:left="36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642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0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8"/>
                <w:szCs w:val="18"/>
                <w:color w:val="auto"/>
              </w:rPr>
              <w:t>Aldafermin (FGF19 analog)</w:t>
            </w:r>
          </w:p>
        </w:tc>
        <w:tc>
          <w:tcPr>
            <w:tcW w:w="23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14,151</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NGM313 (FGFR1c/KLB agonist)</w:t>
            </w:r>
          </w:p>
        </w:tc>
        <w:tc>
          <w:tcPr>
            <w:tcW w:w="1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8"/>
                <w:szCs w:val="18"/>
                <w:color w:val="auto"/>
              </w:rPr>
              <w:t>NGM120 (GFRAL antagonist)</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NGM217 (undisclosed)</w:t>
            </w:r>
          </w:p>
        </w:tc>
        <w:tc>
          <w:tcPr>
            <w:tcW w:w="1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8"/>
                <w:szCs w:val="18"/>
                <w:color w:val="auto"/>
              </w:rPr>
              <w:t>NGM621 (C3 inhibitor)</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NGM395 (GDF15 analog)</w:t>
            </w:r>
          </w:p>
        </w:tc>
        <w:tc>
          <w:tcPr>
            <w:tcW w:w="1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external research and development expenses</w:t>
            </w:r>
          </w:p>
        </w:tc>
        <w:tc>
          <w:tcPr>
            <w:tcW w:w="13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100" w:type="dxa"/>
            <w:vAlign w:val="bottom"/>
            <w:tcBorders>
              <w:bottom w:val="single" w:sz="8" w:color="CFF0FC"/>
            </w:tcBorders>
          </w:tcPr>
          <w:p>
            <w:pPr>
              <w:spacing w:after="0"/>
              <w:rPr>
                <w:sz w:val="18"/>
                <w:szCs w:val="18"/>
                <w:color w:val="auto"/>
              </w:rPr>
            </w:pPr>
          </w:p>
        </w:tc>
      </w:tr>
      <w:tr>
        <w:trPr>
          <w:trHeight w:val="21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Total external research and development expenses</w:t>
            </w:r>
          </w:p>
        </w:tc>
        <w:tc>
          <w:tcPr>
            <w:tcW w:w="1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21,091</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13,503</w:t>
            </w:r>
          </w:p>
        </w:tc>
        <w:tc>
          <w:tcPr>
            <w:tcW w:w="100" w:type="dxa"/>
            <w:vAlign w:val="bottom"/>
            <w:shd w:val="clear" w:color="auto" w:fill="CFF0FC"/>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Personnel-related expenses</w:t>
            </w: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10,818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8,727</w:t>
            </w:r>
          </w:p>
        </w:tc>
        <w:tc>
          <w:tcPr>
            <w:tcW w:w="100" w:type="dxa"/>
            <w:vAlign w:val="bottom"/>
          </w:tcPr>
          <w:p>
            <w:pPr>
              <w:spacing w:after="0"/>
              <w:rPr>
                <w:sz w:val="18"/>
                <w:szCs w:val="18"/>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Internal and unallocated research and development expenses</w:t>
            </w:r>
            <w:r>
              <w:rPr>
                <w:rFonts w:ascii="Arial" w:cs="Arial" w:eastAsia="Arial" w:hAnsi="Arial"/>
                <w:sz w:val="15"/>
                <w:szCs w:val="15"/>
                <w:color w:val="auto"/>
              </w:rPr>
              <w:t>(1)</w:t>
            </w:r>
          </w:p>
        </w:tc>
        <w:tc>
          <w:tcPr>
            <w:tcW w:w="132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6,530</w:t>
            </w:r>
          </w:p>
        </w:tc>
        <w:tc>
          <w:tcPr>
            <w:tcW w:w="2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7,297</w:t>
            </w:r>
          </w:p>
        </w:tc>
        <w:tc>
          <w:tcPr>
            <w:tcW w:w="100" w:type="dxa"/>
            <w:vAlign w:val="bottom"/>
            <w:shd w:val="clear" w:color="auto" w:fill="CFF0FC"/>
          </w:tcPr>
          <w:p>
            <w:pPr>
              <w:spacing w:after="0"/>
              <w:rPr>
                <w:sz w:val="18"/>
                <w:szCs w:val="18"/>
                <w:color w:val="auto"/>
              </w:rPr>
            </w:pPr>
          </w:p>
        </w:tc>
      </w:tr>
      <w:tr>
        <w:trPr>
          <w:trHeight w:val="209"/>
        </w:trPr>
        <w:tc>
          <w:tcPr>
            <w:tcW w:w="64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3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38,439</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29,527</w:t>
            </w:r>
          </w:p>
        </w:tc>
        <w:tc>
          <w:tcPr>
            <w:tcW w:w="10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540" w:hanging="532"/>
        <w:spacing w:after="0" w:line="258"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Internal and unallocated research and development expenses consist primarily research supplies and consulting fees, which we deploy across multiple research and development programs.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and if or when we may receive any significant revenue from sales of any approved product candidates. This is due to the numerous risks and uncertainties associated with developing drugs, including the uncertainty of:</w:t>
      </w:r>
    </w:p>
    <w:p>
      <w:pPr>
        <w:spacing w:after="0" w:line="205" w:lineRule="exact"/>
        <w:rPr>
          <w:sz w:val="20"/>
          <w:szCs w:val="20"/>
          <w:color w:val="auto"/>
        </w:rPr>
      </w:pPr>
    </w:p>
    <w:p>
      <w:pPr>
        <w:ind w:left="820" w:hanging="272"/>
        <w:spacing w:after="0" w:line="246"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key trial activities and patient enrollment or diversion of healthcare resources as a result of the evolving effects of the COVID-19 pandemic or otherwise;</w:t>
      </w:r>
    </w:p>
    <w:p>
      <w:pPr>
        <w:spacing w:after="0" w:line="196" w:lineRule="exact"/>
        <w:rPr>
          <w:rFonts w:ascii="Arial" w:cs="Arial" w:eastAsia="Arial" w:hAnsi="Arial"/>
          <w:sz w:val="18"/>
          <w:szCs w:val="18"/>
          <w:color w:val="auto"/>
        </w:rPr>
      </w:pPr>
    </w:p>
    <w:p>
      <w:pPr>
        <w:ind w:left="820" w:hanging="272"/>
        <w:spacing w:after="0" w:line="246"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production shortages or other supply interruptions in clinical trial materials resulting from the evolving effects of the COVID-19 pandemic or otherwise;</w:t>
      </w:r>
    </w:p>
    <w:p>
      <w:pPr>
        <w:spacing w:after="0" w:line="196" w:lineRule="exact"/>
        <w:rPr>
          <w:rFonts w:ascii="Arial" w:cs="Arial" w:eastAsia="Arial" w:hAnsi="Arial"/>
          <w:sz w:val="18"/>
          <w:szCs w:val="18"/>
          <w:color w:val="auto"/>
        </w:rPr>
      </w:pPr>
    </w:p>
    <w:p>
      <w:pPr>
        <w:ind w:left="820" w:hanging="27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w:t>
      </w:r>
    </w:p>
    <w:p>
      <w:pPr>
        <w:spacing w:after="0" w:line="211" w:lineRule="exact"/>
        <w:rPr>
          <w:rFonts w:ascii="Arial" w:cs="Arial" w:eastAsia="Arial" w:hAnsi="Arial"/>
          <w:sz w:val="18"/>
          <w:szCs w:val="18"/>
          <w:color w:val="auto"/>
        </w:rPr>
      </w:pPr>
    </w:p>
    <w:p>
      <w:pPr>
        <w:ind w:left="820" w:hanging="27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Merck will elect to license or terminate its license to any of our programs and the timing of such election or termination;</w:t>
      </w:r>
    </w:p>
    <w:p>
      <w:pPr>
        <w:spacing w:after="0" w:line="211" w:lineRule="exact"/>
        <w:rPr>
          <w:rFonts w:ascii="Arial" w:cs="Arial" w:eastAsia="Arial" w:hAnsi="Arial"/>
          <w:sz w:val="18"/>
          <w:szCs w:val="18"/>
          <w:color w:val="auto"/>
        </w:rPr>
      </w:pPr>
    </w:p>
    <w:p>
      <w:pPr>
        <w:ind w:left="820" w:hanging="272"/>
        <w:spacing w:after="0" w:line="246"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additional, clinical trials and other research and development activities; and</w:t>
      </w:r>
    </w:p>
    <w:p>
      <w:pPr>
        <w:spacing w:after="0" w:line="196" w:lineRule="exact"/>
        <w:rPr>
          <w:rFonts w:ascii="Arial" w:cs="Arial" w:eastAsia="Arial" w:hAnsi="Arial"/>
          <w:sz w:val="18"/>
          <w:szCs w:val="18"/>
          <w:color w:val="auto"/>
        </w:rPr>
      </w:pPr>
    </w:p>
    <w:p>
      <w:pPr>
        <w:ind w:left="820" w:hanging="27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2" w:name="page33"/>
    <w:bookmarkEnd w:id="32"/>
    <w:p>
      <w:pPr>
        <w:jc w:val="both"/>
        <w:spacing w:after="0" w:line="237" w:lineRule="auto"/>
        <w:rPr>
          <w:sz w:val="20"/>
          <w:szCs w:val="20"/>
          <w:color w:val="auto"/>
        </w:rPr>
      </w:pPr>
      <w:r>
        <w:rPr>
          <w:rFonts w:ascii="Arial" w:cs="Arial" w:eastAsia="Arial" w:hAnsi="Arial"/>
          <w:sz w:val="18"/>
          <w:szCs w:val="18"/>
          <w:color w:val="auto"/>
        </w:rPr>
        <w:t>A change in the outcome of any of the risks and uncertainties associated with the development of a product candidate, including those risks and uncertainties associated with the evolving effects of the COVID-19 pandemic, could mean a significant change in the costs and timing associated with the development of that product candidate and its likelihood of potential approval. For example, if the U.S. Food and Drug Administration (“FDA”) or another regulatory authority were to require us to conduct clinical trials beyond those that we currently anticipate will be required for the completion of clinical development of a product candidate, or if we experience significant delays in the initiation, enrollment or completion of any of our clinical trials, whether due to the evolving effects of the COVID-19 pandemic or otherwise, we could be required to expend significant additional financial resources and time on the completion of clinical development.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Other significant costs include legal fees relating to patent and corporate matters, facility costs not otherwise included in research and development expenses and fees for accounting and other consulting services.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These increases will likely include increased costs related to the hiring of additional personnel and fees to outside consultants, lawyers and accountants, among other expenses. Additionally, we anticipate continued increased costs associated with being a public company, including expenses related to services associated with maintaining compliance with Nasdaq listing rules and related SEC requirements and insurance and investor relations costs. In addition, we may incur expenses associated with building a commercial organization in connection with, and prior to, potential future regulatory approval of our product candidates.</w:t>
      </w:r>
    </w:p>
    <w:p>
      <w:pPr>
        <w:spacing w:after="0" w:line="18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2020 and 2019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CFF0FC"/>
            </w:tcBorders>
          </w:tcPr>
          <w:p>
            <w:pPr>
              <w:spacing w:after="0"/>
              <w:rPr>
                <w:sz w:val="18"/>
                <w:szCs w:val="18"/>
                <w:color w:val="auto"/>
              </w:rPr>
            </w:pPr>
          </w:p>
        </w:tc>
        <w:tc>
          <w:tcPr>
            <w:tcW w:w="18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24,364</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25,552</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8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8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34,894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Loss from operations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(20,670)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(9,342)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(19,115)</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(8,268)</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Related Party Revenue. </w:t>
      </w:r>
      <w:r>
        <w:rPr>
          <w:rFonts w:ascii="Arial" w:cs="Arial" w:eastAsia="Arial" w:hAnsi="Arial"/>
          <w:sz w:val="18"/>
          <w:szCs w:val="18"/>
          <w:color w:val="auto"/>
        </w:rPr>
        <w:t>Related party revenue was $24.4 million and $25.6 million for the three months ended March 31, 2020 and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decrease of $1.2 million in revenue was attributable to a decrease of $0.8 million as we completed all remaining obligations associated with the initial upfront payment from Merck at the conclusion of our initial five-year term under the Collaboration Agreement on March 16, 2020 and a decrease of $0.4 million in reimbursable costs due to timing of research and development activities.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3" w:name="page34"/>
    <w:bookmarkEnd w:id="33"/>
    <w:p>
      <w:pPr>
        <w:jc w:val="both"/>
        <w:spacing w:after="0" w:line="238"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expenses were $38.4 million and $29.5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2020 and 2019, respectively. The increase in research and development expenses of $8.9 million was primarily attributable to an increase of $9.1 million in external expenses, primarily driven by ongoing and recently initiated Phase 2b clinical trials of aldafermin, and an increase of $2.1 million in personnel-related expenses due to increased headcount. These increases were partially offset by a decrease of $1.5 million in external expenses resulting from the completion of certain clinical trial activities related to our other development programs and decrease in clinical trial materials purchases and a decrease of $0.8 million in unallocated research and development expenses related to early research testing. We expect our research and development expenses will continue to increase in connection with our ongoing activities, particularly to the extent that product candidates whose costs are not borne by our collaborator, such as aldafermin and NGM395, advance in clinical development. In addition, we may be required to develop and implement additional clinical study policies and procedures associated with the evolving effects of the COVID-19 pandemic, which could significantly increase our research and development expenses.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$6.6 million and $5.4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2020 and 2019, respectively. The increase in general and administrative expenses of $1.2 million was primarily attributable to an increase of $1.2 million in personnel-related expenses, including stock-based compensation, due to increased headcount, and $0.6 million in insurance and consulting expenses in connection with being a public company. These increases were partially offset by a decrease of $0.2 million in audit expenses and $0.4 million in legal expenses associated with maintaining our intellectual property rights. We anticipate general and administrative expenses will continue to increase year over year in connection with being a public company which may include increased expenses related to services associated with maintaining compliance with Nasdaq listing rules and related SEC requirements, insurance and investor relations costs.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was $1.2 million and $1.1 million for the three months ended March 31, 2020 and 2019,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interest income was primarily attributable to an increase in our cash and investments balance subsequent to the completion of our IPO and private placement in April 2019 partially offset by a decrease in market interest rates.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incurred losses and negative cash flows from operating activities since our inception. To date, our operations have been financed primarily through the private placement of convertible preferred stock, net proceeds from our IPO and proceeds from the concurrent private placement, research and development service fees provided by collaboration partners, primarily Merck, upfront license fees paid by collaboration partners and the license fee from Merck for NGM313 and related compounds. As of March 31, 2020, we had cash and cash equivalents of $257.0 million, short-term marketable securities of $71.5 million, working capital of $309.8 million and an accumulated deficit of $215.3 million.</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anticipate that we will continue to incur net losses for the foreseeable future as we continue the development of our product candidates, maintain and expand our corporate infrastructure to support operations as a public company and conduct pre-commercialization activities. We will require substantial additional capital to achieve our development and commercialization goals for our wholly-owned programs, aldafermin and NGM395, for any future programs that Merck does not opt to license under the Collaboration Agreement and that we choose to develop, for any Merck licensed programs that we opt to co-develop, and for any programs that Merck chooses to license under the Collaboration Agreement and later elects to terminate. Additionally, if our research and development expenses exceed the funding caps provided in our Collaboration Agreement, which may happen in the fiscal year ending December 31, 2020 and potentially thereafter during the collaboration, we could be required to devote our financial resources toward the development of programs and product candidates subject to the collaboration. If our Merck collaboration were to be terminated, we would require significant additional capital in order to proceed with development and commercialization of our product candidates, or we may enter into additional collaboration or license agreements in order to fund such development and commercialization.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jc w:val="both"/>
        <w:spacing w:after="0" w:line="235" w:lineRule="auto"/>
        <w:rPr>
          <w:sz w:val="20"/>
          <w:szCs w:val="20"/>
          <w:color w:val="auto"/>
        </w:rPr>
      </w:pPr>
      <w:r>
        <w:rPr>
          <w:rFonts w:ascii="Arial" w:cs="Arial" w:eastAsia="Arial" w:hAnsi="Arial"/>
          <w:sz w:val="18"/>
          <w:szCs w:val="18"/>
          <w:color w:val="auto"/>
        </w:rPr>
        <w:t>We plan to continue to fund our operations and capital funding needs through public or private equity or debt financings, government or other third-party funding, collaborations, strategic alliances and licensing arrangements or a combination of these. The sale of convertible debt or additional equity could result in additional dilution to our stockholders. Incurring indebtedness would result in debt service obligations and could result in operating and financing covenants that would restrict our operations. We cannot ensure that financing will be available in the amounts we need or on terms acceptable to us, if at all. Our ability to raise additional capital may be adversely impacted by worsening global economic conditions and the recent disruptions to, and volatility in, the credit and financial markets in the United States and worldwide resulting from the evolving effects of the COVID-19 pandemic. In addition, extreme price and volume fluctuations in the stock market in general, and the Nasdaq Global Select Market, in particular, have resulted in volatile and sometimes decreased stock prices for many companies, including us. Broad market and industry factors, including worsening economic conditions and other adverse effects or developments relating to the evolving effects of the COVID-19 pandemic, may negatively affect the market price of our common stock, regardless of our actual operating performance, and impact our ability to raise sufficient additional capital on acceptable terms, if at all. If we are not able to secure adequate additional funding, we may be forced to make reductions in spending, extend payment terms with suppliers, liquidate assets where possible and/or suspend or curtail planned programs. Any of these actions could materially harm our business, results of operations and future prospects. 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that our existing cash and cash equivalents, including our short-term marketable securities, along with amounts available to us under our Collaboration Agreement with Merck, will be sufficient to meet our anticipated cash requirements for at least the next 12 months. However, our forecast of the period of time through which our financial resources will be adequate to support our operations is a forward-looking statement that involves risks and uncertainties, and actual results could vary materially.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three months ended March 31, 2020 and 2019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r>
      <w:tr>
        <w:trPr>
          <w:trHeight w:val="209"/>
        </w:trPr>
        <w:tc>
          <w:tcPr>
            <w:tcW w:w="6020" w:type="dxa"/>
            <w:vAlign w:val="bottom"/>
            <w:tcBorders>
              <w:bottom w:val="single" w:sz="8" w:color="CFF0FC"/>
            </w:tcBorders>
          </w:tcPr>
          <w:p>
            <w:pPr>
              <w:spacing w:after="0"/>
              <w:rPr>
                <w:sz w:val="18"/>
                <w:szCs w:val="18"/>
                <w:color w:val="auto"/>
              </w:rPr>
            </w:pPr>
          </w:p>
        </w:tc>
        <w:tc>
          <w:tcPr>
            <w:tcW w:w="17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1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(19,110)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(12,100)</w:t>
            </w:r>
          </w:p>
        </w:tc>
      </w:tr>
      <w:tr>
        <w:trPr>
          <w:trHeight w:val="216"/>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w:t>
            </w: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602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11,354</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(9,610)</w:t>
            </w:r>
          </w:p>
        </w:tc>
      </w:tr>
      <w:tr>
        <w:trPr>
          <w:trHeight w:val="20"/>
        </w:trPr>
        <w:tc>
          <w:tcPr>
            <w:tcW w:w="602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the three months ended March 31, 2020, cash used in operating activities was $19.1 million, which consisted of a net loss of $ 19.1 million, adjusted for non-cash charges of $5.4 million and cash used through changes in operating assets and liabilities of $5.4 million. The non-cash charges consisted primarily of stock-based compensation expense of $3.7 million and depreciation expense of $1.7 million. The change in operating assets and liabilities was mainly driven by an increase in prepaid expenses and other assets of $2.0 million and an increase in accrued expenses and other liabilities of $3.0 million. These increases were partially offset by a decrease in related party receivable from our Merck collaboration of $4.5 million, a decrease in accounts payable of $5.3 million, a decrease in deferred rent of $0.7 million and a decrease in deferred revenue of $4.9 million primarily attributable to the timing of advance payments from Merck related to the reimbursement of costs associated with research and development activities.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5" w:name="page36"/>
    <w:bookmarkEnd w:id="35"/>
    <w:p>
      <w:pPr>
        <w:jc w:val="both"/>
        <w:spacing w:after="0" w:line="236" w:lineRule="auto"/>
        <w:rPr>
          <w:sz w:val="20"/>
          <w:szCs w:val="20"/>
          <w:color w:val="auto"/>
        </w:rPr>
      </w:pPr>
      <w:r>
        <w:rPr>
          <w:rFonts w:ascii="Arial" w:cs="Arial" w:eastAsia="Arial" w:hAnsi="Arial"/>
          <w:sz w:val="18"/>
          <w:szCs w:val="18"/>
          <w:color w:val="auto"/>
        </w:rPr>
        <w:t>During the three months ended March 31, 2019, cash used in operating activities was $12.1 million, which consisted of a net loss of $8.3 million, adjusted for non-cash charges of $4.2 million and cash used through changes in operating assets and liabilities of $8.0 million. The non-cash charges consisted primarily of stock-based compensation expense of $2.6 million and depreciation expense of $2.0 million. The change in operating assets and liabilities was primarily due to an increase in prepaid expenses and other assets of $1.6 million offset by a decrease in accrued expenses and other liabilities of $1.2 million, a decrease in accounts payable of $ 1.2 million, a decrease in related party receivable from our Merck collaboration of $3.7 million and decreases in deferred rent and deferred revenue of $0.6 million and $7.1 million, respectively. The decrease in deferred revenue is primarily attributable to the timing of advance payments from Merck related to the reimbursement of costs associated with research and development activities.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Investing Activities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three months ended March 31, 2020, cash provided by investing activities was $26.9 million, which consisted of $56.8 million in proceeds from the maturities of marketable securities, partially offset by purchases of marketable securities of $29.4 million and purchases of property and equipment of $0.5 million.</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three months ended March 31, 2019, cash provided by investing activities was $2.5 million, which consisted of $77.0 million in proceeds from the maturities of marketable securities, partially offset by purchases of marketable securities of $72.7 million and purchases of property and equipment of $1.8 million which included leasehold improvements on our current laboratory and office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by/Used in Financing Activities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During the three months ended March 31, 2020, cash provided by financing activities was $3.6 million, which consisted of proceeds from the issuance of common stock upon the exercise of previously granted stock options.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three months ended March 31, 2019, cash provided by financing activities consisted of proceeds from the issuance of common stock upon the exercise of previously granted stock options of $0.3 million less deferred IPO costs of $0.3 million.</w:t>
      </w:r>
    </w:p>
    <w:p>
      <w:pPr>
        <w:spacing w:after="0" w:line="17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three months ended March 31, 2020, there were no material changes to our contractual obligations and commitments reported in our Annual Report on Form 10-K for the year ended December 31, 2019, filed with the SEC on March 17, 2020.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we have prepared in accordance with U.S. GAAP. The preparation of our condensed consolidated financial statements requires us to make estimates and assumptions that affect the reported amounts of assets and liabilities and the disclosure of contingent assets and liabilities at the date of our condensed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We believe that there have been no significant changes in our critical accounting policies and estimates disclosed in our Annual Report on Form 10-K for the year ended December 31, 2019, filed with the SEC on March 17, 2020.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Except as described in </w:t>
      </w:r>
      <w:r>
        <w:rPr>
          <w:rFonts w:ascii="Arial" w:cs="Arial" w:eastAsia="Arial" w:hAnsi="Arial"/>
          <w:sz w:val="18"/>
          <w:szCs w:val="18"/>
          <w:i w:val="1"/>
          <w:iCs w:val="1"/>
          <w:color w:val="auto"/>
        </w:rPr>
        <w:t>Note 2</w:t>
      </w:r>
      <w:r>
        <w:rPr>
          <w:rFonts w:ascii="Arial" w:cs="Arial" w:eastAsia="Arial" w:hAnsi="Arial"/>
          <w:sz w:val="18"/>
          <w:szCs w:val="18"/>
          <w:color w:val="auto"/>
        </w:rPr>
        <w:t xml:space="preserve"> to the condensed consolidated financial statements under the headings “Recently Adopted Accounting Pronouncements” and “Recent Accounting Pronouncements Not Yet Adopted,” there have been no new accounting pronouncements or changes to accounting pronouncements during the three months ended March 31, 2020, as compared to the recent accounting pronouncements described in our audited consolidated financial statements and notes for the year ended December 31, 2019, included in the Company’s Annual Report on Form 10-K for the year ended December 31, 2019, filed with the SEC on March 17, 2020, that are of significance or potential significance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three months ended March 31, 2020, there were no material changes to our market risk disclosures reported in our Annual Report on Form 10-K for the year ended December 31, 2019, filed with the SEC on March 17,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March 31, 2020, management, with the participation of our Chief Executive Officer and Acting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Acting Chief Financial Officer, to allow timely decisions regarding required disclosures.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Acting Chief Financial Officer concluded that, as of March 31, 2020, the design and operation of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 -15(f) and 15d-15(f) of the Exchange Act that occurred during the quarter ended March 31, 2020 that has materially affected, or is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on Form 10-Q, including our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Capital Needs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expect to incur significant and increasing operating losses and may never be profitable. Our stock is a highly speculative investment.</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biopharmaceutical company that was incorporated in 2007 and commenced operations in early 2008.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in each year since commencing operations. For the three months ended March 31, 2020 and 2019, our net loss was $19.1 million and $8.3 million, respectively. As of March 31, 2020, we had an accumulated deficit of $215.3 million.</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will require substantial additional capital to achieve our development and commercialization goals for our wholly-owned programs, aldafermin and NGM395, for any future programs that Merck does not opt to license under the Collaboration Agreement and that we choose to develop, for any Merck licensed programs that we opt to co-develop, and for any programs that Merck chooses to license under the Collaboration Agreement and later elects to terminate. We expect to incur substantial and increasing operating losses over the next several years as our research, development, preclinical studies, clinical trial and related activities increase. As a result, our accumulated deficit will also increase significantly. We may encounter unforeseen expenses, difficulties, complications, delays and other unknown factors that may adversely affect our business, including those resulting from the evolving effects of the COVID-19 pandemic. The size of our future net losses will depend, in part, on the rate of future growth of our expenses and our ability to generate revenue beyond those generated pursuant to the Merck collaboration. Our prior losses and expected future losses have had and will continue to have an adverse effect on our stockholders’ equity and working capital. Even if we eventually generate product revenue, we may never be profitable and, if we do achieve profitability, we may not be able to sustain or increase profitability on a quarterly or annual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of our revenue for recent periods has been received from a single collaboration partner.</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Since 2017, all of our revenue has been from our collaboration partner, Merck. Under the collaboration, Merck reimburses us for research and development activities up to $50 million per year, plus additional amounts up to agreed upon annual caps, if certain conditions are met. Merck has exercised its option to extend the research and early development program through March 16, 2022 and has the right to extend it again through March 16, 2024. If our Merck collaboration were to be terminated, or if the annual cap under the Merck collaboration is insufficient to fund our research and development activities under the Merck collaboration, including conducting ongoing and planned clinical trials of our collaboration product candidates, we could require significant additional capital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8" w:name="page39"/>
    <w:bookmarkEnd w:id="38"/>
    <w:p>
      <w:pPr>
        <w:jc w:val="both"/>
        <w:spacing w:after="0" w:line="238" w:lineRule="auto"/>
        <w:rPr>
          <w:sz w:val="20"/>
          <w:szCs w:val="20"/>
          <w:color w:val="auto"/>
        </w:rPr>
      </w:pPr>
      <w:r>
        <w:rPr>
          <w:rFonts w:ascii="Arial" w:cs="Arial" w:eastAsia="Arial" w:hAnsi="Arial"/>
          <w:sz w:val="18"/>
          <w:szCs w:val="18"/>
          <w:color w:val="auto"/>
        </w:rPr>
        <w:t>order to proceed with development and commercialization of our Merck collaboration product candidates. In addition, we require additional funding to advance the development activities for our wholly-owned programs, aldafermin and NGM395. If adequate funds (including funds from any future partners necessary for the development and commercialization of our wholly-owned product candidates) are not available to us on a timely basis, on favorable terms or at all, we may be required to delay, limit, reduce or terminate our research and development efforts or other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product candidates are in the early stages of development. To date, we have not generated any revenue from commercialization of our product candidates. We will not be able to generate product revenue unless and until one of our product candidates, alone or with our partners, successfully completes clinical trials, receives regulatory approval and is successfully commercialized. As our product candidates are in early stages of development, we do not expect to receive revenue from those product candidates for a number of years, if ever. We may seek to obtain revenue from collaboration or licensing agreements with third parties. Other than our agreement with Merck, we currently have no such agreements that could provide us with material, ongoing future revenue and we may never enter into any such agreements. Our ability to generate future product revenue from our current or future product candidates also depends on a number of additional factors, including our or our current collaborator’s and potential future collaborators’ ability to:</w:t>
      </w:r>
    </w:p>
    <w:p>
      <w:pPr>
        <w:spacing w:after="0" w:line="208" w:lineRule="exact"/>
        <w:rPr>
          <w:sz w:val="20"/>
          <w:szCs w:val="20"/>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bulk drug substances and drug products to maintain sufficient supply;</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marketing approval, if any, and, if launched independently, successfully establish a sales force, marketing and distribution infrastructure;</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demonstrate the necessary safety data post-approval to ensure continued regulatory approval;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market acceptance for our or our partners’ products, if any;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our product candidates may not advance through development or achieve applicable endpoints in clinical trials, we are unable to predict if or when we will achieve or maintain profitability. Even if we successfully complete development and regulatory processes, we anticipate incurring significant costs associated with launching and commercializing these products.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Even if we generate revenue from the sale of any of our products that may be approved, we may not become profitable and may need to obtain additional funding to continue operations. If we fail to become profitable or do not sustain profitability on a continuing basis, we may be unable to continue our operations at planned levels and be forced to reduce our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9" w:name="page40"/>
    <w:bookmarkEnd w:id="39"/>
    <w:p>
      <w:pPr>
        <w:jc w:val="both"/>
        <w:spacing w:after="0" w:line="253" w:lineRule="auto"/>
        <w:rPr>
          <w:sz w:val="20"/>
          <w:szCs w:val="20"/>
          <w:color w:val="auto"/>
        </w:rPr>
      </w:pPr>
      <w:r>
        <w:rPr>
          <w:rFonts w:ascii="Arial" w:cs="Arial" w:eastAsia="Arial" w:hAnsi="Arial"/>
          <w:sz w:val="18"/>
          <w:szCs w:val="18"/>
          <w:b w:val="1"/>
          <w:bCs w:val="1"/>
          <w:i w:val="1"/>
          <w:iCs w:val="1"/>
          <w:color w:val="auto"/>
        </w:rPr>
        <w:t>We will require additional capital to finance our operations, which may not be available to us on acceptable terms, or at all. As a result, we may not complete the development and commercialization of our current product candidates or develop new product candidates.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As a research and development company, our operations have consumed substantial amounts of cash since inception. We expect our research and development expenses to increase substantially in connection with our ongoing activities, particularly to the extent that product candidates whose costs are not borne by our collaborator, such as our wholly-owned programs, aldafermin and NGM395, advance in clinical development. We believe that our existing cash, cash equivalents and short-term marketable securities and funding we expect to receive under our existing Collaboration Agreement will fund our projected operating requirements for at least the next twelve months.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section. We have based this estimate on assumptions that may prove to be wrong, and we could utilize our available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sooner than we currently expect. Our future funding requirements, both short- and long-term, will depend on many factors, including:</w:t>
      </w:r>
    </w:p>
    <w:p>
      <w:pPr>
        <w:spacing w:after="0" w:line="206" w:lineRule="exact"/>
        <w:rPr>
          <w:sz w:val="20"/>
          <w:szCs w:val="20"/>
          <w:color w:val="auto"/>
        </w:rPr>
      </w:pPr>
    </w:p>
    <w:p>
      <w:pPr>
        <w:ind w:left="80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initiation, progress, timing, delays, costs and results of preclinical tests and clinical trials for our current product candidates and any future product candidates we may develop;</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our completion of proof-of-concept studies for each such candidate in humans;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Merck terminates the research collaboration under pre-specified circumstances set forth in the Collaboration Agreement or terminates a program that is licensed (such as Merck’s termination of its license for NGM395 and NGM386);</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Merck exercises its remaining option to extend the research phase of its collaboration with us, which would trigger an extension payment to us;</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studies than those that we currently expect or to change their requirements on studies that had previously been agreed to;</w:t>
      </w:r>
    </w:p>
    <w:p>
      <w:pPr>
        <w:spacing w:after="0" w:line="202" w:lineRule="exact"/>
        <w:rPr>
          <w:rFonts w:ascii="Arial" w:cs="Arial" w:eastAsia="Arial" w:hAnsi="Arial"/>
          <w:sz w:val="18"/>
          <w:szCs w:val="18"/>
          <w:color w:val="auto"/>
        </w:rPr>
      </w:pPr>
    </w:p>
    <w:p>
      <w:pPr>
        <w:jc w:val="both"/>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202"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and other market developments;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partners; and</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jc w:val="both"/>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or intellectual property.</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Unless and until we can generate a sufficient amount of revenue from approved products, we will require additional capital to discover, develop, obtain regulatory approval for and commercialize our current and future product candidates. We do not have any committed external source of funds, other than pursuant to our collaboration with Merck, which is limited in scope and duration, and may be terminated in certain circumstances. We plan to finance our future cash needs through public or private equity or debt offerings, government or other third-party funding, product collaborations, strategic alliances and licensing arrangements or a combination of these. Additional capital may not be available in sufficient amounts or on reasonable terms, if at all, and our ability to raise additional capital may be adversely impacted by worsening global economic conditions and the recent disruptions to, and volatility in, the credit and financial markets in the United States and worldwide resulting from the evolving effects of the COVID-19 pandemic. Our existing stockholders could suffer dilution or be negatively affected by fixed payment obligations we may incur if we raise additional funds through the issuance of additional equity securities or debt.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need to secure additional financing, such additional fundraising efforts may divert our management and research efforts from our day-to-day activities, which may adversely affect our ability to develop and commercialize our product candidates. If we do not raise additional capital, we may not be able to expand our operations or otherwise capitalize on our business opportunities, our business and financial condition will be negatively impacted and we may need to:</w:t>
      </w:r>
    </w:p>
    <w:p>
      <w:pPr>
        <w:spacing w:after="0" w:line="213" w:lineRule="exact"/>
        <w:rPr>
          <w:sz w:val="20"/>
          <w:szCs w:val="20"/>
          <w:color w:val="auto"/>
        </w:rPr>
      </w:pPr>
    </w:p>
    <w:p>
      <w:pPr>
        <w:ind w:left="800" w:hanging="401"/>
        <w:spacing w:after="0" w:line="24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operations altogether;</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or at an earlier stage than we would otherwise desire or on terms less favorable than might otherwise be available; or</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intellectual property or any product candidates that we otherwise would seek to develop or commercialize ourselves.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we need to conduct additional fundraising activities, but are unable to do so, we may be prevented from pursuing development and commercialization efforts, which will have a material adverse effect on our business, operating results and prospects.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the extent we obtain additional funding through product collaborations, these arrangements would generally require us to relinquish rights to some of our intellectual property, product candidates or products, and we may not be able to enter into such agreements on acceptable terms, if at all. If we are unable to obtain additional funding on a timely basis, we may be required to curtail or terminate some or all of our research and development programs or product candidates.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the 2017 Tax Act was enacted in 2017, which sanctioned many significant changes to the U.S. tax laws. Future guidance from the Internal Revenue Service and other tax authorities with respect to the 2017 Tax Act may affect us, and certain aspects of the 2017 Tax Act may be repealed or modified in future legislation. For example, the CARES Act modified certain provisions of the 2017 Tax Act. Changes in corporate tax rates, the realization of net deferred tax assets relating to our operations, the taxation of foreign earnings and the deductibility of expenses under the 2017 Tax Act or future reform legislation could have a material impact on the value of our deferred tax assets, could result in significant one-time charges and could increase our future U.S. tax expense.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to offset taxable income could be limited.</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net operating loss carryforwards to offset income that would otherwise be taxable. Our net operating loss carryforwards generated in tax years ending on or prior to December 31, 2017 are only permitted to be carried forward for 20 years under applicable U.S. tax law. Under the 2017 Tax Act, as modified by the CARES Act, our federal net operating losses generated in tax years beginning after December 31, 2017 may be carried forward indefinitely, but the deductibility of such federal net operating losses generated in tax years beginning after December 31, 2020, is limited to 80% of taxable income. It is uncertain if and to what extent various states will conform to the 2017 Tax Act or the CARES Act.</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under Section 382 of the U.S. Internal Revenue Code of 1986, as amended, and corresponding provisions of state law, if we experience an “ownership change” which is generally defined as a greater than 50% change, by value, in equity ownership over a three-year period, our ability to use our pre-change net operating loss carryforwards to offset our post-change income may be limited. We may have experienced ownership changes in the past and may experience ownership changes in the future as a result of our IPO and subsequent shifts in our stock ownership, some of which are outside our control. As a result, our use of federal net operating loss carryforwards could be limited. State net operating loss carryforwards may be similarly limited. In addition, at the state level, there may be periods during which the use of net operating losses is suspended or otherwise limited, which could accelerate or permanently increase state taxes owed. Any such limitations may result in greater tax liabilities than we would incur in the absence of such limitations and any increased liabilities could adversely affect our business, results of operations, financial position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before seeking regulatory approvals, which could delay or prevent commercialization of our product candidates.</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All of our product candidates will be subject to rigorous and extensive clinical trials before they can seek regulatory approval from the FDA and similar regulatory bodies in other countries. Clinical trials may be delayed, suspended or terminated at any time for reasons including:</w:t>
      </w:r>
    </w:p>
    <w:p>
      <w:pPr>
        <w:spacing w:after="0" w:line="197" w:lineRule="exact"/>
        <w:rPr>
          <w:sz w:val="20"/>
          <w:szCs w:val="20"/>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IRBs or other governing entities at clinical trial sites selected for participation in our clinical trials;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enrolling participants into clinical trials, such as the slower pace of enrollment we have experienced in our ALPINE 2/3 and ALPINE 4 clinical trials, including as a result of the evolving effects of the COVID-19 pandemic;</w:t>
      </w:r>
    </w:p>
    <w:p>
      <w:pPr>
        <w:spacing w:after="0" w:line="196" w:lineRule="exact"/>
        <w:rPr>
          <w:rFonts w:ascii="Arial" w:cs="Arial" w:eastAsia="Arial" w:hAnsi="Arial"/>
          <w:sz w:val="18"/>
          <w:szCs w:val="18"/>
          <w:color w:val="auto"/>
        </w:rPr>
      </w:pPr>
    </w:p>
    <w:p>
      <w:pPr>
        <w:ind w:left="800" w:right="14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key trial activities and patient enrollment or diversion of healthcare resources as a result of the evolving effects of the COVID-19 pandemic, such as the slower pace of clinical trial site initiation in our ALPINE 4 clinical trial and activation of additional clinical trial sites;</w:t>
      </w:r>
    </w:p>
    <w:p>
      <w:pPr>
        <w:spacing w:after="0" w:line="202"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w:t>
      </w:r>
    </w:p>
    <w:p>
      <w:pPr>
        <w:spacing w:after="0" w:line="225"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authorities with respect to approval pathways for product candidates we are pursuing, such as draft guidance documents from the FDA for the development of products for the treatment of NASH that issued in 2018 and 2019 and from the European Medicines Agency (“EMA”) that issued in 2018;</w:t>
      </w:r>
    </w:p>
    <w:p>
      <w:pPr>
        <w:spacing w:after="0" w:line="204"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poorly executed testing or changes in required endpoints by the FDA or comparable foreign authorities;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 materials or other materials necessary to conduct our clinical trials;</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FDA or comparable foreign authority inspection and review of a clinical trial site or records of any clinical or preclinical investigation;</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serious and unexpected drug-related adverse effects experienced by participants in our clinical trials; or</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authorities.</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limited experience in conducting late-stage clinical trials required to obtain regulatory approval. We may not be able to conduct clinical trials at preferred sites, enlist clinical investigators, enroll sufficient numbers of participants or begin or successfully complete clinical trials in a timely fashion, if at all. Our current clinical trials may be insufficient to demonstrate that our potential products will be safe or effective. Additional clinical trials may be required if clinical trial results are negative or inconclusive, which will require us to incur additional costs and significant delays. If we do not successfully conduct clinical trials supporting the necessary regulatory approvals, we will not be able to generate product revenue and may not become profitable.</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or our collaborators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A failure of one or more clinical trials can occur at any stage of testing.</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Despite the results reported in our Phase 1 and 2 clinical trials for aldafermin, in Phase 1 clinical trials for NGM313 and NGM120 and in preclinical studies for our other product candidates, future clinical trials in humans may show that one or more of our product candidates are not safe and effective, in which event we may need to abandon development of such product candidates. It is impossible to predict when or if any of our product candidates will prove safe and effective in humans or will receive regulatory approval. Owing in part to the complexity of biological pathways, these compounds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Further, we expect that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foreign regulatory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If we are unable to successfully discover, develop or enable our collaborators to develop drugs that are effective and safe in humans, we will not have a viable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3" w:name="page44"/>
    <w:bookmarkEnd w:id="43"/>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Phase 2 clinical trials of aldafermin have produced NASH histology data and certain clinical data produced to date are preliminary and have not been subjected to quality control procedures. Preliminary data may not be predictive of final results.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recently completed our Phase 2 clinical trials of aldafermin in NASH. Certain data and results that we have announced from our first Phase 2 clinical trial are still preliminary. Until the final data is received for those certain clinical trials, we are unable to perform typical quality control procedures on the data produced to ensure its accuracy. While we believe the data made available to date are accurate, until such time as the final quality control procedures are performed, the data are and should be regarded as preliminary. Preliminary data may not be predictive of final results and may not be predictive of future results in later-stage clinical trials. Differences between the preliminary data and final data in our aldafermin trials may lead us to make different operational decisions regarding, or incur additional expenses for, the development of aldafermin than we otherwise would if final data were available. Our business and prospects depend on the development of aldafermin and, if final data is less promising than the preliminary data suggests, our business and prospects could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Success in preclinical studies and earlier-stage clinical trials does not ensure that later clinical trials will generate the same results or otherwise provide adequate data to demonstrate the effectiveness and safety of our product candidates. Similarly, preliminary data and interim results from clinical trials may not be predictive of final results. Frequently, product candidates that have shown promising results in early clinical trials have subsequently suffered significant setbacks in later clinical trials. Some of our clinical trials have involved small patient populations at single sites and, because of the small sample size in such trials, the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 studies and earlier-stage clinical trials. Similarly, the outcome of preclinical studies may not predict the success of clinical trials. Moreover, data obtained from preclinical and clinical activities are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continue to experience delays in clinical testing, we will be delayed in commercializing our product candidates, our costs may increase and our business may be harmed.</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Conducting clinical trials for any of our drug candidates for approval in the United States requires filing an investigational new drug (“IND”) application and reaching agreement with the FDA on clinical protocols, finding appropriate clinical trial sites and clinical investigators, securing approvals for such studies from the IRB for each such site, manufacturing clinical quantities of drug candidates and supplying drug product to clinical trial sites. Currently, we have multiple active INDs with the FDA in the United States, including for aldafermin for NASH and primary biliary cholangitis (“PBC”), for NGM621 for GA secondary to AMD and for NGM120 for treatment of solid tumors and pancreatic cancer. We also have an active Clinical Trial Authorisation in the United Kingdom from the Medicines and Healthcare Products Regulatory Agency for NGM217 for diabetes and an active Clinical Trial Notification in Australia from the Therapeutic Good Administration for aldafermin for NASH and for NGM395 for metabolic syndrome.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jc w:val="both"/>
        <w:spacing w:after="0" w:line="236" w:lineRule="auto"/>
        <w:rPr>
          <w:sz w:val="20"/>
          <w:szCs w:val="20"/>
          <w:color w:val="auto"/>
        </w:rPr>
      </w:pPr>
      <w:r>
        <w:rPr>
          <w:rFonts w:ascii="Arial" w:cs="Arial" w:eastAsia="Arial" w:hAnsi="Arial"/>
          <w:sz w:val="18"/>
          <w:szCs w:val="18"/>
          <w:color w:val="auto"/>
        </w:rPr>
        <w:t>We cannot guarantee that we will be able to successfully accomplish required regulatory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For example, we have experienced a slower pace of clinical trial site initiation and enrollment than originally anticipated in certain of our clinical trials, including ALPINE 2/3 and ALPINE 4, as a result of the evolving effects of the COVID-19 pandemic, and if the COVID-19 pandemic continues and persists for an extended period of time, we could experience significant disruptions to our clinical development timelines, which would adversely affect our business, financial condition, results of operations and growth prospects. In any event, we do not know whether any of our clinical trials will begin as planned, will need to be restructured or will be completed on schedule, or at all. Our product development costs will increase if we continue to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Events that may result in a delay or failure to successfully complete clinical development include:</w:t>
      </w:r>
    </w:p>
    <w:p>
      <w:pPr>
        <w:spacing w:after="0" w:line="204" w:lineRule="exact"/>
        <w:rPr>
          <w:sz w:val="20"/>
          <w:szCs w:val="20"/>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comments on ongoing clinical trials and potential regulatory holds imposed if such comments are not adequately addressed;</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to clinical trial sites of the product candidates or other study materials;</w:t>
      </w:r>
    </w:p>
    <w:p>
      <w:pPr>
        <w:spacing w:after="0" w:line="225" w:lineRule="exact"/>
        <w:rPr>
          <w:rFonts w:ascii="Arial" w:cs="Arial" w:eastAsia="Arial" w:hAnsi="Arial"/>
          <w:sz w:val="18"/>
          <w:szCs w:val="18"/>
          <w:color w:val="auto"/>
        </w:rPr>
      </w:pPr>
    </w:p>
    <w:p>
      <w:pPr>
        <w:ind w:left="800" w:right="180" w:hanging="401"/>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key trial activities, clinical trial site initiation and patient enrollment or diversion of healthcare resources as a result of the evolving effects of the COVID-19 pandemic;</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patient enrollment, such as the slower pace of enrollment we have experienced in our ALPINE 2/3 and ALPINE 4 clinical trials, including as a result of the evolving effects of the COVID-19 pandemic;</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including due to side effects or disease progression;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demonstration of a significant adverse safety or tolerability signal limiting the utility of the product candidate;</w:t>
      </w:r>
    </w:p>
    <w:p>
      <w:pPr>
        <w:spacing w:after="0" w:line="225" w:lineRule="exact"/>
        <w:rPr>
          <w:rFonts w:ascii="Arial" w:cs="Arial" w:eastAsia="Arial" w:hAnsi="Arial"/>
          <w:sz w:val="18"/>
          <w:szCs w:val="18"/>
          <w:color w:val="auto"/>
        </w:rPr>
      </w:pPr>
    </w:p>
    <w:p>
      <w:pPr>
        <w:jc w:val="both"/>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authority recommendations or guidance regarding development of drugs for a particular indication that we are pursuing, such as draft guidance documents from the FDA for the development of NASH that issued in 2018 and 2019 and from the EMA that issued in 2018;</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withdrawal of clinical trial sites or investigators from our clinical trials for any reason, including as a result of changing standards of care or the ineligibility of a site to participate in our clinical trials; or</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5" w:name="page46"/>
    <w:bookmarkEnd w:id="45"/>
    <w:p>
      <w:pPr>
        <w:ind w:right="20"/>
        <w:spacing w:after="0" w:line="246" w:lineRule="auto"/>
        <w:rPr>
          <w:sz w:val="20"/>
          <w:szCs w:val="20"/>
          <w:color w:val="auto"/>
        </w:rPr>
      </w:pPr>
      <w:r>
        <w:rPr>
          <w:rFonts w:ascii="Arial" w:cs="Arial" w:eastAsia="Arial" w:hAnsi="Arial"/>
          <w:sz w:val="18"/>
          <w:szCs w:val="18"/>
          <w:color w:val="auto"/>
        </w:rPr>
        <w:t>Our or our collaborators’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or our partners are unable to enroll patients in clinical trials, we will be unable to complete these trials on a timely basis.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212" w:lineRule="exact"/>
        <w:rPr>
          <w:sz w:val="20"/>
          <w:szCs w:val="20"/>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location of clinical trial sites we enroll;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enrollment due to travel or quarantine policies or behaviors, or other factors, related to COVID-19;</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with other companies for clinical trial sites or patients;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particular, there is significant competition for recruiting NASH patients in clinical trials. In the first quarter of 2020, we announced that enrollment in our ALPINE 2/3 clinical trial of aldafermin had been delayed beyond our initial projections. In addition, clinical trial enrollment may continue to be adversely affected by the COVID-19 pandemic, including due to delays in clinical trial site initiation, suspension of enrollment at clinical trial sites or patient reluctance to participate in a clinical trial during quarantines or shelter-in-place orders or otherwise, particularly in medically vulnerable patient populations. We or our partners may be unable to enroll the patients we need to complete clinical trials on a timely basis, or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identify, develop or commercialize our product candidates.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 Research programs to identify new product candidates require substantial technical, financial and human resources. Our research efforts may initially show promise in discovering potential new protein and antibody therapeutics, yet fail to yield product candidates for clinical development for a number of reasons, including:</w:t>
      </w:r>
    </w:p>
    <w:p>
      <w:pPr>
        <w:spacing w:after="0" w:line="205" w:lineRule="exact"/>
        <w:rPr>
          <w:sz w:val="20"/>
          <w:szCs w:val="20"/>
          <w:color w:val="auto"/>
        </w:rPr>
      </w:pPr>
    </w:p>
    <w:p>
      <w:pPr>
        <w:ind w:left="800" w:hanging="401"/>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research methodology may not successfully identify medically-relevant protein or antibody therapeutics or potential product candidates;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drug discovery efforts tend to identify and select novel, untested proteins in the particular disease indication we are pursuing, which we may fail to validate after further research work;</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need to rely on third parties to generate protein or antibody candidates for some of our product candidate programs;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6" w:name="page47"/>
    <w:bookmarkEnd w:id="46"/>
    <w:p>
      <w:pPr>
        <w:ind w:left="800" w:hanging="401"/>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encounter product manufacturing difficulties that limit yield or produce undesirable characteristics that increase the cost of manufacturing our product candidates, cause delays or make the product candidates unmarketable;</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cause adverse effects in patients or subjects, even after successful initial toxicology studies, which may make the product candidates unmarketable;</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not demonstrate a meaningful benefit to patients or subjects; and</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partners may change their development profiles or plans for product candidates or abandon a therapeutic area, the development of a partnered product or the commercialization of any future approved partnered product.</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programs, which could have a material adverse effect on our business, operating results and prospects and could potentially cause us to cease operations. For example, we suspended activities related to NGM386 to focus on advancing NGM395. We may focus our efforts and resources on potential programs or product candidates that ultimately prove to be unsuccessful.</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 candidates and any future products.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date, aldafermin and our other product candidates have been manufactured by third-party manufacturers solely for preclinical studies and relatively small clinical trials. These manufacturers may not be able to scale production to the larger quantities required for large clinical trials and for commercialization. The process of manufacturing aldafermin and our other product candidates is complex, highly regulated and subject to several risks, including:</w:t>
      </w:r>
    </w:p>
    <w:p>
      <w:pPr>
        <w:spacing w:after="0" w:line="205" w:lineRule="exact"/>
        <w:rPr>
          <w:sz w:val="20"/>
          <w:szCs w:val="20"/>
          <w:color w:val="auto"/>
        </w:rPr>
      </w:pPr>
    </w:p>
    <w:p>
      <w:pPr>
        <w:jc w:val="both"/>
        <w:ind w:left="800" w:hanging="401"/>
        <w:spacing w:after="0" w:line="23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202" w:lineRule="exact"/>
        <w:rPr>
          <w:rFonts w:ascii="Arial" w:cs="Arial" w:eastAsia="Arial" w:hAnsi="Arial"/>
          <w:sz w:val="18"/>
          <w:szCs w:val="18"/>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third-party manufacturer of a product candidate subject to our collaboration with Merck may fail to qualify upon an audit by Merck;</w:t>
      </w:r>
    </w:p>
    <w:p>
      <w:pPr>
        <w:spacing w:after="0" w:line="225" w:lineRule="exact"/>
        <w:rPr>
          <w:rFonts w:ascii="Arial" w:cs="Arial" w:eastAsia="Arial" w:hAnsi="Arial"/>
          <w:sz w:val="18"/>
          <w:szCs w:val="18"/>
          <w:color w:val="auto"/>
        </w:rPr>
      </w:pPr>
    </w:p>
    <w:p>
      <w:pPr>
        <w:jc w:val="both"/>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financial difficulties of our contract manufacturers, including as a result of the COVID-19 pandemic, natural disasters, power failures, local political unrest and numerous other factors; and</w:t>
      </w:r>
    </w:p>
    <w:p>
      <w:pPr>
        <w:spacing w:after="0" w:line="202"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record inventory write-offs and incur other charges and expenses for products that fail to meet specifications, undertake costly remediation efforts or seek costlier manufacturing alternatives.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7" w:name="page48"/>
    <w:bookmarkEnd w:id="47"/>
    <w:p>
      <w:pPr>
        <w:jc w:val="both"/>
        <w:spacing w:after="0" w:line="236" w:lineRule="auto"/>
        <w:rPr>
          <w:sz w:val="20"/>
          <w:szCs w:val="20"/>
          <w:color w:val="auto"/>
        </w:rPr>
      </w:pPr>
      <w:r>
        <w:rPr>
          <w:rFonts w:ascii="Arial" w:cs="Arial" w:eastAsia="Arial" w:hAnsi="Arial"/>
          <w:sz w:val="18"/>
          <w:szCs w:val="18"/>
          <w:color w:val="auto"/>
        </w:rPr>
        <w:t xml:space="preserve">For example, we have entered into a Development and Manufacturing Services Agreement with Lonza Sales AG (“Lonza”) for the production of Phase 3 and commercial supplies of the aldafermin drug substance. If Lonza or our drug product manufacturer are not able to provide us with sufficient quantities of aldafermin for our clinical trials on a timely basis, or at all, whether due to production shortages or other supply interruptions resulting from the ongoing COVID-19 pandemic or otherwise, our clinical trials or regulatory approval may be delayed. Refer to the risk factor entitled </w:t>
      </w:r>
      <w:r>
        <w:rPr>
          <w:rFonts w:ascii="Arial" w:cs="Arial" w:eastAsia="Arial" w:hAnsi="Arial"/>
          <w:sz w:val="18"/>
          <w:szCs w:val="18"/>
          <w:i w:val="1"/>
          <w:iCs w:val="1"/>
          <w:color w:val="auto"/>
        </w:rPr>
        <w:t>“Our business could be adversely affected by the effects of health epidemics, including the evolving effects of the</w:t>
      </w:r>
      <w:r>
        <w:rPr>
          <w:rFonts w:ascii="Arial" w:cs="Arial" w:eastAsia="Arial" w:hAnsi="Arial"/>
          <w:sz w:val="18"/>
          <w:szCs w:val="18"/>
          <w:color w:val="auto"/>
        </w:rPr>
        <w:t xml:space="preserve"> </w:t>
      </w:r>
      <w:r>
        <w:rPr>
          <w:rFonts w:ascii="Arial" w:cs="Arial" w:eastAsia="Arial" w:hAnsi="Arial"/>
          <w:sz w:val="18"/>
          <w:szCs w:val="18"/>
          <w:i w:val="1"/>
          <w:iCs w:val="1"/>
          <w:color w:val="auto"/>
        </w:rPr>
        <w:t>COVID-19 pandemic, in regions where we or third parties on which we rely have significant manufacturing facilities, concentrations of clinical trial sites or other business operations. The COVID-19 pandemic could materially affect our operations, including at our headquarters in the San Francisco Bay Area, which is currently subject to a shelter-in-place order, and at our clinical trial sites, as well as the business or operations of our manufacturers, CROs or other third parties with whom we conduct business.”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of our product candidates uses certain raw materials for its manufacture, such as reagents that support cell growth. Some of these materials only have a single supplier and are purchased as necessary without a long-term supply agreement in place. Any significant delay in the acquisition or decrease in the availability of these raw materials could considerably delay the manufacture of our product candidates, which could adversely impact the timing of any planned trials or the regulatory approvals of our product candidates.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ensure that any stability or other issues relating to the manufacture of our product candidates will not occur in the future.</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clinical trials or commercialization.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or limit the commercial profile of an approved label.</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Additional clinical trials may be required to evaluate the safety profile of our product candidates. Serious adverse events that were reported in the aldafermin treatment arms from our completed Phase 1 and Phase 2 clinical trials of aldafermin include: moderate dizziness, community acquired pneumonia, iron deficiency anemia, fractured finger, pneumonitis/alveolitis, acute pancreatitis, pneumonia, pleurisy, non-myocardial infarction cardiac arrest, chest pain, vertigo, headache, accelerated hypertension, kidney mass, bowel obstruction, bilirubin increase, cholangitis, progression of primary sclerosing cholangitis (“PSC”), intervertebral discitis, rectal bleeding and post-biopsy bleeding. In our completed Phase 1 and Phase 1b clinical trials of NGM313, there were two reported serious adverse events in the NGM313 treatment arms: cholecystitis and rectal bleeding due to hemorrhoids, both of which were deemed by the investigators to be unrelated to treatment with NGM313. In our completed Phase 1 clinical trial of NGM120, there were two reported serious adverse events in the NGM120 treatment arms: renal colic and bipolar disorder, both of which were deemed by the investigators to be unrelated to treatment with NGM120.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8" w:name="page49"/>
    <w:bookmarkEnd w:id="48"/>
    <w:p>
      <w:pPr>
        <w:jc w:val="both"/>
        <w:spacing w:after="0" w:line="237" w:lineRule="auto"/>
        <w:rPr>
          <w:sz w:val="20"/>
          <w:szCs w:val="20"/>
          <w:color w:val="auto"/>
        </w:rPr>
      </w:pPr>
      <w:r>
        <w:rPr>
          <w:rFonts w:ascii="Arial" w:cs="Arial" w:eastAsia="Arial" w:hAnsi="Arial"/>
          <w:sz w:val="18"/>
          <w:szCs w:val="18"/>
          <w:color w:val="auto"/>
        </w:rPr>
        <w:t>Significant increases in serum levels of low density lipoprotein (“LDL”) cholesterol were observed in clinical trials of aldafermin in NASH and type 2 diabetes. The drug-induced changes in LDL cholesterol were brought back to baseline levels with concomitant statin use in NASH patients, however, sustained LDL cholesterol elevations in untreated patients can be associated with cardiovascular disease. While the impact of these drug-induced changes in cholesterol are unknown, we believe that concomitant statin use, along with aldafermin’s triglyceride lowering and high density lipoprotein cholesterol elevating properties, will provide an overall neutral to positive impact on patients’ cardiovascular health. We have not observed any significant changes in LDL cholesterol with aldafermin in trials we have conducted in patients with cholestatic liver disease, such as PBC and PSC.</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One subject in the aldafermin Phase 2 clinical trial in type 2 diabetes developed antibodies against aldafermin that appear to cross-react with fibroblast growth factor 19 (“FGF19”). This patient did not demonstrate any biochemical or clinical safety concerns while in the study, and we have not identified any safety concerns while monitoring the subject following the study. Six of the 36 subjects in the aldafermin Phase 2 extension clinical trial in PBC were confirmed to have antibodies against aldafermin. These subjects have not demonstrated any biochemical or clinical safety signals that were different from observations in subjects that did not generate antibodies against aldafermin.</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However, future results of our trials could reveal a high and unacceptable severity and prevalence of side effects, anti-drug antibodies or unexpected characteristics. In such an event, we could suspend or terminate our trials or the FDA or comparable foreign regulatory authorities could order us to cease clinical trials or deny approval of our product candidates for any or all targeted indications. Drug-related side effects could affect patient recruitment or the ability of enrolled subjects to complete the trial or result in potential product liability claims. Any of these occurrences could materially and adversely affect our business, financial condition and prospects.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most advanced clinical-stage product candidate, aldafermin, is a modified version of a human hormone that has been associated with liver cancer in rodent testing.</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Aldafermin is a modified version of FGF19, a human hormone that has been associated with liver cancer in rodent testing. The IND that we filed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Gastroenterology and Inborn Errors Products, which is responsible for the NASH indication, has not requested any additional information regarding the potential for aldafermin to induce hepatocellular proliferation. We have received feedback from the FDA Carcinogenicity 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We believe we have identified a modified version of FGF19 that does not exhibit the cancer-causing effects of native human FGF19 in rodents. We believe that aldafermin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superior to alternative treatments. Concerns about the association between FGF19 and liver cancer could have an adverse effect on our ability to develop and commercialize aldafermin.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9" w:name="page50"/>
    <w:bookmarkEnd w:id="49"/>
    <w:p>
      <w:pPr>
        <w:jc w:val="both"/>
        <w:spacing w:after="0" w:line="271"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which will be expensive and time-consuming,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and financial condition.</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drug development programs, such as our decision to suspend activities with NGM386 while we focus on NGM395, may also be incorrect and could cause us to miss valuable opportunities.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BLA. As a result of such incomplete information or due to incorrect analysis by us, we may select a cost and profit share program that later proves to have less commercial potential than an alternative, or none at all, or may pass on a cost and profit sharing program that proves commercially successful.</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or continue to attract and retain qualified scientific, technical and business personnel, our business will suffer.</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An important element of our strategy is to take advantage of the research and development expertise of our current management. The loss of any one of our executive officers,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0" w:name="page51"/>
    <w:bookmarkEnd w:id="50"/>
    <w:p>
      <w:pPr>
        <w:jc w:val="both"/>
        <w:spacing w:after="0" w:line="236" w:lineRule="auto"/>
        <w:rPr>
          <w:sz w:val="20"/>
          <w:szCs w:val="20"/>
          <w:color w:val="auto"/>
        </w:rPr>
      </w:pPr>
      <w:r>
        <w:rPr>
          <w:rFonts w:ascii="Arial" w:cs="Arial" w:eastAsia="Arial" w:hAnsi="Arial"/>
          <w:sz w:val="18"/>
          <w:szCs w:val="18"/>
          <w:color w:val="auto"/>
        </w:rPr>
        <w:t>To fully realize the research and development support committed under our collaboration with Merck, we will need to maintain a significant number of qualified research and development, scientific, administrative and commercial personnel. There is intense competition for qualified personnel, including management, in the technical fields in which we operate, and we may not be able to attract and retain qualified personnel necessary for the successful research, development and commercialization of our product candidates. In particular, the hiring environment in the San Francisco Bay Area, where we are headquartered,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8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Any agreements we have or may enter into with third parties, such as collaboration, license, supplier, manufacturing, sponsored research, CRO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Since executing the Collaboration Agreement in 2015, we have significantly increased our headcount and advanced our pipeline and the complexity of our operations, which has placed a strain on our administrative and operational infrastructure. We expect this strain to continue as we maintain our growth and seek to obtain and manage relationships with third parties. Our ability to manage our operations and growth effectively depends upon the continual improvement of our procedures, reporting systems and operational, financial and management controls.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acquire additional assets, intellectual property and complementary businesses in the future. Acquisitions involve many risks, any of which could materially harm our business, including the diversion of management’s attention from core business concerns, failure to effectively exploit acquired assets or intellectual property, failure to successfully integrate the acquired business or realize expected synergies or the loss of key employees from either our business or the acquired businesses.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1" w:name="page52"/>
    <w:bookmarkEnd w:id="51"/>
    <w:p>
      <w:pPr>
        <w:jc w:val="both"/>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companies, including AbbVie, Allergan, AstraZeneca, Bayer, Boerhinger Ingelheim, Bristol-Myers Squibb, Eisai, Eli Lilly, GlaxoSmithKline, Johnson &amp; Johnson, Merck, Novartis, Novo Nordisk, Pfizer, Roche, Sanofi and Takeda, as well as large and small biotechnology companies such as 89Bio, Akero, Albireo, Alentis, Amgen Inc. (“Amgen”), Apellis, Ascletis, Axcella, Bird Rock, Can-Fite, Cirius, Enanta, Galectin, Galmed, Genfit, Gilead, Glympse, Immuron, Intercept, Inventiva, Iveric, Madrigal, MannKind, MediciNova, Metacrine, Mirum, Nalpropion, North Sea, Promethera, Salix, Scholar Rock, Seal Rock, Terns, Tiziana, Viking and Vivus, are pursuing the development or marketing of pharmaceuticals that target the same diseases that are targeted by our most advanced product candidates. It is probable that the number of companies seeking to develop products and therapies for the treatment of cardio-metabolic, liver, oncologic and ophthalmic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are no currently approved therapies for NASH. Although we believe there are no 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2" w:name="page53"/>
    <w:bookmarkEnd w:id="52"/>
    <w:p>
      <w:pPr>
        <w:jc w:val="both"/>
        <w:spacing w:after="0" w:line="236" w:lineRule="auto"/>
        <w:rPr>
          <w:sz w:val="20"/>
          <w:szCs w:val="20"/>
          <w:color w:val="auto"/>
        </w:rPr>
      </w:pPr>
      <w:r>
        <w:rPr>
          <w:rFonts w:ascii="Arial" w:cs="Arial" w:eastAsia="Arial" w:hAnsi="Arial"/>
          <w:sz w:val="18"/>
          <w:szCs w:val="18"/>
          <w:color w:val="auto"/>
        </w:rPr>
        <w:t>If aldafermin or NGM313 were approved for the treatment of NASH, future competition could also arise from products currently in development, including: cenicriviroc, an immunomodulator that blocks CCR2 and CCR5, from Allergan; firsocostat, an ACC inhibitor, and cilofexor, an FXR agonist, both from Gilead; OCA, an FXR agonist, from Intercept; resmetirom, a beta-thyroid hormone receptor agonist, from Madrigal; pegbelfermin, PEGylated FGF21, from Bristol-Myers Squibb; AKR-001, an Fc conjugated FGF21, from Akero; elobixibat, an IBAT-inhibitor, from Albireo; a Galectin-3 inhibitor from Galectin; a synthetic conjugate of cholic acid and arachidic acid from Galmed; an FXR agonist from Metacrine; EDP-305, an FXR agonist, from Enanta; FXR agonists from Novartis; a beta-thyroid hormone receptor agonist from Viking; semaglutide, a GLP-1 analog, from Novo Nordisk; a mitochondrial pyruvate complex modulator from Cirius; and elafibranor, a PPAR alpha/delta agonist, from Genfit. The foregoing competitive risks apply to aldafermin, any variants of aldafermin, including the second-generation, half-life extended version of FGF19 we are currently developing, and NGM313.</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TZDs; alpha-glucosidase inhibitors (AGIs); dipeptidyl peptidase 4 (DPP4) inhibitors; glucagon-like peptide-1 (GLP-1) analogues; SGLT2 inhibitors; oral GLP-1 mimetics; and insulins, including injectable and inhaled versions. Further competition could arise from products currently in development, including: 11 beta HSD (Incyte, Japan Tobacco, Roche); and GPR40 (Connexios, Takeda). Some of these programs have advanced further in clinical development than our product candidates and could receive approval before our product candidates are approved, if they are approved at all.</w:t>
      </w:r>
    </w:p>
    <w:p>
      <w:pPr>
        <w:spacing w:after="0" w:line="18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Demonstrating the safety and efficacy of our product candidates and obtaining regulatory approvals will not guarantee future revenue. The degree of market acceptance of any of our approved product candidates will depend on a number of factors, including:</w:t>
      </w:r>
    </w:p>
    <w:p>
      <w:pPr>
        <w:spacing w:after="0" w:line="205" w:lineRule="exact"/>
        <w:rPr>
          <w:sz w:val="20"/>
          <w:szCs w:val="20"/>
          <w:color w:val="auto"/>
        </w:rPr>
      </w:pPr>
    </w:p>
    <w:p>
      <w:pPr>
        <w:ind w:left="800" w:hanging="40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 as described below;</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3" w:name="page54"/>
    <w:bookmarkEnd w:id="53"/>
    <w:p>
      <w:pPr>
        <w:jc w:val="both"/>
        <w:spacing w:after="0" w:line="237" w:lineRule="auto"/>
        <w:rPr>
          <w:sz w:val="20"/>
          <w:szCs w:val="20"/>
          <w:color w:val="auto"/>
        </w:rPr>
      </w:pPr>
      <w:r>
        <w:rPr>
          <w:rFonts w:ascii="Arial" w:cs="Arial" w:eastAsia="Arial" w:hAnsi="Arial"/>
          <w:sz w:val="18"/>
          <w:szCs w:val="18"/>
          <w:color w:val="auto"/>
        </w:rPr>
        <w:t>Sales of medical products also depend on the willingness of physicians to prescribe the treatment, which is likely to be based on a determination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Europe, Japan and Canada, where we may market our products either directly or with collaborators, the pricing of prescription drugs is controlled by the government. Some countries require approval of the sale price of a drug before it can be marketed. In many countries, the pricing review period begins after marketing or product licensing approval is granted. Regulatory agencies in those countries could determine that the pricing for our products should be based on prices of other commercially available drugs for the same disease, rather than allowing us to market our products at a premium as new drugs.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medications. The United States Department of Health and Human Services (“HHS”) department is considering new regulations that would tie certain drug payments to an International Price Index comprised of prices for the same drugs in developed countries.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4" w:name="page55"/>
    <w:bookmarkEnd w:id="54"/>
    <w:p>
      <w:pPr>
        <w:jc w:val="both"/>
        <w:spacing w:after="0" w:line="236"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March 2010, the Affordable Care Act (“ACA”) was enacted, which includes measures that have significantly changed the way health care is financed by both governmental and private insurers. Some of the provisions of the ACA have yet to be implemented, and there have been judicial and congressional challenges to certain aspects of the ACA. For example, in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while Congress has not passed comprehensive legislation repealing the ACA, it has introduced legislation to modify certain provisions. Congress will likely consider other legislation to modify or replace additional elements of the ACA. It is unclear how these efforts to repeal and replace the ACA, or other appeals, will impact the ACA and our business.</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Other legislative changes that have affected or may affect our industry include the Budget Control Act of 2011 which has triggered automatic reduction to several government programs. This includes aggregate reductions to Medicare payments to providers of, on average, 2% per fiscal year through 2027 unless Congress takes additional action. Recently, there has also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Trump administration released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5" w:name="page56"/>
    <w:bookmarkEnd w:id="55"/>
    <w:p>
      <w:pPr>
        <w:jc w:val="both"/>
        <w:spacing w:after="0" w:line="238"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8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sites are located outside of the United States. Furthermore, if we, Merck or any future collaborator succeeds in developing any of our product candidates, we intend to market them in the EU and other jurisdictions in addition to the United States. If approved, we, Merck or any future collaborator may hire sales representatives and conduct physician and patient association outreach activities outside of the United States. Doing business internationally involves a number of challenges and risks, including but not limited to:</w:t>
      </w:r>
    </w:p>
    <w:p>
      <w:pPr>
        <w:spacing w:after="0" w:line="202" w:lineRule="exact"/>
        <w:rPr>
          <w:sz w:val="20"/>
          <w:szCs w:val="20"/>
          <w:color w:val="auto"/>
        </w:rPr>
      </w:pPr>
    </w:p>
    <w:p>
      <w:pPr>
        <w:ind w:left="800" w:right="20" w:hanging="401"/>
        <w:spacing w:after="0" w:line="246"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interruptions in the supply of clinical trial materials resulting from any events affecting raw material supply or manufacturing capabilities abroad, including those that may result from the ongoing COVID-19 pandemic;</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including COVID-19 and related shelter-in-place orders, travel, social distancing and quarantine policies, boycotts, curtailment of trade and other business restrictions;</w:t>
      </w:r>
    </w:p>
    <w:p>
      <w:pPr>
        <w:spacing w:after="0" w:line="202"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225" w:lineRule="exact"/>
        <w:rPr>
          <w:rFonts w:ascii="Arial" w:cs="Arial" w:eastAsia="Arial" w:hAnsi="Arial"/>
          <w:sz w:val="18"/>
          <w:szCs w:val="18"/>
          <w:color w:val="auto"/>
        </w:rPr>
      </w:pPr>
    </w:p>
    <w:p>
      <w:pPr>
        <w:jc w:val="both"/>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20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6" w:name="page57"/>
    <w:bookmarkEnd w:id="56"/>
    <w:p>
      <w:pPr>
        <w:jc w:val="both"/>
        <w:spacing w:after="0" w:line="27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202" w:lineRule="exact"/>
        <w:rPr>
          <w:sz w:val="20"/>
          <w:szCs w:val="20"/>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7" w:name="page58"/>
    <w:bookmarkEnd w:id="57"/>
    <w:p>
      <w:pPr>
        <w:jc w:val="both"/>
        <w:spacing w:after="0" w:line="253" w:lineRule="auto"/>
        <w:rPr>
          <w:sz w:val="20"/>
          <w:szCs w:val="20"/>
          <w:color w:val="auto"/>
        </w:rPr>
      </w:pPr>
      <w:r>
        <w:rPr>
          <w:rFonts w:ascii="Arial" w:cs="Arial" w:eastAsia="Arial" w:hAnsi="Arial"/>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or our collaborator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collaborator obtains marketing approval. Restrictions under applicable federal and state healthcare laws and regulations, include the following:</w:t>
      </w:r>
    </w:p>
    <w:p>
      <w:pPr>
        <w:spacing w:after="0" w:line="205" w:lineRule="exact"/>
        <w:rPr>
          <w:sz w:val="20"/>
          <w:szCs w:val="20"/>
          <w:color w:val="auto"/>
        </w:rPr>
      </w:pPr>
    </w:p>
    <w:p>
      <w:pPr>
        <w:jc w:val="both"/>
        <w:ind w:left="800" w:hanging="401"/>
        <w:spacing w:after="0" w:line="23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184" w:lineRule="exact"/>
        <w:rPr>
          <w:rFonts w:ascii="Arial" w:cs="Arial" w:eastAsia="Arial" w:hAnsi="Arial"/>
          <w:sz w:val="18"/>
          <w:szCs w:val="18"/>
          <w:color w:val="auto"/>
        </w:rPr>
      </w:pPr>
    </w:p>
    <w:p>
      <w:pPr>
        <w:jc w:val="both"/>
        <w:ind w:left="800" w:hanging="401"/>
        <w:spacing w:after="0" w:line="245"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federal False Claims Act (“FCA”)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8"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204"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02" w:lineRule="exact"/>
        <w:rPr>
          <w:rFonts w:ascii="Arial" w:cs="Arial" w:eastAsia="Arial" w:hAnsi="Arial"/>
          <w:sz w:val="18"/>
          <w:szCs w:val="18"/>
          <w:color w:val="auto"/>
        </w:rPr>
      </w:pPr>
    </w:p>
    <w:p>
      <w:pPr>
        <w:jc w:val="both"/>
        <w:ind w:left="800" w:hanging="401"/>
        <w:spacing w:after="0" w:line="237"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ACA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HHS ownership and investment interests held by physicians (as defined above) and their immediate family members; and</w:t>
      </w:r>
    </w:p>
    <w:p>
      <w:pPr>
        <w:spacing w:after="0" w:line="204" w:lineRule="exact"/>
        <w:rPr>
          <w:rFonts w:ascii="Arial" w:cs="Arial" w:eastAsia="Arial" w:hAnsi="Arial"/>
          <w:sz w:val="18"/>
          <w:szCs w:val="18"/>
          <w:color w:val="auto"/>
        </w:rPr>
      </w:pPr>
    </w:p>
    <w:p>
      <w:pPr>
        <w:jc w:val="both"/>
        <w:ind w:left="800" w:hanging="401"/>
        <w:spacing w:after="0" w:line="23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8" w:name="page59"/>
    <w:bookmarkEnd w:id="58"/>
    <w:p>
      <w:pPr>
        <w:jc w:val="both"/>
        <w:spacing w:after="0" w:line="236"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18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former facility was subject to electrical blackouts as a result of a shortage of available electrical power. Future blackouts, which may be implemented by the local electricity provider in the face of high winds and dry conditions, could disrupt the operations of our current facility. 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 and any losses or damages incurred by us could harm our business. The CMO that is the sole supplier of clinical drug substance for NGM313, NGM120, NGM217, NGM621 and NGM395 is located in a region that has experienced recent political unrest.</w:t>
      </w:r>
    </w:p>
    <w:p>
      <w:pPr>
        <w:spacing w:after="0" w:line="181" w:lineRule="exact"/>
        <w:rPr>
          <w:sz w:val="20"/>
          <w:szCs w:val="20"/>
          <w:color w:val="auto"/>
        </w:rPr>
      </w:pPr>
    </w:p>
    <w:p>
      <w:pPr>
        <w:jc w:val="both"/>
        <w:spacing w:after="0" w:line="208" w:lineRule="exact"/>
        <w:rPr>
          <w:sz w:val="20"/>
          <w:szCs w:val="20"/>
          <w:color w:val="auto"/>
        </w:rPr>
      </w:pPr>
      <w:r>
        <w:rPr>
          <w:rFonts w:ascii="Arial" w:cs="Arial" w:eastAsia="Arial" w:hAnsi="Arial"/>
          <w:sz w:val="18"/>
          <w:szCs w:val="18"/>
          <w:b w:val="1"/>
          <w:bCs w:val="1"/>
          <w:i w:val="1"/>
          <w:iCs w:val="1"/>
          <w:color w:val="auto"/>
        </w:rPr>
        <w:t>Our business could be adversely affected by the effects of health epidemics, including the evolving effects of the COVID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19 pandemic, in regions where we or third parties on which we rely have significant manufacturing facilities, concentrations of clinical trial sites or other business operations. The COVID-19 pandemic continues to impact our business and could materially affect our operations, including at our headquarters in the San Francisco Bay Area, which is currently subject to a shelter-in-place order, and at our clinical trial sites, as well as the business or operations of our manufacturers, CROs or other third parties with whom we conduct business.</w:t>
      </w:r>
    </w:p>
    <w:p>
      <w:pPr>
        <w:spacing w:after="0" w:line="233"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Health epidemics in regions where we have concentrations of clinical trial sites or other business operations could adversely affect our business, including by causing significant disruption in the operations of third-party manufacturers and CROs upon whom we rely. For example, the COVID-19 pandemic has presented a substantial public health and economic challenge around the world and is affecting employees, patients, communities and business operations, as well as the U.S. economy and financial markets. Our headquarters is located in the San Francisco Bay Area and we have critical contract manufacturers located in Europe. In March 2020, the U.S. government imposed travel restrictions on travel between the United States, Europe and certain other countries. Further, the President of the United States declared the COVID-19 pandemic a national emergency, invoking powers under the Stafford Act, the legislation that directs federal emergency disaster response. Similarly, the State of California declared a state of emergency related to the spread of COVID</w:t>
      </w:r>
      <w:r>
        <w:rPr>
          <w:rFonts w:ascii="MS PGothic" w:cs="MS PGothic" w:eastAsia="MS PGothic" w:hAnsi="MS PGothic"/>
          <w:sz w:val="18"/>
          <w:szCs w:val="18"/>
          <w:color w:val="auto"/>
        </w:rPr>
        <w:t>‑</w:t>
      </w:r>
      <w:r>
        <w:rPr>
          <w:rFonts w:ascii="Arial" w:cs="Arial" w:eastAsia="Arial" w:hAnsi="Arial"/>
          <w:sz w:val="18"/>
          <w:szCs w:val="18"/>
          <w:color w:val="auto"/>
        </w:rPr>
        <w:t>19, and county public health departments announced aggressive recommendations to reduce the spread of the disease. Effective March 17, 2020, the health officers of six San Francisco Bay Area counties, including San Mateo County where our headquarters are located, issued multiple shelter-in-place orders, currently in place until the end of May unless further extended, which, among other things, (i) direct all individuals living in those counties to shelter at their places of residence (subject to limited exceptions), (ii) direct all businesses and governmental agencies to cease non-essential operations at physical locations in those counties (subject to limited exceptions), (iii) prohibit all non-essential gatherings of any number of individuals, and (iv) order cessation of all non-essential travel.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and individuals and businesses remain under constraints intended to protect health and safety and will continue to operate for the indefinite future under such restraints, which may become more or less strict over time as circumstances warrant. Based on guidance issued by federal, state and local authorities, we transitioned to a remote work environment for a vast majority of our employees, effective March 16, 2020, while maintaining essential in-person laboratory functions in order to advance key research and development initiatives, supported by the implementation of updated onsite safety procedures. In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9" w:name="page60"/>
    <w:bookmarkEnd w:id="59"/>
    <w:p>
      <w:pPr>
        <w:jc w:val="both"/>
        <w:spacing w:after="0" w:line="237" w:lineRule="auto"/>
        <w:rPr>
          <w:sz w:val="20"/>
          <w:szCs w:val="20"/>
          <w:color w:val="auto"/>
        </w:rPr>
      </w:pPr>
      <w:r>
        <w:rPr>
          <w:rFonts w:ascii="Arial" w:cs="Arial" w:eastAsia="Arial" w:hAnsi="Arial"/>
          <w:sz w:val="18"/>
          <w:szCs w:val="18"/>
          <w:color w:val="auto"/>
        </w:rPr>
        <w:t>connection with these measures, we may be subject to claims based upon, arising out of, or related to COVID-19 and our actions and responses thereto, including any determinations that we may make to continue to operate or to re-open our facilities. Further, the effects of the shelter-in-place order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financial condition, results of operations and growth prospects.</w:t>
      </w:r>
    </w:p>
    <w:p>
      <w:pPr>
        <w:spacing w:after="0" w:line="205"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As the pandemic continues, we anticipate a continuing negative impact on our ability to initiate clinical trial sites, maintain patient enrollment and enroll new patients which may impact timelines in the future. Our ability to attract additional clinical trial sites and principal investigators to conduct our clinical trials and to conduct the necessary clinical trial site initiation procedures has been and may continue to be impacted by quarantines, shelter-in-place and similar restrictions imposed by federal, state and local governments. These restrictions may also prohibit patients from enrolling in, or continuing to participate in, our clinical trials. Principal investigators and clinical trial site staff, as healthcare providers, may have heightened exposure to COVID</w:t>
      </w:r>
      <w:r>
        <w:rPr>
          <w:rFonts w:ascii="MS PGothic" w:cs="MS PGothic" w:eastAsia="MS PGothic" w:hAnsi="MS PGothic"/>
          <w:sz w:val="18"/>
          <w:szCs w:val="18"/>
          <w:color w:val="auto"/>
        </w:rPr>
        <w:t>‑</w:t>
      </w:r>
      <w:r>
        <w:rPr>
          <w:rFonts w:ascii="Arial" w:cs="Arial" w:eastAsia="Arial" w:hAnsi="Arial"/>
          <w:sz w:val="18"/>
          <w:szCs w:val="18"/>
          <w:color w:val="auto"/>
        </w:rPr>
        <w:t>19 and if their health is impacted by COVID-19 it could adversely impact the conduct of our clinical trials at their sites. Similarly, potential participants in our clinical trials, many of whom are medically vulnerable, may be unwilling to enroll in, and enrolled patients may be unwilling to continue to participate in, our clinical trials due to an unwillingness to travel to sites for required screening and clinical trial visits and procedures. In this regard, we have experienced a slower pace of clinical trial site initiation and enrollment than anticipated in certain of our clinical trials, including ALPINE 2/3 and ALPINE 4, due to factors such as the vulnerability of our studied patient populations, clinical trial site suspensions, reallocation of medical resources and the challenges of working remotely due to shelter-in-place and similar government orders, among other factors. Enrolled patients may be unable to comply with clinical trial protocols if quarantines, shelter-in-place and similar restrictions continue to impede patient movement or interrupt healthcare services. In addition, we may be required to develop and implement additional clinical study policies and procedures designed to help protect patients from the COVID-19 disease, which may include using telemedicine visits, remote monitoring of patients and clinical trial sites, and measures designed to ensure that data from clinical trials that may be disrupted as result of the pandemic are collected pursuant to the study protocol and consistent with cGCPs, with any material protocol deviation reviewed and approved by the clinical trial site IRB, all or any of which could materially and adversely affect our clinical development timelines and our ability to obtain regulatory approvals of our product candidates, and could significantly increase our costs. We could also see an impact on our ability to report clinical trial results, or interact with regulators, ethics committees or other important agencies due to limitations in regulatory authority employee resources or otherwise.</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Moreover, we rely on third-party CROs and other third parties to assist us with clinical development activities, and we cannot guarantee that they will continue to perform their contractual duties in a timely and satisfactory manner as a result of the COVID-19 pandemic. In addition, quarantines, shelter-in-place and similar government orders could impact personnel at third-party manufacturing facilities in the United States and other countries, or the availability or cost of materials, which would disrupt our supply chain. In particular, some of our suppliers of certain materials used in the production of our drug products are located in Europe. For example, any manufacturing supply interruption of aldafermin, which is currently manufactured by Lonza at facilities in Switzerland, or our other product candidates, which are currently manufactured at a facility in Lithuania, could adversely affect our ability to conduct ongoing and future clinical trials of aldafermin and our other product candidates. In any event, if the COVID-19 pandemic continues and persists for an extended period of time or more acutely impacts geographies with particular impact on our business, we could experience significant disruptions to our clinical development timelines, which would adversely affect our business, financial condition, results of operations and growth prospects.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while the potential economic impact brought by, and the duration of, the COVID-19 pandemic may be difficult to assess or predict, the pandemic could result in significant and prolonged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 We also cannot predict how the evolving effects of the COVID-19 pandemic may influence the future decisions of our current collaborator to license any programs available to it under the Collaboration Agreement or to exercise its remaining option to extend our research and early development program beyond March 16, 2022.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0" w:name="page61"/>
    <w:bookmarkEnd w:id="60"/>
    <w:p>
      <w:pPr>
        <w:jc w:val="both"/>
        <w:spacing w:after="0" w:line="237" w:lineRule="auto"/>
        <w:rPr>
          <w:sz w:val="20"/>
          <w:szCs w:val="20"/>
          <w:color w:val="auto"/>
        </w:rPr>
      </w:pPr>
      <w:r>
        <w:rPr>
          <w:rFonts w:ascii="Arial" w:cs="Arial" w:eastAsia="Arial" w:hAnsi="Arial"/>
          <w:sz w:val="18"/>
          <w:szCs w:val="18"/>
          <w:color w:val="auto"/>
        </w:rPr>
        <w:t xml:space="preserve">While we expect the COVID-19 pandemic to continue to adversely affect our business operations, the extent of the impact on our clinical development and regulatory efforts, the decisions of our collaboration partner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U.S. and in other countries, and the effectiveness of actions taken globally to contain and treat COVID-19. In addition, to the extent the evolving effects of the COVID-19 pandemic adversely affects our business and results of operations, it may also have the effect of heightening many of the other risks and uncertainties described elsewhere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Similar to other companies in our industry, we face substantial cybersecurity risk. Despite the implementation of security measures, our internal computer systems and those of our current and future CROs and other contractors, collaborators and consultants may fail and are vulnerable to damage from computer viruses and unauthorized access. While we have not, to our knowledge, experienced any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similar events relating to their computer systems could also have a material adverse effect on our business.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the ongoing COVID-19 pandemic, a vast majority of our workforce transitioned to a remote work environment which imposes additional risks to our business, including increased risk associated with working outside our corporate network security protection boundaries, increased risk of industrial espionage, phishing and other cybersecurity attacks and the increased risk of unauthorized dissemination of sensitive personal information or proprietary confidential information, any of which could have a material adverse effect on our business.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2017, a security breach of the internal computer systems of our collaborator, Merck, caused material damage to its operations, but did not affect our internal operations. In June 2019, a vendor that conducted bioanalytical services for some of our aldafermin clinical trials was affected by a ransomware attack that resulted in a significant disruption to its IT systems. This cybersecurity incident at our vendor did not result in an integrity loss of certain clinical sample data for aldafermin, as verified by independent vendors. However, to the extent that any disruption or security breach were to result in a loss of, or damage to, our data or applications, or inappropriate disclosure of confidential or proprietary information, we could incur material costs, be exposed to liability, our competitive position could be harmed and the further development and commercialization of our product candidates could be hindered or delayed.</w:t>
      </w:r>
    </w:p>
    <w:p>
      <w:pPr>
        <w:spacing w:after="0" w:line="18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collection, use, processing and cross-border transfer of personal information.</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may collect, process, use or transfer personal information from individuals located in the EU in connection with our business, including in connection with conducting clinical trials in the EU. Additionally, if any of our product candidates are approved, we may seek to commercialize those products in the EU. The collection and use of personal health data in the EU are governed by the provisions of the General Data Protection Regulation ((EU) 2016/679)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 may result in substantial fines, other administrative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1" w:name="page62"/>
    <w:bookmarkEnd w:id="61"/>
    <w:p>
      <w:pPr>
        <w:jc w:val="both"/>
        <w:spacing w:after="0" w:line="246" w:lineRule="auto"/>
        <w:rPr>
          <w:sz w:val="20"/>
          <w:szCs w:val="20"/>
          <w:color w:val="auto"/>
        </w:rPr>
      </w:pPr>
      <w:r>
        <w:rPr>
          <w:rFonts w:ascii="Arial" w:cs="Arial" w:eastAsia="Arial" w:hAnsi="Arial"/>
          <w:sz w:val="18"/>
          <w:szCs w:val="18"/>
          <w:color w:val="auto"/>
        </w:rPr>
        <w:t>penalties and civil claims being brought against us, which could have a material adverse effect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depend on our collaboration with Merck and may depend in the future on collaborations with additional third parties for the development and commercialization of our product candidates. If those collaborations are not successful, we may not be able to capitalize on the market potential of our product candidates.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February 2015, we entered into a collaboration with Merck focused on the discovery, development and commercialization of biologics, excluding aldafermin, and including a license to our GDF15 receptor agonist program product candidates, NGM386 and NGM395. In November 2018, Merck exercised its option to license NGM313. In 2019, Merck exercised its option to extend the collaboration for an additional two years, from March 17, 2020 through March 16, 2022, and terminated its license to the GDF15 receptor agonist program.</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Merck collaboration involves a complex allocation of rights, provides for substantial research and development support, provides for additional payments upon Merck’s election to further extend the term of the research program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that we would provide sales representatives to co-detail the product candidates that Merck elects to advance in the United States. We cannot predict the success of the collaboration, including whether Merck exercises its option to license additional product candidates or terminates its license to a licensed program.</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aldafermin, NGM395 and NGM386.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212" w:lineRule="exact"/>
        <w:rPr>
          <w:sz w:val="20"/>
          <w:szCs w:val="20"/>
          <w:color w:val="auto"/>
        </w:rPr>
      </w:pPr>
    </w:p>
    <w:p>
      <w:pPr>
        <w:jc w:val="both"/>
        <w:ind w:left="800" w:hanging="401"/>
        <w:spacing w:after="0" w:line="23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our collaboration with Merck, once proof-of-concept data in humans has been generated and Merck has exercised its option to acquire an exclusive license for a product candidate, our ability to influence the resources Merck devotes to such product candidate are substantially reduced until such time, if any, that we exercise our right to participate in a cost and profit sharing arrangement. Even after we exercise that right to participate in a cost and profit sharing arrangement, our ability to influence Merck will be limited.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2" w:name="page63"/>
    <w:bookmarkEnd w:id="62"/>
    <w:p>
      <w:pPr>
        <w:jc w:val="both"/>
        <w:ind w:left="800" w:hanging="401"/>
        <w:spacing w:after="0" w:line="23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under our agreement with Merck, it is possible for Merck to terminate the NGM313 program and any other program (whether or not we have exercised our cost and profit sharing option) upon prior written notice, such as it did for NGM386 and NGM395, without triggering a termination of the remainder of the collaboration arrangement. In addition, Merck might opt not to exercise its option to acquire a license to a product candidate that has generated proof-of-concept data.</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medicines might not commit sufficient resources to the marketing and distribution of our product candidates.</w:t>
      </w:r>
    </w:p>
    <w:p>
      <w:pPr>
        <w:spacing w:after="0" w:line="196"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 For example, Merck has the first right to maintain or defend our intellectual property rights under the Collaboration Agreement with respect to certain licensed programs and, although we may have the right to assume the maintenance and defense of our intellectual property rights if Merck does not, our ability to do so may be compromised by Merck’s actions.</w:t>
      </w:r>
    </w:p>
    <w:p>
      <w:pPr>
        <w:spacing w:after="0" w:line="202" w:lineRule="exact"/>
        <w:rPr>
          <w:rFonts w:ascii="Arial" w:cs="Arial" w:eastAsia="Arial" w:hAnsi="Arial"/>
          <w:sz w:val="18"/>
          <w:szCs w:val="18"/>
          <w:color w:val="auto"/>
        </w:rPr>
      </w:pPr>
    </w:p>
    <w:p>
      <w:pPr>
        <w:jc w:val="both"/>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agreement with Merck, if we undergo a change in control.</w:t>
      </w:r>
    </w:p>
    <w:p>
      <w:pPr>
        <w:spacing w:after="0" w:line="196"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196"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Under certain circumstances, Merck may unilaterally terminate its annual funding of our research and development program, or terminate or shift the focus of its research and development funding, any of which would materially and adversely affect our business.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the Collaboration Agreement, Merck has the right to terminate all or part of the agreement at certain times and under certain circumstances. Merck may terminate the research and early development program effective March 17, 2022 by providing notice to us prior to March 17, 2021. Merck may terminate its annual funding of the research program prior to March 17, 2022 if we are acquired by a third party or if we are in material uncured breach of our obligations under the research and early development program. After the current term of the collaboration or, if Merck again exercises its option to extend the term, after such extension period, Merck may terminate the overall agreement for convenience upon written notice and subject to certain limitations.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3" w:name="page64"/>
    <w:bookmarkEnd w:id="63"/>
    <w:p>
      <w:pPr>
        <w:jc w:val="both"/>
        <w:spacing w:after="0" w:line="237" w:lineRule="auto"/>
        <w:rPr>
          <w:sz w:val="20"/>
          <w:szCs w:val="20"/>
          <w:color w:val="auto"/>
        </w:rPr>
      </w:pPr>
      <w:r>
        <w:rPr>
          <w:rFonts w:ascii="Arial" w:cs="Arial" w:eastAsia="Arial" w:hAnsi="Arial"/>
          <w:sz w:val="18"/>
          <w:szCs w:val="18"/>
          <w:color w:val="auto"/>
        </w:rPr>
        <w:t>Subject to certain limitations, Merck may partially terminate the Collaboration Agreement for convenience as it relates to NGM313 or any future licensed program. For example, Merck terminated its license to our GDF15 receptor agonist program, including NGM395 and NGM386, in May 2019. Merck may also terminate the agreement as it relates to its rights to research and develop small molecule compounds. It may also terminate the agreement with respect to a specific licensed program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licensed program.</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Merck terminates funding, terminates the Collaboration Agreement, decides not to further extend the research phase of the collaboration or shifts the focus of its research and development funding, it could impede our ability to fund and complete our research and development programs, which would materially and adversely affect our business.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not be able to obtain and maintain the relationships with third parties that are necessary to develop, commercialize and manufacture some or all of our product candidates.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CROs, clinical investigators, manufacturers and other third parties to support our discovery efforts, to formulate product candidates, to conduct clinical trials for some or all of our product candidates, to manufacture clinical and commercial 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commercialization and manufacturing of our products or product candidates, which could harm our results of operations.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or products ourselves, including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its own business priorities, at a time that is costly or damaging to us.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any of our product candidates are approved by the FDA or other regulatory agencies for commercial sale, we or our collaborator may need to manufacture it in larger quantities. We intend to use third-party manufacturers for commercial quantities of aldafermin, NGM120, NGM217, NGM621 and NGM395, to the extent we advance these product candidates, and will rely on Merck to determine whether to utilize a third-party manufacturer or internal manufacturing capacity for NGM313 and other licensed product candidates. Our or our collaborator’s manufacturers may not be able to successfully increase the manufacturing capacity for any of our product candidates in a timely or efficient manner, or at all. If we or our collaborator are unable to successfully increase the manufacturing capacity for a product candidate, the regulatory approval or commercial launch of that product candidate may be delayed or there may be a shortage in the supply of the product candidate. Our or our collaborator’s failure or the failure of third-party manufacturers to comply with the FDA’s current Good Manufacturing Practices (“cGMP”) and to pass inspections of the manufacturing facilities by the FDA or other regulatory agencies could seriously harm our business.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cannot guarantee that we or, as applicable, our collaborator will be able to successfully negotiate agreements for, or maintain relationships with, collaborators, partners, licensees, CROs, clinical investigators, manufacturers and other third parties on favorable terms, if at all. If we or our collaborator are unable to obtain or maintain these agreements, we may not be able to clinically develop, formulate, manufacture, obtain regulatory approvals for or commercialize our product candidates, which will, in turn, adversely affect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4" w:name="page65"/>
    <w:bookmarkEnd w:id="64"/>
    <w:p>
      <w:pPr>
        <w:jc w:val="both"/>
        <w:spacing w:after="0" w:line="237" w:lineRule="auto"/>
        <w:rPr>
          <w:sz w:val="20"/>
          <w:szCs w:val="20"/>
          <w:color w:val="auto"/>
        </w:rPr>
      </w:pPr>
      <w:r>
        <w:rPr>
          <w:rFonts w:ascii="Arial" w:cs="Arial" w:eastAsia="Arial" w:hAnsi="Arial"/>
          <w:sz w:val="18"/>
          <w:szCs w:val="18"/>
          <w:color w:val="auto"/>
        </w:rPr>
        <w:t>We expect to expend substantial management time and effort to enter into relationships with third parties and, if we successfully enter into such relationships, to manage these relationships. In addition, substantial capital will be paid to third parties in these relationships.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not partnered with Merck, such as aldafermin, NGM395 and NGM386, we may decide to collaborate with other pharmaceutical and biotechnology companies for their development and potential commercialization.</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and the existence of uncertainty with respect to our ownership of intellectual property, which can exist if there is a challenge to such ownership without regard to the merits of the challenge and industry and market conditions generally. Potential collaborators may also consider alternative product candidates or intellectual property for similar indications that may be available for collaboration and whether such an alternative collaboration could be more attractive than the one with us for our product candidate.</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our Collaboration Agreement with Merck, we may not directly or indirectly research, develop, manufacture or commercialize, except pursuant to the Collaboration Agreement, any medicine or product candidate that modulates a target then subject to the collaboration with specified activity. The FGF19 program, including aldafermin, is excluded from this provision, notwithstanding that both aldafermin and NGM313 signal, in part, through the FGFR1c pathway. During the tail period following the research term of the collaboration, we may not directly or indirectly research, develop or commercialize, outside of the collaboration, any medicine or product candidate with specified activity against any collaboration target that has been designated a tail target.</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any product candidate for which we are seeking a collaboration,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5" w:name="page66"/>
    <w:bookmarkEnd w:id="65"/>
    <w:p>
      <w:pPr>
        <w:jc w:val="both"/>
        <w:spacing w:after="0" w:line="271"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some aspects of our research and preclinical studies, and those third parties may not perform satisfactorily, including failing to meet deadlines for the completion of such trials, research or testing.</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currently rely on, and expect to continue to rely on, third parties, such as CROs, clinical data management organizations, medical institutions, consultants and clinical investigators, to conduct our clinical trials and certain aspects of our research and preclinical studies.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cGCPs,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 In this regard, we cannot guarantee that these third parties will continue to perform their contractual duties in a timely and satisfactory manner as a result of the COVID-19 pandemic or otherwise.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expect to rely on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we rely on these third parties to provide accurate financial information related to our research and development activities and if any inaccurate financial information were provided by these third parties, our results of operations could be adversely impacted.</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and clinical studies and expect to continue to do so for commercialization. This reliance on third parties increases the risk that we will not have sufficient quantities of our product candidates or that such supply will not be available to us on our requested timeline or at an acceptable cost, which could delay, prevent or impair our development or commercialization efforts.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do not have any manufacturing facilities. We currently rely, and expect to continue to rely, on third-party manufacturers for the manufacture of our product candidates for preclinical and clinical studies and for commercial supply of any of these product candidates for which we or our collaborator obtains marketing approval. To date, we have obtained materials for aldafermin, NGM313, NGM120, NGM217, NGM621 and NGM395 for preclinical and clinical studies from third-party manufacturers. Other than our supply agreement with Lonza for aldafermin drug substance, we do not have a long-term supply agreement with any third-party manufacturer.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6" w:name="page67"/>
    <w:bookmarkEnd w:id="66"/>
    <w:p>
      <w:pPr>
        <w:spacing w:after="0" w:line="246" w:lineRule="auto"/>
        <w:rPr>
          <w:sz w:val="20"/>
          <w:szCs w:val="20"/>
          <w:color w:val="auto"/>
        </w:rPr>
      </w:pPr>
      <w:r>
        <w:rPr>
          <w:rFonts w:ascii="Arial" w:cs="Arial" w:eastAsia="Arial" w:hAnsi="Arial"/>
          <w:sz w:val="18"/>
          <w:szCs w:val="18"/>
          <w:color w:val="auto"/>
        </w:rPr>
        <w:t>We may be unable to establish any agreements with third-party manufacturers on acceptable terms or at all. Even if we are able to establish agreements with third-party manufacturers, reliance on third-party manufacturers entails additional risks, including:</w:t>
      </w:r>
    </w:p>
    <w:p>
      <w:pPr>
        <w:spacing w:after="0" w:line="197" w:lineRule="exact"/>
        <w:rPr>
          <w:sz w:val="20"/>
          <w:szCs w:val="20"/>
          <w:color w:val="auto"/>
        </w:rPr>
      </w:pPr>
    </w:p>
    <w:p>
      <w:pPr>
        <w:ind w:left="800" w:right="20" w:hanging="401"/>
        <w:spacing w:after="0" w:line="24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the failure to supply product on the timelines and at the cost agreed to;</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Third-party manufacturers may not be able to comply with cGMP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our product candidates.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In this regard, quarantines, shelter-in-place and similar government orders related to the COVID-19 pandemic could impact personnel at third-party manufacturing facilities in the U.S. and other countries, or the availability or cost of materials, which would disrupt our supply chain and delay our clinical development efforts. In particular, some of our suppliers of certain materials used in the production of our drug products are located in Europe. For example, any manufacturing supply interruption of aldafermin, which is currently manufactured by Lonza at facilities in Switzerland, or our other product candidates, which are currently manufactured at a facility in Lithuania, could adversely affect our ability to conduct ongoing and future clinical trials of aldafermin and our other product candidates. We do not currently have arrangements in place for redundant supply for bulk drug substances or drug product. If any one of our current contract manufacturers cannot perform as agreed, we may be required to replace that manufacturer, if possible. Although there may be potential alternative manufacturers who could manufacture our product candidates, we would incur added costs and delays in identifying and qualifying any such replacement.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current and anticipated future dependence upon others for the manufacture of our product candidates or any future products may adversely affect our future profit margins and our ability to commercialize any products that receive marketing approval on a timely and competitive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None of our product candidates has received regulatory approval. If we are unable to obtain regulatory approvals to market one or more of our product candidates, our business will be adversely affected.</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do not expect our product candidates to be commercially available for several years, if at all. Our product candidates are subject to strict regulation by regulatory authorities in the United States and in other countries. We cannot market any product candidate until we have completed all necessary preclinical studies and clinical trials and have obtained the necessary regulatory approvals. The approval process is typically lengthy and expensive, and approval is never certain. We do not know whether regulatory agencies will grant approval for any of our product candidates. Even if we complete preclinical studies and clinical trials successfully, we may not be able to 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 In addition, we may encounter delays or rejections due to additional government regulation from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7" w:name="page68"/>
    <w:bookmarkEnd w:id="67"/>
    <w:p>
      <w:pPr>
        <w:jc w:val="both"/>
        <w:spacing w:after="0" w:line="246" w:lineRule="auto"/>
        <w:rPr>
          <w:sz w:val="20"/>
          <w:szCs w:val="20"/>
          <w:color w:val="auto"/>
        </w:rPr>
      </w:pPr>
      <w:r>
        <w:rPr>
          <w:rFonts w:ascii="Arial" w:cs="Arial" w:eastAsia="Arial" w:hAnsi="Arial"/>
          <w:sz w:val="18"/>
          <w:szCs w:val="18"/>
          <w:color w:val="auto"/>
        </w:rPr>
        <w:t>future legislation, administrative action or changes in the policies of the FDA or comparable foreign regulatory authorities. Even if the FDA or a comparable foreign regulatory authority approves a product, the approval will be limited to those indications covered in the approval.</w:t>
      </w:r>
    </w:p>
    <w:p>
      <w:pPr>
        <w:spacing w:after="0" w:line="17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Currently, none of our product candidates has received regulatory approval. The time required to obtain approval from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197" w:lineRule="exact"/>
        <w:rPr>
          <w:sz w:val="20"/>
          <w:szCs w:val="20"/>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results of clinical trials to meet the level of statistical significance required for approval;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to support the submission and filing of a biologics license application (“BLA”) or other submission or to obtain regulatory approval;</w:t>
      </w:r>
    </w:p>
    <w:p>
      <w:pPr>
        <w:spacing w:after="0" w:line="196"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Unique to a Fast Track product, the FDA may consider sections of the BLA for review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Fast Track designation does not change the standards for product approval.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8" w:name="page69"/>
    <w:bookmarkEnd w:id="68"/>
    <w:p>
      <w:pPr>
        <w:jc w:val="both"/>
        <w:spacing w:after="0" w:line="238" w:lineRule="auto"/>
        <w:rPr>
          <w:sz w:val="20"/>
          <w:szCs w:val="20"/>
          <w:color w:val="auto"/>
        </w:rPr>
      </w:pPr>
      <w:r>
        <w:rPr>
          <w:rFonts w:ascii="Arial" w:cs="Arial" w:eastAsia="Arial" w:hAnsi="Arial"/>
          <w:sz w:val="18"/>
          <w:szCs w:val="18"/>
          <w:color w:val="auto"/>
        </w:rPr>
        <w:t>Although aldafermin has received Fast Track designation from the FDA for NASH and PBC, we may not necessarily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aldafermin or any other product candidate that we are developing or may develop.</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we or our collaborators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9" w:name="page70"/>
    <w:bookmarkEnd w:id="69"/>
    <w:p>
      <w:pPr>
        <w:jc w:val="both"/>
        <w:spacing w:after="0" w:line="237"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203" w:lineRule="exact"/>
        <w:rPr>
          <w:sz w:val="20"/>
          <w:szCs w:val="20"/>
          <w:color w:val="auto"/>
        </w:rPr>
      </w:pPr>
    </w:p>
    <w:p>
      <w:pPr>
        <w:ind w:left="800" w:hanging="401"/>
        <w:spacing w:after="0" w:line="246"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initiate a recall of such product;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0" w:name="page71"/>
    <w:bookmarkEnd w:id="70"/>
    <w:p>
      <w:pPr>
        <w:jc w:val="both"/>
        <w:spacing w:after="0" w:line="238"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Even if we receive regulatory approval for aldafermin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aldafermin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products and technologies.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success depends in significant part on our ability and the ability of our current or future licensors, licensees or collaborators to establish and maintain adequate intellectual property covering the product candidates that we plan to develop. In addition to taking other steps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Pending and future patent applications filed by us or our current or future licensors’, licensees’ or collaborators’ may not result in patents being issued that protect our technology or product candidates, or products resulting therefrom, in whole or in part, or that effectively prevent others from commercializing competitive technologies and products.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filed numerous patent applications both in the United States and in certain foreign jurisdictions to obtain patent rights to our inventions, with claims directed to compositions of matter, methods of use, formulations, combination therapy and other technologies relating to our product candidates. However,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1" w:name="page72"/>
    <w:bookmarkEnd w:id="71"/>
    <w:p>
      <w:pPr>
        <w:jc w:val="both"/>
        <w:spacing w:after="0" w:line="237"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The patent examination process may require us or our current or future licensors, licensees or collaborators to narrow the scope of the claims of pending and future patent applications, which would limit the scope of patent protection that is obtained, if any.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patent rights and those of our current or future licensors, licensees or collaborators are highly uncertain and may not effectively prevent others from commercializing competitive technologies and products.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Success in obtaining and maintaining patents and other intellectual property rights may depend upon being the first to make a particular invention or being the first inventor to file a patent application on that invention. However, the publication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an invention, or the first inventors to file a patent application claiming an invention in our owned or licensed patents or pending patent applications.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may not be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do not currently own or have a license to any issued patents that cover our NGM217 or NGM621 product candidates, although they are disclosed and claimed in our pending U.S. non-provisional and/or Patent Cooperation Treaty (“PCT”) applications and/or national stage applications in particular foreign countries. The patent landscape surrounding NGM217 and NGM621 is crowded, and there can be no assurance that we will be able to secure patent protection that would adequately cover such product candidates, nor can there be any assurance that we would obtain sufficiently broad claims to be able to prevent others from selling competing products.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changes we make to our product candidates, including aldafermin, NGM313, NGM120, NGM217, NGM621 and NGM395,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aldafermin molecule, including half-life extending formulation enhancements or the half-life extended variants of FGF19 that we are developing, NGM313, NGM120, NGM217, NGM621 and NGM395 or any of our other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Thus, our existing patents and any future patents we obtain may not be sufficiently broad to prevent others from practicing our inventions or technologies, or from developing or commercializing competing products.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2" w:name="page73"/>
    <w:bookmarkEnd w:id="72"/>
    <w:p>
      <w:pPr>
        <w:jc w:val="both"/>
        <w:spacing w:after="0" w:line="237"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is prohibitively expensive, and our intellectual property rights in some countries outside the United States are less extensive than those in the United States. Competitors may use our technology and that of our current or future licensors, licensees or collaborators in jurisdictions where we have not obtained patent protection to develop their own products and, in some cases, may export otherwise infringing products to territories where we and our collaborator have patent protection, but enforcement is not as strong as that in the United States. These products may compete with our products and product candidates, and our patents or other intellectual property rights may not be effective or sufficient to prevent that competition.</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Europe and other countries impose limitations on inventions related to methods for treating the human body. Differences in national law and practice may limit the breadth and strength of any patents obtained by us or our current or future licensors, licensees or collaborators.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India, certain countries in Europe, and certain developing countries, including Thailand, have compulsory licensing laws under which a patent owner may be compelled to grant licenses to third parties. Additionally, many countries limit the enforceability of patents against government agencies or government contractors. We or our licensors, licensees or collaborators may have limited remedies if patents are infringed or if compelled to grant a license to a third party, which could materially diminish the value of those patents and could limit our potential revenue opportunities. Accordingly, our efforts, and those of our licensors, licensees or collaborators, to enforce intellectual property rights around the world may be inadequate to obtain a significant commercial advantage from the intellectual property that we own or license.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Patent applications, issued patents and/or parts thereof must be translated into the native language in many foreign countries. If our patent applications or issued patents are translated incorrectly, they may not adequately cover our products, product candidates, or other technologies and it may not be possible to rectify an incorrect translation.</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This could make it difficult for us or our current or future licensors, licensees or collaborators to stop the infringement of the patents or the marketing of competing products in violation of the patent or other proprietary rights. Proceedings to enforce patent rights in foreign jurisdictions could result in substantial costs and divert the attention of us or our current or future licensors, licensees or collaborators from other aspects of our business, could put the patents at risk of being invalidated or interpreted narrowly, could place the patent applications at risk of not issuing, and/or could provoke third parties to assert claims against us or our current or future licensors, licensees or collaborators. We or our current or future licensors, licensees or collaborators may not prevail in any lawsuits that are initiated and the damages or other remedies awarded, if any, may not be commercially meaningful.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duration of our intellectual property rights is limited.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Patents generally have a term of 20 years from the earliest effective filing date of the application that first discloses the claimed invention or an obvious variant thereof.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and we may need to rely solely on regulatory or similar protections, if they are available.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3" w:name="page74"/>
    <w:bookmarkEnd w:id="73"/>
    <w:p>
      <w:pPr>
        <w:jc w:val="both"/>
        <w:spacing w:after="0" w:line="236" w:lineRule="auto"/>
        <w:rPr>
          <w:sz w:val="20"/>
          <w:szCs w:val="20"/>
          <w:color w:val="auto"/>
        </w:rPr>
      </w:pPr>
      <w:r>
        <w:rPr>
          <w:rFonts w:ascii="Arial" w:cs="Arial" w:eastAsia="Arial" w:hAnsi="Arial"/>
          <w:sz w:val="18"/>
          <w:szCs w:val="18"/>
          <w:color w:val="auto"/>
        </w:rPr>
        <w:t>We expect to seek extensions of patent terms for our issued patents, where available. In the United States, this includes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During the period of patent term extension, the claims of the patent are not enforceable over their full scope, but instead are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18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Non-compliance with various procedural, document submission, fee payment and other requirements imposed by governmental patent agencies could adversely affect our patent protection.</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Periodic maintenance and annuity fees on issued United States patents and most foreign patent applications and patents must be paid to the U.S. Patent and Trademark Office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be cured, in some cases,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current or future licensors, licensees or collaborators fail to maintain the patents and patent applications covering our product candidates, our competitors might be able to enter the market with similar or identical products or technologies, which would have a material adverse effect on our business, financial condition and results of operations.</w:t>
      </w:r>
    </w:p>
    <w:p>
      <w:pPr>
        <w:spacing w:after="0" w:line="18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 and product candidates.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and the United States Court of Appeals for the Federal Circuit have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collaborator’s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could weaken the ability of us and our current or future licensors, licensees or collaborators to obtain new patents or to enforce existing patents and patents we may obtain in the future.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4" w:name="page75"/>
    <w:bookmarkEnd w:id="74"/>
    <w:p>
      <w:pPr>
        <w:jc w:val="both"/>
        <w:spacing w:after="0" w:line="271"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Several third parties are actively researching and seeking and obtaining patent protection in the cardio-metabolic disease, NASH, liver disease, oncology and ophthalmic fields, and there are issued third-party patents and published third-party patent applications in these fields. The patent landscape around our aldafermin, NGM313, NGM120, NGM217, NGM621 and NGM395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aldafermin, NGM313, NGM120, NGM217, NGM621 and NGM395 product candidates. However, we may not be aware of all third-party intellectual property rights potentially relating to our product candidates and technologies.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 Moreover, even if we obtain licenses to such intellectual property, but subsequently fail to meet our obligations under our license agreements, or such license agreements are terminated for any other reason, we may lose our rights to in-licensed technologies.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could lose the ability to continue the development and commercialization of our products or product candidates if we breach any license agreement related to those products or product candidates.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commercial success depends upon our ability, and the ability of our current and future licensors, licensees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under which we license cell lines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5" w:name="page76"/>
    <w:bookmarkEnd w:id="75"/>
    <w:p>
      <w:pPr>
        <w:jc w:val="both"/>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Third parties may infringe patents or misappropriate or otherwise violate intellectual property rights owned or controlled by us or our current or future licensors, licensees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 future licensors, licensees or collaborators. Litigation could result in substantial costs and diversion of management resources, which could harm our business and financial results.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we or our current or future licensors, licensees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or our current or future licensors, licensees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or collaborators. These proceedings can be expensive, lengthy, and time-consuming, and many of our adversaries may have the ability to dedicate substantially greater resources to prosecuting these legal actions than us. Accordingly, despite our efforts, we or our current or future licensors, licensees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Third-party pre-issuance submission of prior art to the USPTO, opposition, derivation, revocation,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or collaborators, may be necessary to determine the inventorship, priority, patentability or validity. An unfavorable outcome could leave our technology or product candidates without patent protection and allow third parties to commercialize our technology or product candidates without payment to us. Additionally, potential licensees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6" w:name="page77"/>
    <w:bookmarkEnd w:id="76"/>
    <w:p>
      <w:pPr>
        <w:jc w:val="both"/>
        <w:spacing w:after="0" w:line="25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Our commercial success depends upon our ability and that of our current or future licensors, licensees or collaborators to develop, manufacture, market and sell any product candidates that we may develop and use our proprietary technologies without infringing, misappropriating or otherwise violating the intellectual property and proprietary rights of third parties. Third parties may initiate legal proceedings against us or our current or future licensors, licensees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derivation proceedings before the USPTO or its counterparts in other jurisdictions. These proceedings can be expensive, lengthy and time -consuming, and many of our adversaries may have the ability to dedicate substantially greater resources to prosecuting these legal actions than us.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 party patent. This is a high burden, requiring us to present clear and convincing evidence as to the invalidity of any such U.S. patent claim.</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 unfavorable outcome in any such proceeding could require us and our current or future licensors, licensees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perform searches of patent and scientific databases in order to identify documents that may be of potential relevance to the freedom-to-operate of our product candidates. Such searches generally are conducted based on keywords, amino acid and nucleic acid sequences, inventors/authors and assignees/entities to capture U.S. and European patents and patent applications, PCT publications and scientific journal articles. There can be no assurance that these searches will identify all potentially relevant patents or patent applications, and the failure to identify any such patents or patent applications could have a material adverse effect on the commercialization of our product candidates.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aware of several third-party patents and patent applications containing claims directed to compositions of matter, methods of use and related subject matter, some of which pertain, at least in part, to subject matter that might be relevant to our aldafermin, NGM313, NGM120, NGM217, NGM621 and NGM395 product candidates. We are not aware of any facts that would lead us to conclude that the valid and enforceable claims of any third-party patents would reasonably be interpreted to encompass our product candidates, unless we are unsuccessful in our opposition of any of the granted European patents that are discussed below, or any appeals stemming therefrom. As to pending third-party applications, we cannot predict with any certainty the claims that will issue, if any, or the scope of such issued claims.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filed an opposition in the European Patent Office (“EPO”) against a patent, granted to St. Vincent’s Hospital Sydney Limited (“St. Vincent’s”), claiming the use of MIC-1, also known as GDF15, for the treatment of obesity. The Opposition Division of the EPO upheld the patent as granted in the first instance proceedings. We appealed this decision to the Board of Appeals at the EPO and oral proceedings in that appeal are scheduled for August 2020. Should the patent be upheld on appeal or should we decide not to pursue the appeal, we may not be able to commercially launch NGM395 in Europe for the treatment of obesity without a license from St. Vincent’s or until after the patent’s expiration, which is currently scheduled for April 2025. There is no assurance that such a license, if necessary, can be obtained from St. Vincent’s on commercially reasonable terms, or at all.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7" w:name="page78"/>
    <w:bookmarkEnd w:id="77"/>
    <w:p>
      <w:pPr>
        <w:jc w:val="both"/>
        <w:spacing w:after="0" w:line="237" w:lineRule="auto"/>
        <w:rPr>
          <w:sz w:val="20"/>
          <w:szCs w:val="20"/>
          <w:color w:val="auto"/>
        </w:rPr>
      </w:pPr>
      <w:r>
        <w:rPr>
          <w:rFonts w:ascii="Arial" w:cs="Arial" w:eastAsia="Arial" w:hAnsi="Arial"/>
          <w:sz w:val="18"/>
          <w:szCs w:val="18"/>
          <w:color w:val="auto"/>
        </w:rPr>
        <w:t>The Company filed an opposition in the EPO against a patent, granted to Amgen, claiming the use of GDF15 polypeptides for the treatment of several metabolic disorders, including obesity. At the first instance proceedings, the Opposition Division of the EPO maintained the patent with the claims amended to exclude the treatment of obesity. We appealed to the Board of Appeals at the EPO the Opposition Division’s decision to maintain the Amgen patent, including the amended claims. Should the patent be upheld on appeal or should we decide not to pursue the appeal, we may not be able to commercially launch NGM395 in Europe for the treatment of any metabolic orders encompassed by the claims without a license from Amgen or until after the patent’s expiration, which is currently scheduled for April 2032. There is no assurance that such a license, if necessary, can be obtained from Amgen on commercially reasonable terms, or at all.</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filed an opposition in the EPO against a patent, granted to Genentech, claiming the use of an anti-KLB agonistic antibody for treating diabetes mellitus or insulin resistance. The Opposition Division of the EPO revoked the patent in its entirety to conclude the first instance proceedings. Genentech may yet appeal this decision to the Board of Appeals at the EPO. Should the patent be upheld on appeal, reversing the Opposition Division’s decision, we or our collaborator may not be able to commercially launch NGM313 in Europe for the treatment of diabetes mellitus, insulin resistance and/or NASH without a license from Genentech or until after the patent’s expiration, which is currently scheduled for April 2028. There is no assurance that such a license, if necessary, can be obtained from Genentech on commercially reasonable terms, or at 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seeking patents for some of our technology and products, we also rely substantially on trade secrets in our activities,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or our employees have misappropriated their intellectual property or claiming ownership of what we regard as our own intellectual property.</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Most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we may lose valuable intellectual property rights or personnel, pay monetary damages, and/or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8" w:name="page79"/>
    <w:bookmarkEnd w:id="78"/>
    <w:p>
      <w:pPr>
        <w:ind w:right="160"/>
        <w:spacing w:after="0" w:line="271" w:lineRule="auto"/>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 or otherwise be unable to secure ownership of our intellectual property.</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and our current or future licensors, licensees or collaborators may be subject to claims that former employees, collaborators or other third parties have an interest in our owned or in-licensed patents, trade secrets, or other intellectual property as an inventor or co-inventor. Litigation may be necessary to defend against these and other claims. If we fail in defending any such claims, in addition to paying monetary damages, we may lose valuable intellectual property rights, such as exclusive ownership of, or right to use, intellectual property that is important to our products and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It is our policy to require our employees and contractors who may be involved in the conception or development of intellectual property to execute agreements assigning such intellectual property to us. However,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800" w:hanging="401"/>
        <w:spacing w:after="0" w:line="24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technologies that are not covered by the claims of the patents that we license or may own in the future;</w:t>
      </w:r>
    </w:p>
    <w:p>
      <w:pPr>
        <w:spacing w:after="0" w:line="34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current or future licensors, licensees or collaborators, might not have been the first to make the inventions covered by the issued patents and pending patent applications that we license or may own in the future;</w:t>
      </w:r>
    </w:p>
    <w:p>
      <w:pPr>
        <w:spacing w:after="0" w:line="34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current or future licensors, licensees or collaborators, might not have been the first to file patent applications covering certain of our or their inventions;</w:t>
      </w:r>
    </w:p>
    <w:p>
      <w:pPr>
        <w:spacing w:after="0" w:line="34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34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373"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issued patents to which we hold rights may be held invalid or unenforceable, including as a result of legal challenges by our competitors;</w:t>
      </w:r>
    </w:p>
    <w:p>
      <w:pPr>
        <w:spacing w:after="0" w:line="34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4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373"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9" w:name="page80"/>
    <w:bookmarkEnd w:id="79"/>
    <w:p>
      <w:pPr>
        <w:ind w:left="800" w:right="20" w:hanging="401"/>
        <w:spacing w:after="0" w:line="246"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covering such intellectual property.</w:t>
      </w:r>
    </w:p>
    <w:p>
      <w:pPr>
        <w:spacing w:after="0" w:line="34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has been and may continue to be volatile, and you could lose all or part of your investment.</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market price for our common stock has fluctuated significantly from time to time, for example, varying between a high of $23.39 on May 12, 2020 and a low of $8.81 on October 7, 2019. The trading price of our common stock has been and may continue to be highly volatile and subject to wide fluctuations in response to various factors, some of which we cannot control. In addition to the factors discussed in this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section, these factors include:</w:t>
      </w:r>
    </w:p>
    <w:p>
      <w:pPr>
        <w:spacing w:after="0" w:line="205" w:lineRule="exact"/>
        <w:rPr>
          <w:sz w:val="20"/>
          <w:szCs w:val="20"/>
          <w:color w:val="auto"/>
        </w:rPr>
      </w:pPr>
    </w:p>
    <w:p>
      <w:pPr>
        <w:ind w:left="800" w:right="20" w:hanging="401"/>
        <w:spacing w:after="0" w:line="246"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any non-renewal, termination or other change in our relationship with Merck;</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0" w:name="page81"/>
    <w:bookmarkEnd w:id="80"/>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which has resulted in decreased stock prices for many companies notwithstanding the lack of a fundamental change in their underlying business models or prospects. Broad market and industry factors, including worsening economic conditions and other adverse effects or developments relating to the evolving effects of the COVID-19 pandemic, may negatively affect the market price of our common stock, regardless of our actual operating performance. The realization of any of the above risks or any of a broad range of other risks, including those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could have a dramatic and material adverse impact on the market price of our common stock.</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principal stockholders, including entities affiliated with The Column Group, Merck and management, own a significant percentage of our stock and will be able to exert significant control over matters subject to stockholder approval.</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executive officers, directors, significant stockholders, including The Column Group and Merck, and their respective affiliates beneficially own a significant amount of our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such stocks, our stock price could fall.</w:t>
      </w:r>
    </w:p>
    <w:p>
      <w:pPr>
        <w:spacing w:after="0" w:line="18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197" w:lineRule="exact"/>
        <w:rPr>
          <w:sz w:val="20"/>
          <w:szCs w:val="20"/>
          <w:color w:val="auto"/>
        </w:rPr>
      </w:pPr>
    </w:p>
    <w:p>
      <w:pPr>
        <w:ind w:left="800" w:hanging="401"/>
        <w:spacing w:after="0" w:line="24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(the “Sarbanes-Oxley Act”) requiring that our independent registered public accounting firm provide an attestation report on the effectiveness of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1" w:name="page82"/>
    <w:bookmarkEnd w:id="81"/>
    <w:p>
      <w:pPr>
        <w:jc w:val="both"/>
        <w:ind w:left="800" w:hanging="401"/>
        <w:spacing w:after="0" w:line="238"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Protection Act (the “Dodd-Frank Act”) and some of the disclosure requirements of the Dodd-Frank Act relating to compensation of our chief executive officer; and</w:t>
      </w:r>
    </w:p>
    <w:p>
      <w:pPr>
        <w:spacing w:after="0" w:line="202" w:lineRule="exact"/>
        <w:rPr>
          <w:rFonts w:ascii="Arial" w:cs="Arial" w:eastAsia="Arial" w:hAnsi="Arial"/>
          <w:sz w:val="18"/>
          <w:szCs w:val="18"/>
          <w:color w:val="auto"/>
        </w:rPr>
      </w:pPr>
    </w:p>
    <w:p>
      <w:pPr>
        <w:jc w:val="both"/>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Because our independent registered public accounting firm is not required to provide an attestation report on the effectiveness of our internal control over financial reporting so long as we qualify as an “emerging growth company,” the risk that material weaknesses or significant deficiencies in our internal control over financial reporting go undetected may be increased. Likewise, our election not to provide certain information, including certain financial information and certain information regarding compensation of our executive officers, that we would otherwise have been required to provide in filings we make with the SEC, may make it more difficult for investors and securities analysts to evaluate our company.</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which in certain circumstances could be for up to five years. We will cease to be an “emerging growth company” upon the earliest of: (1) December 31, 2024; (2) 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 respect to the JOBS Act, we are also taking advantage of some, but not all, of the reduced regulatory and reporting requirements that are available to us so long as we qualify as an “emerging growth company.” For example, we are not subject to the same new or revised accounting standards as other public companies that are not “emerging growth companies.” As a result, changes in U.S. GAAP or their interpretation, the adoption of new guidance or the application of existing guidance to changes in our business could significantly affect our financial position and results of operations.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and reduced requirements. If some investors find our common stock less attractive as a result, there may be a less active trading market for our common stock, and our stock price may be more volatile and may decline. In addition, if we lose our “emerging growth company” status sooner than anticipated, we may incur additional costs to comply with rules and regulations required for public companies, which may impact our financial position and results of operations.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2" w:name="page83"/>
    <w:bookmarkEnd w:id="82"/>
    <w:p>
      <w:pPr>
        <w:jc w:val="both"/>
        <w:spacing w:after="0" w:line="271"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new compliance initiatives.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and these expenses may increase even more after we are no longer an “emerging growth company.”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certain holders of our common stock have rights, subject to certain conditions, to require us to file registration statements covering their shares or to include their shares in registration statements that we may file for ourselves or other stockholders. Shares issued to Merck in the private placement that occurred concurrently with our IPO became available for sale in the public market beginning on March 17, 2020, subject to the condition of Rule 144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spacing w:after="0" w:line="203" w:lineRule="exact"/>
        <w:rPr>
          <w:sz w:val="20"/>
          <w:szCs w:val="20"/>
          <w:color w:val="auto"/>
        </w:rPr>
      </w:pPr>
    </w:p>
    <w:p>
      <w:pPr>
        <w:ind w:left="80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provisions in our agreement with Merck may also deter a change of control. For example, under our agreement with Merck, a change of control gives Merck the right to terminate our research and early development program as well as additional rights if our acquirer is a qualifying large pharmaceutical company or has a research, development or commercialization program that competes with a program licensed by Merck.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4" w:name="page85"/>
    <w:bookmarkEnd w:id="84"/>
    <w:p>
      <w:pPr>
        <w:jc w:val="both"/>
        <w:ind w:right="20"/>
        <w:spacing w:after="0"/>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19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which could harm our business, and there can be no assurance that the provisions will be enforced by a court in those other jurisdictions.</w:t>
      </w:r>
    </w:p>
    <w:p>
      <w:pPr>
        <w:spacing w:after="0" w:line="19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 The trading market for our common stock depends, in part, on the research and reports that securities or industry analysts publish about us or our business. We do not have any control over these analysts. A limited number of analysts are currently covering our company.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IPO of Common Stock</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April 4,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2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9"/>
        </w:trPr>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Number</w:t>
            </w:r>
          </w:p>
        </w:tc>
        <w:tc>
          <w:tcPr>
            <w:tcW w:w="5400" w:type="dxa"/>
            <w:vAlign w:val="bottom"/>
            <w:gridSpan w:val="7"/>
          </w:tcPr>
          <w:p>
            <w:pPr>
              <w:ind w:left="2240"/>
              <w:spacing w:after="0"/>
              <w:rPr>
                <w:sz w:val="20"/>
                <w:szCs w:val="20"/>
                <w:color w:val="auto"/>
              </w:rPr>
            </w:pPr>
            <w:r>
              <w:rPr>
                <w:rFonts w:ascii="Arial" w:cs="Arial" w:eastAsia="Arial" w:hAnsi="Arial"/>
                <w:sz w:val="18"/>
                <w:szCs w:val="18"/>
                <w:b w:val="1"/>
                <w:bCs w:val="1"/>
                <w:color w:val="auto"/>
              </w:rPr>
              <w:t>Description</w:t>
            </w:r>
          </w:p>
        </w:tc>
      </w:tr>
      <w:tr>
        <w:trPr>
          <w:trHeight w:val="270"/>
        </w:trPr>
        <w:tc>
          <w:tcPr>
            <w:tcW w:w="980" w:type="dxa"/>
            <w:vAlign w:val="bottom"/>
          </w:tcPr>
          <w:p>
            <w:pPr>
              <w:spacing w:after="0"/>
              <w:rPr>
                <w:sz w:val="20"/>
                <w:szCs w:val="20"/>
                <w:color w:val="auto"/>
              </w:rPr>
            </w:pPr>
            <w:r>
              <w:rPr>
                <w:rFonts w:ascii="Arial" w:cs="Arial" w:eastAsia="Arial" w:hAnsi="Arial"/>
                <w:sz w:val="18"/>
                <w:szCs w:val="18"/>
                <w:color w:val="auto"/>
              </w:rPr>
              <w:t>3.1</w:t>
            </w:r>
          </w:p>
        </w:tc>
        <w:tc>
          <w:tcPr>
            <w:tcW w:w="5400" w:type="dxa"/>
            <w:vAlign w:val="bottom"/>
            <w:gridSpan w:val="7"/>
          </w:tcPr>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Amended and Restated Certificate of Incorporation</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3.2</w:t>
            </w:r>
          </w:p>
        </w:tc>
        <w:tc>
          <w:tcPr>
            <w:tcW w:w="5400" w:type="dxa"/>
            <w:vAlign w:val="bottom"/>
            <w:gridSpan w:val="7"/>
          </w:tcPr>
          <w:p>
            <w:pPr>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Amended and Restated Bylaws</w:t>
              </w:r>
            </w:hyperlink>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5280" w:type="dxa"/>
            <w:vAlign w:val="bottom"/>
            <w:tcBorders>
              <w:bottom w:val="single" w:sz="8" w:color="0000EE"/>
            </w:tcBorders>
            <w:gridSpan w:val="6"/>
          </w:tcPr>
          <w:p>
            <w:pPr>
              <w:spacing w:after="0" w:line="176" w:lineRule="exact"/>
              <w:rPr>
                <w:rFonts w:ascii="Arial" w:cs="Arial" w:eastAsia="Arial" w:hAnsi="Arial"/>
                <w:sz w:val="18"/>
                <w:szCs w:val="18"/>
                <w:color w:val="0000EE"/>
                <w:w w:val="99"/>
              </w:rPr>
            </w:pPr>
            <w:hyperlink w:anchor="page89">
              <w:r>
                <w:rPr>
                  <w:rFonts w:ascii="Arial" w:cs="Arial" w:eastAsia="Arial" w:hAnsi="Arial"/>
                  <w:sz w:val="18"/>
                  <w:szCs w:val="18"/>
                  <w:color w:val="0000EE"/>
                  <w:w w:val="99"/>
                </w:rPr>
                <w:t>Certification of Chief Executive Officer and Acting Financial Officer</w:t>
              </w:r>
            </w:hyperlink>
          </w:p>
        </w:tc>
        <w:tc>
          <w:tcPr>
            <w:tcW w:w="1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510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89">
              <w:r>
                <w:rPr>
                  <w:rFonts w:ascii="Arial" w:cs="Arial" w:eastAsia="Arial" w:hAnsi="Arial"/>
                  <w:sz w:val="18"/>
                  <w:szCs w:val="18"/>
                  <w:color w:val="0000EE"/>
                  <w:w w:val="99"/>
                </w:rPr>
                <w:t>Pursuant to Rules 13a-14(a) and 15d-14(a) under the Securities</w:t>
              </w:r>
            </w:hyperlink>
          </w:p>
        </w:tc>
        <w:tc>
          <w:tcPr>
            <w:tcW w:w="300" w:type="dxa"/>
            <w:vAlign w:val="bottom"/>
            <w:gridSpan w:val="4"/>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5400" w:type="dxa"/>
            <w:vAlign w:val="bottom"/>
            <w:gridSpan w:val="7"/>
          </w:tcPr>
          <w:p>
            <w:pPr>
              <w:spacing w:after="0" w:line="182" w:lineRule="exact"/>
              <w:rPr>
                <w:rFonts w:ascii="Arial" w:cs="Arial" w:eastAsia="Arial" w:hAnsi="Arial"/>
                <w:sz w:val="18"/>
                <w:szCs w:val="18"/>
                <w:color w:val="0000EE"/>
              </w:rPr>
            </w:pPr>
            <w:hyperlink w:anchor="page89">
              <w:r>
                <w:rPr>
                  <w:rFonts w:ascii="Arial" w:cs="Arial" w:eastAsia="Arial" w:hAnsi="Arial"/>
                  <w:sz w:val="18"/>
                  <w:szCs w:val="18"/>
                  <w:color w:val="0000EE"/>
                </w:rPr>
                <w:t>Exchange Act of 1934, as Adopted Pursuant to Section 302 of the</w:t>
              </w:r>
            </w:hyperlink>
          </w:p>
        </w:tc>
      </w:tr>
      <w:tr>
        <w:trPr>
          <w:trHeight w:val="183"/>
        </w:trPr>
        <w:tc>
          <w:tcPr>
            <w:tcW w:w="980" w:type="dxa"/>
            <w:vAlign w:val="bottom"/>
          </w:tcPr>
          <w:p>
            <w:pPr>
              <w:spacing w:after="0"/>
              <w:rPr>
                <w:sz w:val="15"/>
                <w:szCs w:val="15"/>
                <w:color w:val="auto"/>
              </w:rPr>
            </w:pPr>
          </w:p>
        </w:tc>
        <w:tc>
          <w:tcPr>
            <w:tcW w:w="52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89">
              <w:r>
                <w:rPr>
                  <w:rFonts w:ascii="Arial" w:cs="Arial" w:eastAsia="Arial" w:hAnsi="Arial"/>
                  <w:sz w:val="18"/>
                  <w:szCs w:val="18"/>
                  <w:color w:val="0000EE"/>
                </w:rPr>
                <w:t>Sarbanes-Oxley Act of 2002.</w:t>
              </w:r>
            </w:hyperlink>
          </w:p>
        </w:tc>
        <w:tc>
          <w:tcPr>
            <w:tcW w:w="160" w:type="dxa"/>
            <w:vAlign w:val="bottom"/>
            <w:gridSpan w:val="2"/>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5400" w:type="dxa"/>
            <w:vAlign w:val="bottom"/>
            <w:gridSpan w:val="7"/>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Certification of Chief Executive Officer and Acting Chief Financial</w:t>
              </w:r>
            </w:hyperlink>
          </w:p>
        </w:tc>
      </w:tr>
      <w:tr>
        <w:trPr>
          <w:trHeight w:val="20"/>
        </w:trPr>
        <w:tc>
          <w:tcPr>
            <w:tcW w:w="98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540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90">
              <w:r>
                <w:rPr>
                  <w:rFonts w:ascii="Arial" w:cs="Arial" w:eastAsia="Arial" w:hAnsi="Arial"/>
                  <w:sz w:val="18"/>
                  <w:szCs w:val="18"/>
                  <w:color w:val="0000EE"/>
                  <w:w w:val="99"/>
                </w:rPr>
                <w:t>Officer Pursuant to 18 U.S.C. Section 1350, as Adopted Pursuant to</w:t>
              </w:r>
            </w:hyperlink>
          </w:p>
        </w:tc>
      </w:tr>
      <w:tr>
        <w:trPr>
          <w:trHeight w:val="183"/>
        </w:trPr>
        <w:tc>
          <w:tcPr>
            <w:tcW w:w="980" w:type="dxa"/>
            <w:vAlign w:val="bottom"/>
          </w:tcPr>
          <w:p>
            <w:pPr>
              <w:spacing w:after="0"/>
              <w:rPr>
                <w:sz w:val="15"/>
                <w:szCs w:val="15"/>
                <w:color w:val="auto"/>
              </w:rPr>
            </w:pPr>
          </w:p>
        </w:tc>
        <w:tc>
          <w:tcPr>
            <w:tcW w:w="5400" w:type="dxa"/>
            <w:vAlign w:val="bottom"/>
            <w:gridSpan w:val="7"/>
          </w:tcPr>
          <w:p>
            <w:pPr>
              <w:spacing w:after="0" w:line="182" w:lineRule="exact"/>
              <w:rPr>
                <w:rFonts w:ascii="Arial" w:cs="Arial" w:eastAsia="Arial" w:hAnsi="Arial"/>
                <w:sz w:val="18"/>
                <w:szCs w:val="18"/>
                <w:color w:val="0000EE"/>
              </w:rPr>
            </w:pPr>
            <w:hyperlink w:anchor="page90">
              <w:r>
                <w:rPr>
                  <w:rFonts w:ascii="Arial" w:cs="Arial" w:eastAsia="Arial" w:hAnsi="Arial"/>
                  <w:sz w:val="18"/>
                  <w:szCs w:val="18"/>
                  <w:color w:val="0000EE"/>
                </w:rPr>
                <w:t>Section 906 of the Sarbanes-Oxley Act of 2002.</w:t>
              </w:r>
            </w:hyperlink>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38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1600" w:type="dxa"/>
            <w:vAlign w:val="bottom"/>
            <w:gridSpan w:val="5"/>
          </w:tcPr>
          <w:p>
            <w:pPr>
              <w:spacing w:after="0"/>
              <w:rPr>
                <w:sz w:val="20"/>
                <w:szCs w:val="20"/>
                <w:color w:val="auto"/>
              </w:rPr>
            </w:pPr>
          </w:p>
        </w:tc>
      </w:tr>
      <w:tr>
        <w:trPr>
          <w:trHeight w:val="243"/>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54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54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54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54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54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054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Borders>
              <w:top w:val="single" w:sz="8" w:color="auto"/>
            </w:tcBorders>
          </w:tcPr>
          <w:p>
            <w:pPr>
              <w:jc w:val="center"/>
              <w:ind w:right="10"/>
              <w:spacing w:after="0" w:line="173" w:lineRule="exact"/>
              <w:rPr>
                <w:sz w:val="20"/>
                <w:szCs w:val="20"/>
                <w:color w:val="auto"/>
              </w:rPr>
            </w:pPr>
            <w:r>
              <w:rPr>
                <w:rFonts w:ascii="Arial" w:cs="Arial" w:eastAsia="Arial" w:hAnsi="Arial"/>
                <w:sz w:val="18"/>
                <w:szCs w:val="18"/>
                <w:b w:val="1"/>
                <w:bCs w:val="1"/>
                <w:color w:val="auto"/>
                <w:w w:val="99"/>
              </w:rPr>
              <w:t>Schedule</w:t>
            </w:r>
          </w:p>
        </w:tc>
        <w:tc>
          <w:tcPr>
            <w:tcW w:w="15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Filing</w:t>
            </w:r>
          </w:p>
        </w:tc>
      </w:tr>
      <w:tr>
        <w:trPr>
          <w:trHeight w:val="239"/>
        </w:trPr>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Form</w:t>
            </w:r>
          </w:p>
        </w:tc>
        <w:tc>
          <w:tcPr>
            <w:tcW w:w="15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File Number</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210"/>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001-38853</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4/8/19</w:t>
            </w:r>
          </w:p>
        </w:tc>
      </w:tr>
      <w:tr>
        <w:trPr>
          <w:trHeight w:val="256"/>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99"/>
              </w:rPr>
              <w:t>S-1</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9/28/18</w:t>
            </w:r>
          </w:p>
        </w:tc>
      </w:tr>
    </w:tbl>
    <w:p>
      <w:pPr>
        <w:spacing w:after="0" w:line="3183" w:lineRule="exact"/>
        <w:rPr>
          <w:sz w:val="20"/>
          <w:szCs w:val="20"/>
          <w:color w:val="auto"/>
        </w:rPr>
      </w:pPr>
    </w:p>
    <w:p>
      <w:pPr>
        <w:sectPr>
          <w:pgSz w:w="11900" w:h="16838" w:orient="portrait"/>
          <w:cols w:equalWidth="0" w:num="2">
            <w:col w:w="6380" w:space="100"/>
            <w:col w:w="4760"/>
          </w:cols>
          <w:pgMar w:left="320" w:top="333" w:right="339" w:bottom="1440" w:gutter="0" w:footer="0" w:header="0"/>
        </w:sectPr>
      </w:pPr>
    </w:p>
    <w:p>
      <w:pPr>
        <w:spacing w:after="0" w:line="137"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540" w:right="6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7" w:name="page88"/>
    <w:bookmarkEnd w:id="87"/>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546"/>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NGM Biopharmaceuticals, Inc.</w:t>
      </w:r>
    </w:p>
    <w:p>
      <w:pPr>
        <w:spacing w:after="0" w:line="301"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May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J. Woodhouse, Ph.D.</w:t>
      </w:r>
    </w:p>
    <w:p>
      <w:pPr>
        <w:spacing w:after="0" w:line="18"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Executive Officer and Acting Chief Financial Officer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880"/>
          </w:cols>
          <w:pgMar w:left="320" w:top="333" w:right="69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PERIODIC REPORT UNDER SECTION 302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David J. Woodhouse, certify that:</w:t>
      </w:r>
    </w:p>
    <w:p>
      <w:pPr>
        <w:spacing w:after="0" w:line="212" w:lineRule="exact"/>
        <w:rPr>
          <w:sz w:val="20"/>
          <w:szCs w:val="20"/>
          <w:color w:val="auto"/>
        </w:rPr>
      </w:pPr>
    </w:p>
    <w:p>
      <w:pPr>
        <w:ind w:left="800" w:hanging="792"/>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211" w:lineRule="exact"/>
        <w:rPr>
          <w:rFonts w:ascii="Arial" w:cs="Arial" w:eastAsia="Arial" w:hAnsi="Arial"/>
          <w:sz w:val="18"/>
          <w:szCs w:val="18"/>
          <w:color w:val="auto"/>
        </w:rPr>
      </w:pPr>
    </w:p>
    <w:p>
      <w:pPr>
        <w:jc w:val="both"/>
        <w:ind w:left="800" w:hanging="792"/>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jc w:val="both"/>
        <w:ind w:left="800" w:hanging="792"/>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800" w:hanging="792"/>
        <w:spacing w:after="0" w:line="246"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600" w:hanging="796"/>
        <w:spacing w:after="0"/>
        <w:tabs>
          <w:tab w:leader="none" w:pos="1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600" w:hanging="796"/>
        <w:spacing w:after="0"/>
        <w:tabs>
          <w:tab w:leader="none" w:pos="1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jc w:val="both"/>
        <w:ind w:left="1600" w:hanging="796"/>
        <w:spacing w:after="0"/>
        <w:tabs>
          <w:tab w:leader="none" w:pos="1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800" w:hanging="792"/>
        <w:spacing w:after="0" w:line="246"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jc w:val="both"/>
        <w:ind w:left="1600" w:hanging="796"/>
        <w:spacing w:after="0"/>
        <w:tabs>
          <w:tab w:leader="none" w:pos="1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600" w:hanging="769"/>
        <w:spacing w:after="0" w:line="246" w:lineRule="auto"/>
        <w:tabs>
          <w:tab w:leader="none" w:pos="1600" w:val="left"/>
        </w:tabs>
        <w:numPr>
          <w:ilvl w:val="2"/>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2020</w:t>
      </w:r>
    </w:p>
    <w:p>
      <w:pPr>
        <w:spacing w:after="0" w:line="200" w:lineRule="exact"/>
        <w:rPr>
          <w:sz w:val="20"/>
          <w:szCs w:val="20"/>
          <w:color w:val="auto"/>
        </w:rPr>
      </w:pPr>
    </w:p>
    <w:p>
      <w:pPr>
        <w:spacing w:after="0" w:line="255" w:lineRule="exact"/>
        <w:rPr>
          <w:sz w:val="20"/>
          <w:szCs w:val="20"/>
          <w:color w:val="auto"/>
        </w:rPr>
      </w:pPr>
    </w:p>
    <w:p>
      <w:pPr>
        <w:ind w:left="482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-1905</wp:posOffset>
            </wp:positionV>
            <wp:extent cx="37890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David J. Woodhouse, Ph.D.</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 and Acting Chief Financial Officer</w:t>
      </w:r>
    </w:p>
    <w:p>
      <w:pPr>
        <w:ind w:left="5280"/>
        <w:spacing w:after="0"/>
        <w:rPr>
          <w:sz w:val="20"/>
          <w:szCs w:val="20"/>
          <w:color w:val="auto"/>
        </w:rPr>
      </w:pPr>
      <w:r>
        <w:rPr>
          <w:rFonts w:ascii="Arial" w:cs="Arial" w:eastAsia="Arial" w:hAnsi="Arial"/>
          <w:sz w:val="18"/>
          <w:szCs w:val="18"/>
          <w:i w:val="1"/>
          <w:iCs w:val="1"/>
          <w:color w:val="auto"/>
        </w:rPr>
        <w:t>(Principal Executive Officer and Principal Financial Officer)</w:t>
      </w:r>
    </w:p>
    <w:p>
      <w:pPr>
        <w:sectPr>
          <w:pgSz w:w="11900" w:h="16838" w:orient="portrait"/>
          <w:cols w:equalWidth="0" w:num="1">
            <w:col w:w="11240"/>
          </w:cols>
          <w:pgMar w:left="320" w:top="11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David J. Woodhouse, Chief Executive Officer and Acting Chief Financial Officer of NGM Biopharmaceuticals, Inc. (the “Company”) hereby certifies that, to the best of his knowledge:</w:t>
      </w:r>
    </w:p>
    <w:p>
      <w:pPr>
        <w:spacing w:after="0" w:line="203" w:lineRule="exact"/>
        <w:rPr>
          <w:sz w:val="20"/>
          <w:szCs w:val="20"/>
          <w:color w:val="auto"/>
        </w:rPr>
      </w:pPr>
    </w:p>
    <w:p>
      <w:pPr>
        <w:jc w:val="both"/>
        <w:ind w:left="800" w:hanging="792"/>
        <w:spacing w:after="0" w:line="246"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2020, to which this Certification is attached as Exhibit 32.1 (the “Periodic Report”), fully complies with the requirements of Section 13(a) or Section 15(d) of the Exchange Act; and</w:t>
      </w:r>
    </w:p>
    <w:p>
      <w:pPr>
        <w:spacing w:after="0" w:line="196" w:lineRule="exact"/>
        <w:rPr>
          <w:rFonts w:ascii="Arial" w:cs="Arial" w:eastAsia="Arial" w:hAnsi="Arial"/>
          <w:sz w:val="18"/>
          <w:szCs w:val="18"/>
          <w:color w:val="auto"/>
        </w:rPr>
      </w:pPr>
    </w:p>
    <w:p>
      <w:pPr>
        <w:ind w:left="800" w:hanging="792"/>
        <w:spacing w:after="0" w:line="246"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13,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set his hands hereto as of the 13</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2020.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5859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David J. Woodhouse, Ph.D.</w:t>
      </w:r>
    </w:p>
    <w:p>
      <w:pPr>
        <w:spacing w:after="0" w:line="234" w:lineRule="auto"/>
        <w:rPr>
          <w:sz w:val="20"/>
          <w:szCs w:val="20"/>
          <w:color w:val="auto"/>
        </w:rPr>
      </w:pPr>
      <w:r>
        <w:rPr>
          <w:rFonts w:ascii="Arial" w:cs="Arial" w:eastAsia="Arial" w:hAnsi="Arial"/>
          <w:sz w:val="18"/>
          <w:szCs w:val="18"/>
          <w:color w:val="auto"/>
        </w:rPr>
        <w:t>Chief Executive Officer and Acting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 and Principal Financial Officer)</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NGM Biopharmaceuticals,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1" Type="http://schemas.openxmlformats.org/officeDocument/2006/relationships/hyperlink" Target="http://www.sec.gov/Archives/edgar/data/1426332/000119312519100757/d731361dex31.htm" TargetMode="External"/><Relationship Id="rId102" Type="http://schemas.openxmlformats.org/officeDocument/2006/relationships/hyperlink" Target="http://www.sec.gov/Archives/edgar/data/1426332/000119312518287727/d693178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2020-05-13T15:24:04Z</dcterms:created>
  <dcterms:modified xsi:type="dcterms:W3CDTF">2020-05-13T15:24:04Z</dcterms:modified>
</cp:coreProperties>
</file>