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11/21/2022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9"/>
          </w:tcPr>
          <w:p>
            <w:pPr>
              <w:ind w:left="8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tcPr>
          <w:p>
            <w:pPr>
              <w:ind w:left="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jc w:val="center"/>
              <w:ind w:right="1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11/21/2022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7"/>
                <w:szCs w:val="17"/>
                <w:color w:val="0000FF"/>
              </w:rPr>
              <w:t>35,997</w:t>
            </w:r>
          </w:p>
        </w:tc>
        <w:tc>
          <w:tcPr>
            <w:tcW w:w="380" w:type="dxa"/>
            <w:vAlign w:val="bottom"/>
            <w:vMerge w:val="restart"/>
          </w:tcPr>
          <w:p>
            <w:pPr>
              <w:jc w:val="center"/>
              <w:ind w:left="107"/>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4.9988</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375,842</w:t>
            </w:r>
          </w:p>
        </w:tc>
        <w:tc>
          <w:tcPr>
            <w:tcW w:w="340" w:type="dxa"/>
            <w:vAlign w:val="bottom"/>
          </w:tcPr>
          <w:p>
            <w:pPr>
              <w:spacing w:after="0"/>
              <w:rPr>
                <w:sz w:val="22"/>
                <w:szCs w:val="22"/>
                <w:color w:val="auto"/>
              </w:rPr>
            </w:pPr>
          </w:p>
        </w:tc>
        <w:tc>
          <w:tcPr>
            <w:tcW w:w="580" w:type="dxa"/>
            <w:vAlign w:val="bottom"/>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Arial" w:cs="Arial" w:eastAsia="Arial" w:hAnsi="Arial"/>
                <w:sz w:val="17"/>
                <w:szCs w:val="17"/>
                <w:color w:val="0000FF"/>
                <w:w w:val="93"/>
              </w:rPr>
              <w:t>11/22/2022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4,330</w:t>
            </w:r>
          </w:p>
        </w:tc>
        <w:tc>
          <w:tcPr>
            <w:tcW w:w="380" w:type="dxa"/>
            <w:vAlign w:val="bottom"/>
            <w:tcBorders>
              <w:top w:val="single" w:sz="8" w:color="2C2C2C"/>
            </w:tcBorders>
            <w:vMerge w:val="restart"/>
          </w:tcPr>
          <w:p>
            <w:pPr>
              <w:jc w:val="center"/>
              <w:ind w:left="107"/>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4.9991</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380,172</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1"/>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580" w:type="dxa"/>
            <w:vAlign w:val="bottom"/>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acquired in multiple transactions at prices ranging from $4.98 to $5.00,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2660" w:type="dxa"/>
            <w:vAlign w:val="bottom"/>
            <w:gridSpan w:val="3"/>
          </w:tcPr>
          <w:p>
            <w:pPr>
              <w:ind w:left="40"/>
              <w:spacing w:after="0" w:line="144" w:lineRule="exact"/>
              <w:rPr>
                <w:sz w:val="20"/>
                <w:szCs w:val="20"/>
                <w:color w:val="auto"/>
              </w:rPr>
            </w:pPr>
            <w:r>
              <w:rPr>
                <w:rFonts w:ascii="Arial" w:cs="Arial" w:eastAsia="Arial" w:hAnsi="Arial"/>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Opportunity III, LP ("TCG Opportunity III LP"). The Column Group Opportunity III GP, LP ("TCG Opportunity III GP LP") is the general</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0"/>
        <w:spacing w:after="0" w:line="196" w:lineRule="auto"/>
        <w:rPr>
          <w:sz w:val="20"/>
          <w:szCs w:val="20"/>
          <w:color w:val="auto"/>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5185"/>
                    </a:xfrm>
                    <a:prstGeom prst="rect">
                      <a:avLst/>
                    </a:prstGeom>
                    <a:noFill/>
                  </pic:spPr>
                </pic:pic>
              </a:graphicData>
            </a:graphic>
          </wp:anchor>
        </w:drawing>
        <w:t>partner of TCG Opportunity III LP and may be deemed to have voting, investment and dispositive power with respect to these securities. TCG Opportunity III GP, LLC ("TCG Opportunity III GP LLC")</w:t>
      </w:r>
    </w:p>
    <w:p>
      <w:pPr>
        <w:ind w:left="4680"/>
        <w:spacing w:after="0" w:line="180" w:lineRule="auto"/>
        <w:rPr>
          <w:sz w:val="20"/>
          <w:szCs w:val="20"/>
          <w:color w:val="auto"/>
        </w:rPr>
      </w:pPr>
      <w:r>
        <w:rPr>
          <w:rFonts w:ascii="Arial" w:cs="Arial" w:eastAsia="Arial" w:hAnsi="Arial"/>
          <w:sz w:val="5"/>
          <w:szCs w:val="5"/>
          <w:b w:val="1"/>
          <w:bCs w:val="1"/>
          <w:color w:val="auto"/>
        </w:rPr>
        <w:t>and 5)</w:t>
      </w:r>
    </w:p>
    <w:p>
      <w:pPr>
        <w:ind w:left="40" w:right="200"/>
        <w:spacing w:after="0" w:line="242" w:lineRule="auto"/>
        <w:rPr>
          <w:sz w:val="20"/>
          <w:szCs w:val="20"/>
          <w:color w:val="auto"/>
        </w:rPr>
      </w:pPr>
      <w:r>
        <w:rPr>
          <w:rFonts w:ascii="Arial" w:cs="Arial" w:eastAsia="Arial" w:hAnsi="Arial"/>
          <w:sz w:val="13"/>
          <w:szCs w:val="13"/>
          <w:color w:val="008000"/>
        </w:rPr>
        <w:t>is the general partner of TCG Opportunity III GP LP and the ultimate general partner of TCG Opportunity III LP and may be deemed to have voting, investment and dispositive power with respect to these securities. The managing members of TCG Opportunity III GP LLC are the Reporting Person, a member of the issuer's board of directors, Peter Svennilson and Tim Kutzkey (collectively, the "TCG Managing Members").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3. (Continued from Footnote 2) The TCG Managing Members may be deemed to share voting, investment and dispositive power with respect to such securities. TCG Opportunity III GP LP, TCG</w:t>
      </w:r>
    </w:p>
    <w:tbl>
      <w:tblPr>
        <w:tblLayout w:type="fixed"/>
        <w:tblInd w:w="40" w:type="dxa"/>
        <w:tblCellMar>
          <w:top w:w="0" w:type="dxa"/>
          <w:left w:w="0" w:type="dxa"/>
          <w:bottom w:w="0" w:type="dxa"/>
          <w:right w:w="0" w:type="dxa"/>
        </w:tblCellMar>
      </w:tblPr>
      <w:tr>
        <w:trPr>
          <w:trHeight w:val="137"/>
        </w:trPr>
        <w:tc>
          <w:tcPr>
            <w:tcW w:w="10680" w:type="dxa"/>
            <w:vAlign w:val="bottom"/>
            <w:gridSpan w:val="6"/>
          </w:tcPr>
          <w:p>
            <w:pPr>
              <w:spacing w:after="0" w:line="138" w:lineRule="exact"/>
              <w:rPr>
                <w:sz w:val="20"/>
                <w:szCs w:val="20"/>
                <w:color w:val="auto"/>
              </w:rPr>
            </w:pPr>
            <w:r>
              <w:rPr>
                <w:rFonts w:ascii="Arial" w:cs="Arial" w:eastAsia="Arial" w:hAnsi="Arial"/>
                <w:sz w:val="13"/>
                <w:szCs w:val="13"/>
                <w:color w:val="008000"/>
                <w:w w:val="97"/>
              </w:rPr>
              <w:t>Opportunity III GP LLC and each of the TCG Managing Members disclaim beneficial ownership of these securities, except to the extent of their respective pecuniary interest in such securities.</w:t>
            </w: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40" w:type="dxa"/>
            <w:vAlign w:val="bottom"/>
          </w:tcPr>
          <w:p>
            <w:pPr>
              <w:ind w:left="460"/>
              <w:spacing w:after="0" w:line="64"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6"/>
        </w:trPr>
        <w:tc>
          <w:tcPr>
            <w:tcW w:w="120" w:type="dxa"/>
            <w:vAlign w:val="bottom"/>
          </w:tcPr>
          <w:p>
            <w:pPr>
              <w:spacing w:after="0" w:line="136" w:lineRule="exact"/>
              <w:rPr>
                <w:sz w:val="20"/>
                <w:szCs w:val="20"/>
                <w:color w:val="auto"/>
              </w:rPr>
            </w:pPr>
            <w:r>
              <w:rPr>
                <w:rFonts w:ascii="Arial" w:cs="Arial" w:eastAsia="Arial" w:hAnsi="Arial"/>
                <w:sz w:val="13"/>
                <w:szCs w:val="13"/>
                <w:color w:val="008000"/>
                <w:w w:val="91"/>
              </w:rPr>
              <w:t>4.</w:t>
            </w:r>
          </w:p>
        </w:tc>
        <w:tc>
          <w:tcPr>
            <w:tcW w:w="10560" w:type="dxa"/>
            <w:vAlign w:val="bottom"/>
            <w:gridSpan w:val="5"/>
          </w:tcPr>
          <w:p>
            <w:pPr>
              <w:ind w:left="20"/>
              <w:spacing w:after="0" w:line="136" w:lineRule="exact"/>
              <w:rPr>
                <w:sz w:val="20"/>
                <w:szCs w:val="20"/>
                <w:color w:val="auto"/>
              </w:rPr>
            </w:pPr>
            <w:r>
              <w:rPr>
                <w:rFonts w:ascii="Arial" w:cs="Arial" w:eastAsia="Arial" w:hAnsi="Arial"/>
                <w:sz w:val="13"/>
                <w:szCs w:val="13"/>
                <w:color w:val="008000"/>
                <w:w w:val="91"/>
              </w:rPr>
              <w:t>The price reported in Column 4 is a weighted average price. These shares were acquired in multiple transactions at prices ranging from</w:t>
            </w:r>
            <w:r>
              <w:rPr>
                <w:rFonts w:ascii="Arial" w:cs="Arial" w:eastAsia="Arial" w:hAnsi="Arial"/>
                <w:sz w:val="11"/>
                <w:szCs w:val="11"/>
                <w:b w:val="1"/>
                <w:bCs w:val="1"/>
                <w:color w:val="000000"/>
                <w:w w:val="91"/>
              </w:rPr>
              <w:t>or</w:t>
            </w:r>
            <w:r>
              <w:rPr>
                <w:rFonts w:ascii="Arial" w:cs="Arial" w:eastAsia="Arial" w:hAnsi="Arial"/>
                <w:sz w:val="13"/>
                <w:szCs w:val="13"/>
                <w:color w:val="008000"/>
                <w:w w:val="91"/>
              </w:rPr>
              <w:t>$4.98 to $5.00, inclusive. The Reporting Persons undertake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4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680" w:type="dxa"/>
            <w:vAlign w:val="bottom"/>
            <w:gridSpan w:val="6"/>
          </w:tcPr>
          <w:p>
            <w:pPr>
              <w:spacing w:after="0" w:line="27" w:lineRule="exact"/>
              <w:rPr>
                <w:sz w:val="20"/>
                <w:szCs w:val="20"/>
                <w:color w:val="auto"/>
              </w:rPr>
            </w:pPr>
            <w:r>
              <w:rPr>
                <w:rFonts w:ascii="Arial" w:cs="Arial" w:eastAsia="Arial" w:hAnsi="Arial"/>
                <w:sz w:val="3"/>
                <w:szCs w:val="3"/>
                <w:color w:val="008000"/>
              </w:rPr>
              <w:t>provide to the Issuer or the staff of the Securities and Exchange Commission, upon request, full information regarding the number of shares acquired at each separate price within the ranges set forth in</w:t>
            </w: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line="147" w:lineRule="exact"/>
              <w:rPr>
                <w:sz w:val="20"/>
                <w:szCs w:val="20"/>
                <w:color w:val="auto"/>
              </w:rPr>
            </w:pPr>
            <w:r>
              <w:rPr>
                <w:rFonts w:ascii="Arial" w:cs="Arial" w:eastAsia="Arial" w:hAnsi="Arial"/>
                <w:sz w:val="13"/>
                <w:szCs w:val="13"/>
                <w:color w:val="008000"/>
              </w:rPr>
              <w:t>this footnote 4 to this Form 4.</w:t>
            </w:r>
          </w:p>
        </w:tc>
        <w:tc>
          <w:tcPr>
            <w:tcW w:w="178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384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20"/>
                <w:szCs w:val="20"/>
                <w:color w:val="auto"/>
              </w:rPr>
            </w:pPr>
            <w:r>
              <w:rPr>
                <w:rFonts w:ascii="Arial" w:cs="Arial" w:eastAsia="Arial" w:hAnsi="Arial"/>
                <w:sz w:val="13"/>
                <w:szCs w:val="13"/>
                <w:color w:val="008000"/>
                <w:w w:val="91"/>
              </w:rPr>
              <w:t>5.</w:t>
            </w:r>
          </w:p>
        </w:tc>
        <w:tc>
          <w:tcPr>
            <w:tcW w:w="2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384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Title  Shares</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560" w:type="dxa"/>
            <w:vAlign w:val="bottom"/>
            <w:gridSpan w:val="5"/>
          </w:tcPr>
          <w:p>
            <w:pPr>
              <w:ind w:left="20"/>
              <w:spacing w:after="0"/>
              <w:rPr>
                <w:sz w:val="20"/>
                <w:szCs w:val="20"/>
                <w:color w:val="auto"/>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right="300"/>
        <w:spacing w:after="0" w:line="243" w:lineRule="auto"/>
        <w:rPr>
          <w:sz w:val="20"/>
          <w:szCs w:val="20"/>
          <w:color w:val="auto"/>
        </w:rPr>
      </w:pPr>
      <w:r>
        <w:rPr>
          <w:rFonts w:ascii="Arial" w:cs="Arial" w:eastAsia="Arial" w:hAnsi="Arial"/>
          <w:sz w:val="13"/>
          <w:szCs w:val="13"/>
          <w:color w:val="008000"/>
        </w:rPr>
        <w:t>6. 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260"/>
        <w:spacing w:after="0" w:line="243" w:lineRule="auto"/>
        <w:rPr>
          <w:sz w:val="20"/>
          <w:szCs w:val="20"/>
          <w:color w:val="auto"/>
        </w:rPr>
      </w:pPr>
      <w:r>
        <w:rPr>
          <w:rFonts w:ascii="Arial" w:cs="Arial" w:eastAsia="Arial" w:hAnsi="Arial"/>
          <w:sz w:val="13"/>
          <w:szCs w:val="13"/>
          <w:color w:val="008000"/>
        </w:rPr>
        <w:t>7. 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jc w:val="both"/>
        <w:ind w:left="40" w:right="360"/>
        <w:spacing w:after="0" w:line="245" w:lineRule="auto"/>
        <w:rPr>
          <w:sz w:val="20"/>
          <w:szCs w:val="20"/>
          <w:color w:val="auto"/>
        </w:rPr>
      </w:pPr>
      <w:r>
        <w:rPr>
          <w:rFonts w:ascii="Arial" w:cs="Arial" w:eastAsia="Arial" w:hAnsi="Arial"/>
          <w:sz w:val="13"/>
          <w:szCs w:val="13"/>
          <w:color w:val="008000"/>
        </w:rPr>
        <w:t>8. 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260"/>
        <w:spacing w:after="0" w:line="245" w:lineRule="auto"/>
        <w:rPr>
          <w:sz w:val="20"/>
          <w:szCs w:val="20"/>
          <w:color w:val="auto"/>
        </w:rPr>
      </w:pPr>
      <w:r>
        <w:rPr>
          <w:rFonts w:ascii="Arial" w:cs="Arial" w:eastAsia="Arial" w:hAnsi="Arial"/>
          <w:sz w:val="13"/>
          <w:szCs w:val="13"/>
          <w:color w:val="008000"/>
        </w:rPr>
        <w:t>9. 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jc w:val="both"/>
        <w:ind w:left="40" w:right="240"/>
        <w:spacing w:after="0" w:line="245" w:lineRule="auto"/>
        <w:rPr>
          <w:sz w:val="20"/>
          <w:szCs w:val="20"/>
          <w:color w:val="auto"/>
        </w:rPr>
      </w:pPr>
      <w:r>
        <w:rPr>
          <w:rFonts w:ascii="Arial" w:cs="Arial" w:eastAsia="Arial" w:hAnsi="Arial"/>
          <w:sz w:val="13"/>
          <w:szCs w:val="13"/>
          <w:color w:val="008000"/>
        </w:rPr>
        <w:t>10. 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jc w:val="both"/>
        <w:ind w:left="40" w:right="220"/>
        <w:spacing w:after="0" w:line="281" w:lineRule="auto"/>
        <w:rPr>
          <w:sz w:val="20"/>
          <w:szCs w:val="20"/>
          <w:color w:val="auto"/>
        </w:rPr>
      </w:pPr>
      <w:r>
        <w:rPr>
          <w:rFonts w:ascii="Arial" w:cs="Arial" w:eastAsia="Arial" w:hAnsi="Arial"/>
          <w:sz w:val="12"/>
          <w:szCs w:val="12"/>
          <w:color w:val="008000"/>
        </w:rPr>
        <w:t>11. The securities are directly held by The Column Group II, LP ("TCG II LP"). TCG II GP is the general partner of TCG II LP and may be deemed to have voting, investment and dispositive power with respect to these securities. The managing partners of TCG II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12. 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300"/>
        <w:spacing w:after="0" w:line="245" w:lineRule="auto"/>
        <w:rPr>
          <w:sz w:val="20"/>
          <w:szCs w:val="20"/>
          <w:color w:val="auto"/>
        </w:rPr>
      </w:pPr>
      <w:r>
        <w:rPr>
          <w:rFonts w:ascii="Arial" w:cs="Arial" w:eastAsia="Arial" w:hAnsi="Arial"/>
          <w:sz w:val="13"/>
          <w:szCs w:val="13"/>
          <w:color w:val="008000"/>
        </w:rPr>
        <w:t>13. 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320"/>
        <w:spacing w:after="0" w:line="250" w:lineRule="auto"/>
        <w:rPr>
          <w:sz w:val="20"/>
          <w:szCs w:val="20"/>
          <w:color w:val="auto"/>
        </w:rPr>
      </w:pPr>
      <w:r>
        <w:rPr>
          <w:rFonts w:ascii="Arial" w:cs="Arial" w:eastAsia="Arial" w:hAnsi="Arial"/>
          <w:sz w:val="13"/>
          <w:szCs w:val="13"/>
          <w:color w:val="008000"/>
        </w:rPr>
        <w:t>14. 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6" w:lineRule="exact"/>
        <w:rPr>
          <w:sz w:val="20"/>
          <w:szCs w:val="20"/>
          <w:color w:val="auto"/>
        </w:rPr>
      </w:pPr>
    </w:p>
    <w:p>
      <w:pPr>
        <w:ind w:left="40" w:right="260"/>
        <w:spacing w:after="0" w:line="250" w:lineRule="auto"/>
        <w:rPr>
          <w:sz w:val="20"/>
          <w:szCs w:val="20"/>
          <w:color w:val="auto"/>
        </w:rPr>
      </w:pPr>
      <w:r>
        <w:rPr>
          <w:rFonts w:ascii="Arial" w:cs="Arial" w:eastAsia="Arial" w:hAnsi="Arial"/>
          <w:sz w:val="13"/>
          <w:szCs w:val="13"/>
          <w:color w:val="008000"/>
        </w:rPr>
        <w:t>15. 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2022-11-23T15:32:17Z</dcterms:created>
  <dcterms:modified xsi:type="dcterms:W3CDTF">2022-11-23T15:32:17Z</dcterms:modified>
</cp:coreProperties>
</file>