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single" w:sz="2" w:space="1" w:color="000000"/>
        </w:pBdr>
        <w:bidi w:val="0"/>
        <w:spacing w:lineRule="atLeast" w:line="142" w:before="0" w:after="0"/>
        <w:jc w:val="left"/>
        <w:rPr/>
      </w:pPr>
      <w:bookmarkStart w:id="0" w:name="d736294d8k.htm"/>
      <w:bookmarkStart w:id="1" w:name="ksd736294d8k"/>
      <w:bookmarkEnd w:id="0"/>
      <w:bookmarkEnd w:id="1"/>
      <w:r>
        <w:rPr/>
        <w:t> </w:t>
      </w:r>
    </w:p>
    <w:p>
      <w:pPr>
        <w:pStyle w:val="TextBody"/>
        <w:pBdr>
          <w:bottom w:val="single" w:sz="2" w:space="1" w:color="000000"/>
        </w:pBdr>
        <w:bidi w:val="0"/>
        <w:spacing w:lineRule="atLeast" w:line="142" w:before="0" w:after="40"/>
        <w:jc w:val="left"/>
        <w:rPr/>
      </w:pPr>
      <w:r>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January 18, 2024</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NGM Biopharmaceuticals,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tbl>
      <w:tblPr>
        <w:tblW w:w="4935" w:type="dxa"/>
        <w:jc w:val="left"/>
        <w:tblInd w:w="0" w:type="dxa"/>
        <w:tblLayout w:type="fixed"/>
        <w:tblCellMar>
          <w:top w:w="0" w:type="dxa"/>
          <w:left w:w="0" w:type="dxa"/>
          <w:bottom w:w="0" w:type="dxa"/>
          <w:right w:w="0" w:type="dxa"/>
        </w:tblCellMar>
      </w:tblPr>
      <w:tblGrid>
        <w:gridCol w:w="2060"/>
        <w:gridCol w:w="60"/>
        <w:gridCol w:w="1385"/>
        <w:gridCol w:w="60"/>
        <w:gridCol w:w="1370"/>
      </w:tblGrid>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b/>
              </w:rPr>
            </w:pPr>
            <w:r>
              <w:rPr>
                <w:b/>
              </w:rPr>
              <w:t>001-38853</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26-1679911</w:t>
            </w:r>
          </w:p>
        </w:tc>
      </w:tr>
      <w:tr>
        <w:trPr/>
        <w:tc>
          <w:tcPr>
            <w:tcW w:w="20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b/>
              </w:rPr>
            </w:pPr>
            <w:r>
              <w:rPr>
                <w:b/>
              </w:rPr>
              <w:t>(Commission</w:t>
              <w:b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275" w:type="dxa"/>
        <w:jc w:val="left"/>
        <w:tblInd w:w="0" w:type="dxa"/>
        <w:tblLayout w:type="fixed"/>
        <w:tblCellMar>
          <w:top w:w="0" w:type="dxa"/>
          <w:left w:w="0" w:type="dxa"/>
          <w:bottom w:w="0" w:type="dxa"/>
          <w:right w:w="0" w:type="dxa"/>
        </w:tblCellMar>
      </w:tblPr>
      <w:tblGrid>
        <w:gridCol w:w="4070"/>
        <w:gridCol w:w="60"/>
        <w:gridCol w:w="1145"/>
      </w:tblGrid>
      <w:tr>
        <w:trPr/>
        <w:tc>
          <w:tcPr>
            <w:tcW w:w="4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333 Oyster Point Boulevard</w:t>
            </w:r>
          </w:p>
          <w:p>
            <w:pPr>
              <w:pStyle w:val="TableContents"/>
              <w:bidi w:val="0"/>
              <w:spacing w:before="0" w:after="20"/>
              <w:jc w:val="center"/>
              <w:rPr>
                <w:rFonts w:ascii="Times New Roman" w:hAnsi="Times New Roman"/>
                <w:b/>
                <w:sz w:val="20"/>
              </w:rPr>
            </w:pPr>
            <w:r>
              <w:rPr>
                <w:rFonts w:ascii="Times New Roman" w:hAnsi="Times New Roman"/>
                <w:b/>
                <w:sz w:val="20"/>
              </w:rPr>
              <w:t>South San Francisco, CA</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94080</w:t>
            </w:r>
          </w:p>
        </w:tc>
      </w:tr>
      <w:tr>
        <w:trPr/>
        <w:tc>
          <w:tcPr>
            <w:tcW w:w="407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(650) 243-5555</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24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(see General Instructions A.2. below):</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8055" w:type="dxa"/>
        <w:jc w:val="left"/>
        <w:tblInd w:w="0" w:type="dxa"/>
        <w:tblLayout w:type="fixed"/>
        <w:tblCellMar>
          <w:top w:w="0" w:type="dxa"/>
          <w:left w:w="0" w:type="dxa"/>
          <w:bottom w:w="0" w:type="dxa"/>
          <w:right w:w="0" w:type="dxa"/>
        </w:tblCellMar>
      </w:tblPr>
      <w:tblGrid>
        <w:gridCol w:w="4145"/>
        <w:gridCol w:w="60"/>
        <w:gridCol w:w="740"/>
        <w:gridCol w:w="60"/>
        <w:gridCol w:w="3050"/>
      </w:tblGrid>
      <w:tr>
        <w:trPr/>
        <w:tc>
          <w:tcPr>
            <w:tcW w:w="41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r>
      <w:tr>
        <w:trPr/>
        <w:tc>
          <w:tcPr>
            <w:tcW w:w="414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305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4145" w:type="dxa"/>
            <w:tcBorders/>
            <w:vAlign w:val="center"/>
          </w:tcPr>
          <w:p>
            <w:pPr>
              <w:pStyle w:val="TableContents"/>
              <w:bidi w:val="0"/>
              <w:spacing w:before="0" w:after="283"/>
              <w:jc w:val="center"/>
              <w:rPr/>
            </w:pPr>
            <w:r>
              <w:rPr/>
              <w:t>Common Stock, par value $0.001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NGM</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The Nasdaq Stock Market LLC</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40" w:after="0"/>
        <w:jc w:val="lef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bidi w:val="0"/>
        <w:jc w:val="left"/>
        <w:rPr/>
      </w:pPr>
      <w:r>
        <w:rPr/>
      </w:r>
    </w:p>
    <w:tbl>
      <w:tblPr>
        <w:tblW w:w="2215" w:type="dxa"/>
        <w:jc w:val="left"/>
        <w:tblInd w:w="0" w:type="dxa"/>
        <w:tblLayout w:type="fixed"/>
        <w:tblCellMar>
          <w:top w:w="0" w:type="dxa"/>
          <w:left w:w="0" w:type="dxa"/>
          <w:bottom w:w="0" w:type="dxa"/>
          <w:right w:w="0" w:type="dxa"/>
        </w:tblCellMar>
      </w:tblPr>
      <w:tblGrid>
        <w:gridCol w:w="980"/>
        <w:gridCol w:w="1235"/>
      </w:tblGrid>
      <w:tr>
        <w:trPr/>
        <w:tc>
          <w:tcPr>
            <w:tcW w:w="980" w:type="dxa"/>
            <w:tcBorders/>
            <w:vAlign w:val="center"/>
          </w:tcPr>
          <w:p>
            <w:pPr>
              <w:pStyle w:val="TableContents"/>
              <w:bidi w:val="0"/>
              <w:spacing w:before="0" w:after="283"/>
              <w:jc w:val="left"/>
              <w:rPr>
                <w:b/>
              </w:rPr>
            </w:pPr>
            <w:r>
              <w:rPr>
                <w:b/>
              </w:rPr>
              <w:t>Item 8.01</w:t>
            </w:r>
          </w:p>
        </w:tc>
        <w:tc>
          <w:tcPr>
            <w:tcW w:w="12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Other Events.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January 18, 2024, NGM Biopharmaceuticals, Inc. (the “Company”) received written notice (the “Compliance Notice”) from The Nasdaq Stock Market LLC (“Nasdaq”) informing the Company that it has regained compliance with Nasdaq Listing Rule 5450(a)(1), which requires that companies listed on the Nasdaq Global Select Market maintain a minimum bid price of $1.00 per share. Nasdaq notified the Company in the Compliance Notice that, from January 2, 2024 to January 17, 2024, the closing bid price of the Company’s common stock had been $1.00 per share or greater and, accordingly, the Company had regained compliance with Nasdaq Listing Rule 5450(a)(1) and that the matter was now closed.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as amended, the Registrant has duly caused this report to be signed on its behalf by the undersigned hereunto duly authorized. </w:t>
      </w:r>
    </w:p>
    <w:p>
      <w:pPr>
        <w:pStyle w:val="TextBody"/>
        <w:bidi w:val="0"/>
        <w:spacing w:before="0" w:after="0"/>
        <w:jc w:val="left"/>
        <w:rPr/>
      </w:pPr>
      <w:r>
        <w:rPr/>
        <w:t> </w:t>
      </w:r>
    </w:p>
    <w:tbl>
      <w:tblPr>
        <w:tblW w:w="6458" w:type="dxa"/>
        <w:jc w:val="left"/>
        <w:tblInd w:w="0" w:type="dxa"/>
        <w:tblLayout w:type="fixed"/>
        <w:tblCellMar>
          <w:top w:w="0" w:type="dxa"/>
          <w:left w:w="0" w:type="dxa"/>
          <w:bottom w:w="0" w:type="dxa"/>
          <w:right w:w="0" w:type="dxa"/>
        </w:tblCellMar>
      </w:tblPr>
      <w:tblGrid>
        <w:gridCol w:w="2360"/>
        <w:gridCol w:w="60"/>
        <w:gridCol w:w="23"/>
        <w:gridCol w:w="60"/>
        <w:gridCol w:w="365"/>
        <w:gridCol w:w="60"/>
        <w:gridCol w:w="3530"/>
      </w:tblGrid>
      <w:tr>
        <w:trPr/>
        <w:tc>
          <w:tcPr>
            <w:tcW w:w="23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30" w:type="dxa"/>
            <w:tcBorders/>
            <w:vAlign w:val="center"/>
          </w:tcPr>
          <w:p>
            <w:pPr>
              <w:pStyle w:val="TableContents"/>
              <w:bidi w:val="0"/>
              <w:spacing w:before="0" w:after="283"/>
              <w:jc w:val="left"/>
              <w:rPr>
                <w:sz w:val="4"/>
                <w:szCs w:val="4"/>
              </w:rPr>
            </w:pPr>
            <w:r>
              <w:rPr>
                <w:sz w:val="4"/>
                <w:szCs w:val="4"/>
              </w:rPr>
            </w:r>
          </w:p>
        </w:tc>
      </w:tr>
      <w:tr>
        <w:trPr/>
        <w:tc>
          <w:tcPr>
            <w:tcW w:w="23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955" w:type="dxa"/>
            <w:gridSpan w:val="3"/>
            <w:tcBorders/>
            <w:vAlign w:val="center"/>
          </w:tcPr>
          <w:p>
            <w:pPr>
              <w:pStyle w:val="TableContents"/>
              <w:bidi w:val="0"/>
              <w:spacing w:before="0" w:after="283"/>
              <w:jc w:val="left"/>
              <w:rPr>
                <w:b/>
              </w:rPr>
            </w:pPr>
            <w:r>
              <w:rPr>
                <w:b/>
              </w:rPr>
              <w:t>NGM Biopharmaceuticals, Inc.</w:t>
            </w:r>
          </w:p>
        </w:tc>
      </w:tr>
      <w:tr>
        <w:trPr/>
        <w:tc>
          <w:tcPr>
            <w:tcW w:w="236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3590" w:type="dxa"/>
            <w:gridSpan w:val="2"/>
            <w:tcBorders/>
            <w:vAlign w:val="center"/>
          </w:tcPr>
          <w:p>
            <w:pPr>
              <w:pStyle w:val="TableContents"/>
              <w:bidi w:val="0"/>
              <w:spacing w:before="0" w:after="283"/>
              <w:jc w:val="left"/>
              <w:rPr>
                <w:sz w:val="4"/>
                <w:szCs w:val="4"/>
              </w:rPr>
            </w:pPr>
            <w:r>
              <w:rPr>
                <w:sz w:val="4"/>
                <w:szCs w:val="4"/>
              </w:rPr>
            </w:r>
          </w:p>
        </w:tc>
      </w:tr>
      <w:tr>
        <w:trPr/>
        <w:tc>
          <w:tcPr>
            <w:tcW w:w="2360" w:type="dxa"/>
            <w:tcBorders/>
            <w:vAlign w:val="center"/>
          </w:tcPr>
          <w:p>
            <w:pPr>
              <w:pStyle w:val="TableContents"/>
              <w:bidi w:val="0"/>
              <w:spacing w:before="0" w:after="283"/>
              <w:jc w:val="left"/>
              <w:rPr/>
            </w:pPr>
            <w:r>
              <w:rPr/>
              <w:t>Dated: January 22, 2024</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353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David J. Woodhouse</w:t>
            </w:r>
          </w:p>
        </w:tc>
      </w:tr>
      <w:tr>
        <w:trPr/>
        <w:tc>
          <w:tcPr>
            <w:tcW w:w="23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530" w:type="dxa"/>
            <w:tcBorders/>
            <w:vAlign w:val="center"/>
          </w:tcPr>
          <w:p>
            <w:pPr>
              <w:pStyle w:val="TableContents"/>
              <w:bidi w:val="0"/>
              <w:spacing w:before="0" w:after="283"/>
              <w:jc w:val="left"/>
              <w:rPr/>
            </w:pPr>
            <w:r>
              <w:rPr/>
              <w:t>David J. Woodhouse, Ph.D.</w:t>
            </w:r>
          </w:p>
        </w:tc>
      </w:tr>
      <w:tr>
        <w:trPr/>
        <w:tc>
          <w:tcPr>
            <w:tcW w:w="23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530" w:type="dxa"/>
            <w:tcBorders/>
            <w:vAlign w:val="center"/>
          </w:tcPr>
          <w:p>
            <w:pPr>
              <w:pStyle w:val="TableContents"/>
              <w:bidi w:val="0"/>
              <w:spacing w:before="0" w:after="283"/>
              <w:jc w:val="left"/>
              <w:rPr>
                <w:i/>
              </w:rPr>
            </w:pPr>
            <w:r>
              <w:rPr>
                <w:i/>
              </w:rPr>
              <w:t>Chief Executive Officer and Director</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475</Words>
  <Characters>2622</Characters>
  <CharactersWithSpaces>3089</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