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286385</wp:posOffset>
            </wp:positionH>
            <wp:positionV relativeFrom="page">
              <wp:posOffset>166370</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page">
              <wp:posOffset>286385</wp:posOffset>
            </wp:positionH>
            <wp:positionV relativeFrom="page">
              <wp:posOffset>208915</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t>UNITED STATES</w:t>
      </w:r>
    </w:p>
    <w:p>
      <w:pPr>
        <w:spacing w:after="0" w:line="31"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227330</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247015</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76" w:lineRule="exact"/>
        <w:rPr>
          <w:sz w:val="24"/>
          <w:szCs w:val="24"/>
          <w:color w:val="auto"/>
        </w:rPr>
      </w:pPr>
    </w:p>
    <w:p>
      <w:pPr>
        <w:jc w:val="center"/>
        <w:ind w:right="20"/>
        <w:spacing w:after="0"/>
        <w:rPr>
          <w:sz w:val="20"/>
          <w:szCs w:val="20"/>
          <w:color w:val="auto"/>
        </w:rPr>
      </w:pPr>
      <w:r>
        <w:rPr>
          <w:rFonts w:ascii="Arial" w:cs="Arial" w:eastAsia="Arial" w:hAnsi="Arial"/>
          <w:sz w:val="25"/>
          <w:szCs w:val="25"/>
          <w:b w:val="1"/>
          <w:bCs w:val="1"/>
          <w:color w:val="auto"/>
        </w:rPr>
        <w:t>CURRENT REPORT</w:t>
      </w:r>
    </w:p>
    <w:p>
      <w:pPr>
        <w:spacing w:after="0" w:line="221"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206"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Date of Report (Date of earliest event reported): December 3,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234315</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20"/>
        <w:spacing w:after="0"/>
        <w:rPr>
          <w:sz w:val="20"/>
          <w:szCs w:val="20"/>
          <w:color w:val="auto"/>
        </w:rPr>
      </w:pPr>
      <w:r>
        <w:rPr>
          <w:rFonts w:ascii="Arial" w:cs="Arial" w:eastAsia="Arial" w:hAnsi="Arial"/>
          <w:sz w:val="43"/>
          <w:szCs w:val="43"/>
          <w:b w:val="1"/>
          <w:bCs w:val="1"/>
          <w:color w:val="auto"/>
        </w:rPr>
        <w:t>NGM Biopharmaceuticals, Inc.</w:t>
      </w:r>
    </w:p>
    <w:p>
      <w:pPr>
        <w:spacing w:after="0" w:line="50"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236220</wp:posOffset>
            </wp:positionV>
            <wp:extent cx="1466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640" w:type="dxa"/>
        <w:tblCellMar>
          <w:top w:w="0" w:type="dxa"/>
          <w:left w:w="0" w:type="dxa"/>
          <w:bottom w:w="0" w:type="dxa"/>
          <w:right w:w="0" w:type="dxa"/>
        </w:tblCellMar>
      </w:tblPr>
      <w:tr>
        <w:trPr>
          <w:trHeight w:val="212"/>
        </w:trPr>
        <w:tc>
          <w:tcPr>
            <w:tcW w:w="2660" w:type="dxa"/>
            <w:vAlign w:val="bottom"/>
          </w:tcPr>
          <w:p>
            <w:pPr>
              <w:jc w:val="center"/>
              <w:ind w:right="99"/>
              <w:spacing w:after="0"/>
              <w:rPr>
                <w:sz w:val="20"/>
                <w:szCs w:val="20"/>
                <w:color w:val="auto"/>
              </w:rPr>
            </w:pPr>
            <w:r>
              <w:rPr>
                <w:rFonts w:ascii="Arial" w:cs="Arial" w:eastAsia="Arial" w:hAnsi="Arial"/>
                <w:sz w:val="18"/>
                <w:szCs w:val="18"/>
                <w:b w:val="1"/>
                <w:bCs w:val="1"/>
                <w:color w:val="auto"/>
                <w:w w:val="91"/>
              </w:rPr>
              <w:t>Delaware</w:t>
            </w:r>
          </w:p>
        </w:tc>
        <w:tc>
          <w:tcPr>
            <w:tcW w:w="4820" w:type="dxa"/>
            <w:vAlign w:val="bottom"/>
          </w:tcPr>
          <w:p>
            <w:pPr>
              <w:ind w:left="1940"/>
              <w:spacing w:after="0"/>
              <w:rPr>
                <w:sz w:val="20"/>
                <w:szCs w:val="20"/>
                <w:color w:val="auto"/>
              </w:rPr>
            </w:pPr>
            <w:r>
              <w:rPr>
                <w:rFonts w:ascii="Arial" w:cs="Arial" w:eastAsia="Arial" w:hAnsi="Arial"/>
                <w:sz w:val="18"/>
                <w:szCs w:val="18"/>
                <w:b w:val="1"/>
                <w:bCs w:val="1"/>
                <w:color w:val="auto"/>
              </w:rPr>
              <w:t>001-38853</w:t>
            </w:r>
          </w:p>
        </w:tc>
        <w:tc>
          <w:tcPr>
            <w:tcW w:w="1700" w:type="dxa"/>
            <w:vAlign w:val="bottom"/>
          </w:tcPr>
          <w:p>
            <w:pPr>
              <w:jc w:val="right"/>
              <w:ind w:right="41"/>
              <w:spacing w:after="0"/>
              <w:rPr>
                <w:sz w:val="20"/>
                <w:szCs w:val="20"/>
                <w:color w:val="auto"/>
              </w:rPr>
            </w:pPr>
            <w:r>
              <w:rPr>
                <w:rFonts w:ascii="Arial" w:cs="Arial" w:eastAsia="Arial" w:hAnsi="Arial"/>
                <w:sz w:val="18"/>
                <w:szCs w:val="18"/>
                <w:b w:val="1"/>
                <w:bCs w:val="1"/>
                <w:color w:val="auto"/>
              </w:rPr>
              <w:t>26-1679911</w:t>
            </w:r>
          </w:p>
        </w:tc>
      </w:tr>
      <w:tr>
        <w:trPr>
          <w:trHeight w:val="149"/>
        </w:trPr>
        <w:tc>
          <w:tcPr>
            <w:tcW w:w="2660" w:type="dxa"/>
            <w:vAlign w:val="bottom"/>
          </w:tcPr>
          <w:p>
            <w:pPr>
              <w:jc w:val="center"/>
              <w:ind w:right="119"/>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4820" w:type="dxa"/>
            <w:vAlign w:val="bottom"/>
          </w:tcPr>
          <w:p>
            <w:pPr>
              <w:ind w:left="1920"/>
              <w:spacing w:after="0" w:line="149" w:lineRule="exact"/>
              <w:rPr>
                <w:sz w:val="20"/>
                <w:szCs w:val="20"/>
                <w:color w:val="auto"/>
              </w:rPr>
            </w:pPr>
            <w:r>
              <w:rPr>
                <w:rFonts w:ascii="Arial" w:cs="Arial" w:eastAsia="Arial" w:hAnsi="Arial"/>
                <w:sz w:val="14"/>
                <w:szCs w:val="14"/>
                <w:b w:val="1"/>
                <w:bCs w:val="1"/>
                <w:color w:val="auto"/>
              </w:rPr>
              <w:t>(Commission</w:t>
            </w:r>
          </w:p>
        </w:tc>
        <w:tc>
          <w:tcPr>
            <w:tcW w:w="1700" w:type="dxa"/>
            <w:vAlign w:val="bottom"/>
          </w:tcPr>
          <w:p>
            <w:pPr>
              <w:jc w:val="center"/>
              <w:ind w:left="50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2660" w:type="dxa"/>
            <w:vAlign w:val="bottom"/>
          </w:tcPr>
          <w:p>
            <w:pPr>
              <w:jc w:val="center"/>
              <w:ind w:right="119"/>
              <w:spacing w:after="0"/>
              <w:rPr>
                <w:sz w:val="20"/>
                <w:szCs w:val="20"/>
                <w:color w:val="auto"/>
              </w:rPr>
            </w:pPr>
            <w:r>
              <w:rPr>
                <w:rFonts w:ascii="Arial" w:cs="Arial" w:eastAsia="Arial" w:hAnsi="Arial"/>
                <w:sz w:val="14"/>
                <w:szCs w:val="14"/>
                <w:b w:val="1"/>
                <w:bCs w:val="1"/>
                <w:color w:val="auto"/>
                <w:w w:val="94"/>
              </w:rPr>
              <w:t>of Incorporation)</w:t>
            </w:r>
          </w:p>
        </w:tc>
        <w:tc>
          <w:tcPr>
            <w:tcW w:w="4820" w:type="dxa"/>
            <w:vAlign w:val="bottom"/>
          </w:tcPr>
          <w:p>
            <w:pPr>
              <w:ind w:left="1920"/>
              <w:spacing w:after="0"/>
              <w:rPr>
                <w:sz w:val="20"/>
                <w:szCs w:val="20"/>
                <w:color w:val="auto"/>
              </w:rPr>
            </w:pPr>
            <w:r>
              <w:rPr>
                <w:rFonts w:ascii="Arial" w:cs="Arial" w:eastAsia="Arial" w:hAnsi="Arial"/>
                <w:sz w:val="14"/>
                <w:szCs w:val="14"/>
                <w:b w:val="1"/>
                <w:bCs w:val="1"/>
                <w:color w:val="auto"/>
              </w:rPr>
              <w:t>File Number)</w:t>
            </w:r>
          </w:p>
        </w:tc>
        <w:tc>
          <w:tcPr>
            <w:tcW w:w="1700" w:type="dxa"/>
            <w:vAlign w:val="bottom"/>
          </w:tcPr>
          <w:p>
            <w:pPr>
              <w:jc w:val="center"/>
              <w:ind w:left="501"/>
              <w:spacing w:after="0"/>
              <w:rPr>
                <w:sz w:val="20"/>
                <w:szCs w:val="20"/>
                <w:color w:val="auto"/>
              </w:rPr>
            </w:pPr>
            <w:r>
              <w:rPr>
                <w:rFonts w:ascii="Arial" w:cs="Arial" w:eastAsia="Arial" w:hAnsi="Arial"/>
                <w:sz w:val="14"/>
                <w:szCs w:val="14"/>
                <w:b w:val="1"/>
                <w:bCs w:val="1"/>
                <w:color w:val="auto"/>
                <w:w w:val="94"/>
              </w:rPr>
              <w:t>Identification No.)</w:t>
            </w:r>
          </w:p>
        </w:tc>
      </w:tr>
      <w:tr>
        <w:trPr>
          <w:trHeight w:val="412"/>
        </w:trPr>
        <w:tc>
          <w:tcPr>
            <w:tcW w:w="2660" w:type="dxa"/>
            <w:vAlign w:val="bottom"/>
          </w:tcPr>
          <w:p>
            <w:pPr>
              <w:jc w:val="center"/>
              <w:ind w:right="119"/>
              <w:spacing w:after="0"/>
              <w:rPr>
                <w:sz w:val="20"/>
                <w:szCs w:val="20"/>
                <w:color w:val="auto"/>
              </w:rPr>
            </w:pPr>
            <w:r>
              <w:rPr>
                <w:rFonts w:ascii="Arial" w:cs="Arial" w:eastAsia="Arial" w:hAnsi="Arial"/>
                <w:sz w:val="18"/>
                <w:szCs w:val="18"/>
                <w:b w:val="1"/>
                <w:bCs w:val="1"/>
                <w:color w:val="auto"/>
                <w:w w:val="91"/>
              </w:rPr>
              <w:t>333 Oyster Point Boulevard</w:t>
            </w:r>
          </w:p>
        </w:tc>
        <w:tc>
          <w:tcPr>
            <w:tcW w:w="482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225"/>
        </w:trPr>
        <w:tc>
          <w:tcPr>
            <w:tcW w:w="2660" w:type="dxa"/>
            <w:vAlign w:val="bottom"/>
          </w:tcPr>
          <w:p>
            <w:pPr>
              <w:jc w:val="center"/>
              <w:ind w:right="119"/>
              <w:spacing w:after="0"/>
              <w:rPr>
                <w:sz w:val="20"/>
                <w:szCs w:val="20"/>
                <w:color w:val="auto"/>
              </w:rPr>
            </w:pPr>
            <w:r>
              <w:rPr>
                <w:rFonts w:ascii="Arial" w:cs="Arial" w:eastAsia="Arial" w:hAnsi="Arial"/>
                <w:sz w:val="18"/>
                <w:szCs w:val="18"/>
                <w:b w:val="1"/>
                <w:bCs w:val="1"/>
                <w:color w:val="auto"/>
                <w:w w:val="90"/>
              </w:rPr>
              <w:t>South San Francisco, California</w:t>
            </w:r>
          </w:p>
        </w:tc>
        <w:tc>
          <w:tcPr>
            <w:tcW w:w="4820" w:type="dxa"/>
            <w:vAlign w:val="bottom"/>
          </w:tcPr>
          <w:p>
            <w:pPr>
              <w:spacing w:after="0"/>
              <w:rPr>
                <w:sz w:val="19"/>
                <w:szCs w:val="19"/>
                <w:color w:val="auto"/>
              </w:rPr>
            </w:pPr>
          </w:p>
        </w:tc>
        <w:tc>
          <w:tcPr>
            <w:tcW w:w="1700" w:type="dxa"/>
            <w:vAlign w:val="bottom"/>
          </w:tcPr>
          <w:p>
            <w:pPr>
              <w:jc w:val="right"/>
              <w:ind w:right="261"/>
              <w:spacing w:after="0"/>
              <w:rPr>
                <w:sz w:val="20"/>
                <w:szCs w:val="20"/>
                <w:color w:val="auto"/>
              </w:rPr>
            </w:pPr>
            <w:r>
              <w:rPr>
                <w:rFonts w:ascii="Arial" w:cs="Arial" w:eastAsia="Arial" w:hAnsi="Arial"/>
                <w:sz w:val="18"/>
                <w:szCs w:val="18"/>
                <w:b w:val="1"/>
                <w:bCs w:val="1"/>
                <w:color w:val="auto"/>
              </w:rPr>
              <w:t>94080</w:t>
            </w:r>
          </w:p>
        </w:tc>
      </w:tr>
      <w:tr>
        <w:trPr>
          <w:trHeight w:val="186"/>
        </w:trPr>
        <w:tc>
          <w:tcPr>
            <w:tcW w:w="2660" w:type="dxa"/>
            <w:vAlign w:val="bottom"/>
          </w:tcPr>
          <w:p>
            <w:pPr>
              <w:jc w:val="center"/>
              <w:ind w:right="119"/>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4820" w:type="dxa"/>
            <w:vAlign w:val="bottom"/>
          </w:tcPr>
          <w:p>
            <w:pPr>
              <w:spacing w:after="0"/>
              <w:rPr>
                <w:sz w:val="16"/>
                <w:szCs w:val="16"/>
                <w:color w:val="auto"/>
              </w:rPr>
            </w:pPr>
          </w:p>
        </w:tc>
        <w:tc>
          <w:tcPr>
            <w:tcW w:w="1700" w:type="dxa"/>
            <w:vAlign w:val="bottom"/>
          </w:tcPr>
          <w:p>
            <w:pPr>
              <w:jc w:val="center"/>
              <w:ind w:left="501"/>
              <w:spacing w:after="0"/>
              <w:rPr>
                <w:sz w:val="20"/>
                <w:szCs w:val="20"/>
                <w:color w:val="auto"/>
              </w:rPr>
            </w:pPr>
            <w:r>
              <w:rPr>
                <w:rFonts w:ascii="Arial" w:cs="Arial" w:eastAsia="Arial" w:hAnsi="Arial"/>
                <w:sz w:val="14"/>
                <w:szCs w:val="14"/>
                <w:b w:val="1"/>
                <w:bCs w:val="1"/>
                <w:color w:val="auto"/>
                <w:w w:val="98"/>
              </w:rPr>
              <w:t>(Zip Code)</w:t>
            </w:r>
          </w:p>
        </w:tc>
      </w:tr>
      <w:tr>
        <w:trPr>
          <w:trHeight w:val="394"/>
        </w:trPr>
        <w:tc>
          <w:tcPr>
            <w:tcW w:w="2660" w:type="dxa"/>
            <w:vAlign w:val="bottom"/>
          </w:tcPr>
          <w:p>
            <w:pPr>
              <w:spacing w:after="0"/>
              <w:rPr>
                <w:sz w:val="24"/>
                <w:szCs w:val="24"/>
                <w:color w:val="auto"/>
              </w:rPr>
            </w:pPr>
          </w:p>
        </w:tc>
        <w:tc>
          <w:tcPr>
            <w:tcW w:w="4820" w:type="dxa"/>
            <w:vAlign w:val="bottom"/>
          </w:tcPr>
          <w:p>
            <w:pPr>
              <w:jc w:val="center"/>
              <w:ind w:right="300"/>
              <w:spacing w:after="0"/>
              <w:rPr>
                <w:sz w:val="20"/>
                <w:szCs w:val="20"/>
                <w:color w:val="auto"/>
              </w:rPr>
            </w:pPr>
            <w:r>
              <w:rPr>
                <w:rFonts w:ascii="Arial" w:cs="Arial" w:eastAsia="Arial" w:hAnsi="Arial"/>
                <w:sz w:val="18"/>
                <w:szCs w:val="18"/>
                <w:b w:val="1"/>
                <w:bCs w:val="1"/>
                <w:color w:val="auto"/>
                <w:w w:val="90"/>
              </w:rPr>
              <w:t>(650) 243-5555</w:t>
            </w:r>
          </w:p>
        </w:tc>
        <w:tc>
          <w:tcPr>
            <w:tcW w:w="1700" w:type="dxa"/>
            <w:vAlign w:val="bottom"/>
          </w:tcPr>
          <w:p>
            <w:pPr>
              <w:spacing w:after="0"/>
              <w:rPr>
                <w:sz w:val="24"/>
                <w:szCs w:val="24"/>
                <w:color w:val="auto"/>
              </w:rPr>
            </w:pPr>
          </w:p>
        </w:tc>
      </w:tr>
      <w:tr>
        <w:trPr>
          <w:trHeight w:val="186"/>
        </w:trPr>
        <w:tc>
          <w:tcPr>
            <w:tcW w:w="2660" w:type="dxa"/>
            <w:vAlign w:val="bottom"/>
          </w:tcPr>
          <w:p>
            <w:pPr>
              <w:spacing w:after="0"/>
              <w:rPr>
                <w:sz w:val="16"/>
                <w:szCs w:val="16"/>
                <w:color w:val="auto"/>
              </w:rPr>
            </w:pPr>
          </w:p>
        </w:tc>
        <w:tc>
          <w:tcPr>
            <w:tcW w:w="4820" w:type="dxa"/>
            <w:vAlign w:val="bottom"/>
          </w:tcPr>
          <w:p>
            <w:pPr>
              <w:jc w:val="center"/>
              <w:ind w:right="300"/>
              <w:spacing w:after="0"/>
              <w:rPr>
                <w:sz w:val="20"/>
                <w:szCs w:val="20"/>
                <w:color w:val="auto"/>
              </w:rPr>
            </w:pPr>
            <w:r>
              <w:rPr>
                <w:rFonts w:ascii="Arial" w:cs="Arial" w:eastAsia="Arial" w:hAnsi="Arial"/>
                <w:sz w:val="14"/>
                <w:szCs w:val="14"/>
                <w:b w:val="1"/>
                <w:bCs w:val="1"/>
                <w:color w:val="auto"/>
                <w:w w:val="93"/>
              </w:rPr>
              <w:t>(Registrant’s Telephone Number, Including Area Code)</w:t>
            </w:r>
          </w:p>
        </w:tc>
        <w:tc>
          <w:tcPr>
            <w:tcW w:w="1700" w:type="dxa"/>
            <w:vAlign w:val="bottom"/>
          </w:tcPr>
          <w:p>
            <w:pPr>
              <w:spacing w:after="0"/>
              <w:rPr>
                <w:sz w:val="16"/>
                <w:szCs w:val="16"/>
                <w:color w:val="auto"/>
              </w:rPr>
            </w:pPr>
          </w:p>
        </w:tc>
      </w:tr>
      <w:tr>
        <w:trPr>
          <w:trHeight w:val="394"/>
        </w:trPr>
        <w:tc>
          <w:tcPr>
            <w:tcW w:w="2660" w:type="dxa"/>
            <w:vAlign w:val="bottom"/>
          </w:tcPr>
          <w:p>
            <w:pPr>
              <w:spacing w:after="0"/>
              <w:rPr>
                <w:sz w:val="24"/>
                <w:szCs w:val="24"/>
                <w:color w:val="auto"/>
              </w:rPr>
            </w:pPr>
          </w:p>
        </w:tc>
        <w:tc>
          <w:tcPr>
            <w:tcW w:w="4820" w:type="dxa"/>
            <w:vAlign w:val="bottom"/>
          </w:tcPr>
          <w:p>
            <w:pPr>
              <w:jc w:val="center"/>
              <w:ind w:right="300"/>
              <w:spacing w:after="0"/>
              <w:rPr>
                <w:sz w:val="20"/>
                <w:szCs w:val="20"/>
                <w:color w:val="auto"/>
              </w:rPr>
            </w:pPr>
            <w:r>
              <w:rPr>
                <w:rFonts w:ascii="Arial" w:cs="Arial" w:eastAsia="Arial" w:hAnsi="Arial"/>
                <w:sz w:val="18"/>
                <w:szCs w:val="18"/>
                <w:b w:val="1"/>
                <w:bCs w:val="1"/>
                <w:color w:val="auto"/>
                <w:w w:val="92"/>
              </w:rPr>
              <w:t>Not Applicable</w:t>
            </w:r>
          </w:p>
        </w:tc>
        <w:tc>
          <w:tcPr>
            <w:tcW w:w="1700" w:type="dxa"/>
            <w:vAlign w:val="bottom"/>
          </w:tcPr>
          <w:p>
            <w:pPr>
              <w:spacing w:after="0"/>
              <w:rPr>
                <w:sz w:val="24"/>
                <w:szCs w:val="24"/>
                <w:color w:val="auto"/>
              </w:rPr>
            </w:pPr>
          </w:p>
        </w:tc>
      </w:tr>
      <w:tr>
        <w:trPr>
          <w:trHeight w:val="186"/>
        </w:trPr>
        <w:tc>
          <w:tcPr>
            <w:tcW w:w="2660" w:type="dxa"/>
            <w:vAlign w:val="bottom"/>
          </w:tcPr>
          <w:p>
            <w:pPr>
              <w:spacing w:after="0"/>
              <w:rPr>
                <w:sz w:val="16"/>
                <w:szCs w:val="16"/>
                <w:color w:val="auto"/>
              </w:rPr>
            </w:pPr>
          </w:p>
        </w:tc>
        <w:tc>
          <w:tcPr>
            <w:tcW w:w="4820" w:type="dxa"/>
            <w:vAlign w:val="bottom"/>
          </w:tcPr>
          <w:p>
            <w:pPr>
              <w:jc w:val="center"/>
              <w:ind w:right="320"/>
              <w:spacing w:after="0"/>
              <w:rPr>
                <w:sz w:val="20"/>
                <w:szCs w:val="20"/>
                <w:color w:val="auto"/>
              </w:rPr>
            </w:pPr>
            <w:r>
              <w:rPr>
                <w:rFonts w:ascii="Arial" w:cs="Arial" w:eastAsia="Arial" w:hAnsi="Arial"/>
                <w:sz w:val="14"/>
                <w:szCs w:val="14"/>
                <w:b w:val="1"/>
                <w:bCs w:val="1"/>
                <w:color w:val="auto"/>
                <w:w w:val="93"/>
              </w:rPr>
              <w:t>(Former Name or Former Address, if Changed Since Last Report)</w:t>
            </w:r>
          </w:p>
        </w:tc>
        <w:tc>
          <w:tcPr>
            <w:tcW w:w="170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222250</wp:posOffset>
            </wp:positionV>
            <wp:extent cx="1466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45" w:lineRule="exact"/>
        <w:rPr>
          <w:sz w:val="24"/>
          <w:szCs w:val="24"/>
          <w:color w:val="auto"/>
        </w:rPr>
      </w:pPr>
    </w:p>
    <w:p>
      <w:pPr>
        <w:ind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Instructions A.2. below):</w:t>
      </w:r>
    </w:p>
    <w:p>
      <w:pPr>
        <w:spacing w:after="0" w:line="76" w:lineRule="exact"/>
        <w:rPr>
          <w:sz w:val="24"/>
          <w:szCs w:val="24"/>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31"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860" w:type="dxa"/>
            <w:vAlign w:val="bottom"/>
          </w:tcPr>
          <w:p>
            <w:pPr>
              <w:jc w:val="center"/>
              <w:spacing w:after="0"/>
              <w:rPr>
                <w:sz w:val="20"/>
                <w:szCs w:val="20"/>
                <w:color w:val="auto"/>
              </w:rPr>
            </w:pPr>
            <w:r>
              <w:rPr>
                <w:rFonts w:ascii="Arial" w:cs="Arial" w:eastAsia="Arial" w:hAnsi="Arial"/>
                <w:sz w:val="14"/>
                <w:szCs w:val="14"/>
                <w:b w:val="1"/>
                <w:bCs w:val="1"/>
                <w:color w:val="auto"/>
                <w:w w:val="95"/>
              </w:rPr>
              <w:t>Title of</w:t>
            </w:r>
          </w:p>
        </w:tc>
        <w:tc>
          <w:tcPr>
            <w:tcW w:w="120" w:type="dxa"/>
            <w:vAlign w:val="bottom"/>
          </w:tcPr>
          <w:p>
            <w:pPr>
              <w:spacing w:after="0"/>
              <w:rPr>
                <w:sz w:val="13"/>
                <w:szCs w:val="13"/>
                <w:color w:val="auto"/>
              </w:rPr>
            </w:pPr>
          </w:p>
        </w:tc>
        <w:tc>
          <w:tcPr>
            <w:tcW w:w="3520" w:type="dxa"/>
            <w:vAlign w:val="bottom"/>
          </w:tcPr>
          <w:p>
            <w:pPr>
              <w:jc w:val="center"/>
              <w:spacing w:after="0"/>
              <w:rPr>
                <w:sz w:val="20"/>
                <w:szCs w:val="20"/>
                <w:color w:val="auto"/>
              </w:rPr>
            </w:pPr>
            <w:r>
              <w:rPr>
                <w:rFonts w:ascii="Arial" w:cs="Arial" w:eastAsia="Arial" w:hAnsi="Arial"/>
                <w:sz w:val="14"/>
                <w:szCs w:val="14"/>
                <w:b w:val="1"/>
                <w:bCs w:val="1"/>
                <w:color w:val="auto"/>
                <w:w w:val="97"/>
              </w:rPr>
              <w:t>Trading</w:t>
            </w:r>
          </w:p>
        </w:tc>
        <w:tc>
          <w:tcPr>
            <w:tcW w:w="100" w:type="dxa"/>
            <w:vAlign w:val="bottom"/>
          </w:tcPr>
          <w:p>
            <w:pPr>
              <w:spacing w:after="0"/>
              <w:rPr>
                <w:sz w:val="13"/>
                <w:szCs w:val="13"/>
                <w:color w:val="auto"/>
              </w:rPr>
            </w:pPr>
          </w:p>
        </w:tc>
        <w:tc>
          <w:tcPr>
            <w:tcW w:w="3420" w:type="dxa"/>
            <w:vAlign w:val="bottom"/>
          </w:tcPr>
          <w:p>
            <w:pPr>
              <w:jc w:val="center"/>
              <w:spacing w:after="0"/>
              <w:rPr>
                <w:sz w:val="20"/>
                <w:szCs w:val="20"/>
                <w:color w:val="auto"/>
              </w:rPr>
            </w:pPr>
            <w:r>
              <w:rPr>
                <w:rFonts w:ascii="Arial" w:cs="Arial" w:eastAsia="Arial" w:hAnsi="Arial"/>
                <w:sz w:val="14"/>
                <w:szCs w:val="14"/>
                <w:b w:val="1"/>
                <w:bCs w:val="1"/>
                <w:color w:val="auto"/>
                <w:w w:val="90"/>
              </w:rPr>
              <w:t>Name of each exchange</w:t>
            </w:r>
          </w:p>
        </w:tc>
      </w:tr>
      <w:tr>
        <w:trPr>
          <w:trHeight w:val="185"/>
        </w:trPr>
        <w:tc>
          <w:tcPr>
            <w:tcW w:w="3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each class</w:t>
            </w:r>
          </w:p>
        </w:tc>
        <w:tc>
          <w:tcPr>
            <w:tcW w:w="120" w:type="dxa"/>
            <w:vAlign w:val="bottom"/>
          </w:tcPr>
          <w:p>
            <w:pPr>
              <w:spacing w:after="0"/>
              <w:rPr>
                <w:sz w:val="16"/>
                <w:szCs w:val="16"/>
                <w:color w:val="auto"/>
              </w:rPr>
            </w:pPr>
          </w:p>
        </w:tc>
        <w:tc>
          <w:tcPr>
            <w:tcW w:w="3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Symbol(s)</w:t>
            </w:r>
          </w:p>
        </w:tc>
        <w:tc>
          <w:tcPr>
            <w:tcW w:w="100" w:type="dxa"/>
            <w:vAlign w:val="bottom"/>
          </w:tcPr>
          <w:p>
            <w:pPr>
              <w:spacing w:after="0"/>
              <w:rPr>
                <w:sz w:val="16"/>
                <w:szCs w:val="16"/>
                <w:color w:val="auto"/>
              </w:rPr>
            </w:pPr>
          </w:p>
        </w:tc>
        <w:tc>
          <w:tcPr>
            <w:tcW w:w="3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on which registered</w:t>
            </w:r>
          </w:p>
        </w:tc>
      </w:tr>
      <w:tr>
        <w:trPr>
          <w:trHeight w:val="224"/>
        </w:trPr>
        <w:tc>
          <w:tcPr>
            <w:tcW w:w="3860" w:type="dxa"/>
            <w:vAlign w:val="bottom"/>
          </w:tcPr>
          <w:p>
            <w:pPr>
              <w:jc w:val="center"/>
              <w:spacing w:after="0"/>
              <w:rPr>
                <w:sz w:val="20"/>
                <w:szCs w:val="20"/>
                <w:color w:val="auto"/>
              </w:rPr>
            </w:pPr>
            <w:r>
              <w:rPr>
                <w:rFonts w:ascii="Arial" w:cs="Arial" w:eastAsia="Arial" w:hAnsi="Arial"/>
                <w:sz w:val="18"/>
                <w:szCs w:val="18"/>
                <w:color w:val="auto"/>
                <w:w w:val="89"/>
              </w:rPr>
              <w:t>Common Stock, par value $0.001 per share</w:t>
            </w:r>
          </w:p>
        </w:tc>
        <w:tc>
          <w:tcPr>
            <w:tcW w:w="120" w:type="dxa"/>
            <w:vAlign w:val="bottom"/>
          </w:tcPr>
          <w:p>
            <w:pPr>
              <w:spacing w:after="0"/>
              <w:rPr>
                <w:sz w:val="19"/>
                <w:szCs w:val="19"/>
                <w:color w:val="auto"/>
              </w:rPr>
            </w:pPr>
          </w:p>
        </w:tc>
        <w:tc>
          <w:tcPr>
            <w:tcW w:w="3520" w:type="dxa"/>
            <w:vAlign w:val="bottom"/>
          </w:tcPr>
          <w:p>
            <w:pPr>
              <w:jc w:val="center"/>
              <w:spacing w:after="0"/>
              <w:rPr>
                <w:sz w:val="20"/>
                <w:szCs w:val="20"/>
                <w:color w:val="auto"/>
              </w:rPr>
            </w:pPr>
            <w:r>
              <w:rPr>
                <w:rFonts w:ascii="Arial" w:cs="Arial" w:eastAsia="Arial" w:hAnsi="Arial"/>
                <w:sz w:val="18"/>
                <w:szCs w:val="18"/>
                <w:color w:val="auto"/>
                <w:w w:val="99"/>
              </w:rPr>
              <w:t>NGM</w:t>
            </w:r>
          </w:p>
        </w:tc>
        <w:tc>
          <w:tcPr>
            <w:tcW w:w="100" w:type="dxa"/>
            <w:vAlign w:val="bottom"/>
          </w:tcPr>
          <w:p>
            <w:pPr>
              <w:spacing w:after="0"/>
              <w:rPr>
                <w:sz w:val="19"/>
                <w:szCs w:val="19"/>
                <w:color w:val="auto"/>
              </w:rPr>
            </w:pPr>
          </w:p>
        </w:tc>
        <w:tc>
          <w:tcPr>
            <w:tcW w:w="3420" w:type="dxa"/>
            <w:vAlign w:val="bottom"/>
          </w:tcPr>
          <w:p>
            <w:pPr>
              <w:jc w:val="center"/>
              <w:spacing w:after="0"/>
              <w:rPr>
                <w:sz w:val="20"/>
                <w:szCs w:val="20"/>
                <w:color w:val="auto"/>
              </w:rPr>
            </w:pPr>
            <w:r>
              <w:rPr>
                <w:rFonts w:ascii="Arial" w:cs="Arial" w:eastAsia="Arial" w:hAnsi="Arial"/>
                <w:sz w:val="18"/>
                <w:szCs w:val="18"/>
                <w:color w:val="auto"/>
                <w:w w:val="92"/>
              </w:rPr>
              <w:t>The Nasdaq Stock Market LLC</w:t>
            </w:r>
          </w:p>
        </w:tc>
      </w:tr>
    </w:tbl>
    <w:p>
      <w:pPr>
        <w:spacing w:after="0" w:line="201" w:lineRule="exact"/>
        <w:rPr>
          <w:sz w:val="24"/>
          <w:szCs w:val="24"/>
          <w:color w:val="auto"/>
        </w:rPr>
      </w:pPr>
    </w:p>
    <w:p>
      <w:pPr>
        <w:ind w:right="3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6997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176530</wp:posOffset>
            </wp:positionV>
            <wp:extent cx="6997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040"/>
          </w:cols>
          <w:pgMar w:left="440" w:top="368" w:right="419" w:bottom="1440" w:gutter="0" w:footer="0" w:header="0"/>
        </w:sectPr>
      </w:pPr>
    </w:p>
    <w:bookmarkStart w:id="1" w:name="page2"/>
    <w:bookmarkEnd w:id="1"/>
    <w:p>
      <w:pPr>
        <w:ind w:left="1100" w:right="1100" w:hanging="1093"/>
        <w:spacing w:after="0" w:line="282" w:lineRule="auto"/>
        <w:tabs>
          <w:tab w:leader="none" w:pos="10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5.02</w:t>
      </w:r>
      <w:r>
        <w:rPr>
          <w:sz w:val="20"/>
          <w:szCs w:val="20"/>
          <w:color w:val="auto"/>
        </w:rPr>
        <w:tab/>
      </w: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58" w:lineRule="exact"/>
        <w:rPr>
          <w:sz w:val="20"/>
          <w:szCs w:val="20"/>
          <w:color w:val="auto"/>
        </w:rPr>
      </w:pPr>
    </w:p>
    <w:p>
      <w:pPr>
        <w:ind w:right="60" w:firstLine="441"/>
        <w:spacing w:after="0" w:line="277" w:lineRule="auto"/>
        <w:rPr>
          <w:sz w:val="20"/>
          <w:szCs w:val="20"/>
          <w:color w:val="auto"/>
        </w:rPr>
      </w:pPr>
      <w:r>
        <w:rPr>
          <w:rFonts w:ascii="Arial" w:cs="Arial" w:eastAsia="Arial" w:hAnsi="Arial"/>
          <w:sz w:val="18"/>
          <w:szCs w:val="18"/>
          <w:color w:val="auto"/>
        </w:rPr>
        <w:t>On December 3, 2019 (the “</w:t>
      </w:r>
      <w:r>
        <w:rPr>
          <w:rFonts w:ascii="Arial" w:cs="Arial" w:eastAsia="Arial" w:hAnsi="Arial"/>
          <w:sz w:val="18"/>
          <w:szCs w:val="18"/>
          <w:b w:val="1"/>
          <w:bCs w:val="1"/>
          <w:i w:val="1"/>
          <w:iCs w:val="1"/>
          <w:color w:val="auto"/>
        </w:rPr>
        <w:t>Effective Date</w:t>
      </w:r>
      <w:r>
        <w:rPr>
          <w:rFonts w:ascii="Arial" w:cs="Arial" w:eastAsia="Arial" w:hAnsi="Arial"/>
          <w:sz w:val="18"/>
          <w:szCs w:val="18"/>
          <w:color w:val="auto"/>
        </w:rPr>
        <w:t>”), the Board of Directors (the “</w:t>
      </w:r>
      <w:r>
        <w:rPr>
          <w:rFonts w:ascii="Arial" w:cs="Arial" w:eastAsia="Arial" w:hAnsi="Arial"/>
          <w:sz w:val="18"/>
          <w:szCs w:val="18"/>
          <w:b w:val="1"/>
          <w:bCs w:val="1"/>
          <w:i w:val="1"/>
          <w:iCs w:val="1"/>
          <w:color w:val="auto"/>
        </w:rPr>
        <w:t>Board</w:t>
      </w:r>
      <w:r>
        <w:rPr>
          <w:rFonts w:ascii="Arial" w:cs="Arial" w:eastAsia="Arial" w:hAnsi="Arial"/>
          <w:sz w:val="18"/>
          <w:szCs w:val="18"/>
          <w:color w:val="auto"/>
        </w:rPr>
        <w:t>”) of NGM Biopharmaceuticals, Inc.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increased the authorized size of the Board from nine to ten members, creating a vacancy on the Board.</w:t>
      </w:r>
    </w:p>
    <w:p>
      <w:pPr>
        <w:spacing w:after="0" w:line="170" w:lineRule="exact"/>
        <w:rPr>
          <w:sz w:val="20"/>
          <w:szCs w:val="20"/>
          <w:color w:val="auto"/>
        </w:rPr>
      </w:pPr>
    </w:p>
    <w:p>
      <w:pPr>
        <w:ind w:right="100" w:firstLine="441"/>
        <w:spacing w:after="0" w:line="264" w:lineRule="auto"/>
        <w:rPr>
          <w:sz w:val="20"/>
          <w:szCs w:val="20"/>
          <w:color w:val="auto"/>
        </w:rPr>
      </w:pPr>
      <w:r>
        <w:rPr>
          <w:rFonts w:ascii="Arial" w:cs="Arial" w:eastAsia="Arial" w:hAnsi="Arial"/>
          <w:sz w:val="18"/>
          <w:szCs w:val="18"/>
          <w:color w:val="auto"/>
        </w:rPr>
        <w:t>On the Effective Date, upon the recommendation of the Nominating and Corporate Governance Committee of the Board, the Board appointed Shelly Guyer to fill the vacant Board seat and to serve as a member of the Board with an initial term expiring at the Company’s 2020 annual meeting of stockholders. In addition, the Board appointed Ms. Guyer to the Audit Committee of the Board.</w:t>
      </w:r>
    </w:p>
    <w:p>
      <w:pPr>
        <w:spacing w:after="0" w:line="181" w:lineRule="exact"/>
        <w:rPr>
          <w:sz w:val="20"/>
          <w:szCs w:val="20"/>
          <w:color w:val="auto"/>
        </w:rPr>
      </w:pPr>
    </w:p>
    <w:p>
      <w:pPr>
        <w:ind w:right="80" w:firstLine="441"/>
        <w:spacing w:after="0" w:line="259" w:lineRule="auto"/>
        <w:rPr>
          <w:sz w:val="20"/>
          <w:szCs w:val="20"/>
          <w:color w:val="auto"/>
        </w:rPr>
      </w:pPr>
      <w:r>
        <w:rPr>
          <w:rFonts w:ascii="Arial" w:cs="Arial" w:eastAsia="Arial" w:hAnsi="Arial"/>
          <w:sz w:val="18"/>
          <w:szCs w:val="18"/>
          <w:color w:val="auto"/>
        </w:rPr>
        <w:t>There are no arrangements or understandings between Ms. Guyer and any other persons pursuant to which she was selected as a director of the Company. The Board has determined that Ms. Guyer is independent under the Company’s Corporate Governance Guidelines, applicable U.S. Securities and Exchange Commission requirements and Nasdaq listing standards. There is no transaction involving Ms. Guyer that requires disclosure under Item 404(a) of Regulation S-K.</w:t>
      </w:r>
    </w:p>
    <w:p>
      <w:pPr>
        <w:spacing w:after="0" w:line="187" w:lineRule="exact"/>
        <w:rPr>
          <w:sz w:val="20"/>
          <w:szCs w:val="20"/>
          <w:color w:val="auto"/>
        </w:rPr>
      </w:pPr>
    </w:p>
    <w:p>
      <w:pPr>
        <w:ind w:firstLine="441"/>
        <w:spacing w:after="0" w:line="255" w:lineRule="auto"/>
        <w:rPr>
          <w:sz w:val="20"/>
          <w:szCs w:val="20"/>
          <w:color w:val="auto"/>
        </w:rPr>
      </w:pPr>
      <w:r>
        <w:rPr>
          <w:rFonts w:ascii="Arial" w:cs="Arial" w:eastAsia="Arial" w:hAnsi="Arial"/>
          <w:sz w:val="18"/>
          <w:szCs w:val="18"/>
          <w:color w:val="auto"/>
        </w:rPr>
        <w:t>As of the Effective Date, Ms. Guyer will participate in the Company’s Non-Employee Director Compensation Policy (the “</w:t>
      </w:r>
      <w:r>
        <w:rPr>
          <w:rFonts w:ascii="Arial" w:cs="Arial" w:eastAsia="Arial" w:hAnsi="Arial"/>
          <w:sz w:val="18"/>
          <w:szCs w:val="18"/>
          <w:b w:val="1"/>
          <w:bCs w:val="1"/>
          <w:i w:val="1"/>
          <w:iCs w:val="1"/>
          <w:color w:val="auto"/>
        </w:rPr>
        <w:t>Policy</w:t>
      </w:r>
      <w:r>
        <w:rPr>
          <w:rFonts w:ascii="Arial" w:cs="Arial" w:eastAsia="Arial" w:hAnsi="Arial"/>
          <w:sz w:val="18"/>
          <w:szCs w:val="18"/>
          <w:color w:val="auto"/>
        </w:rPr>
        <w:t>”). Under the Policy, Ms. Guyer will receive an annual retainer of $40,000 for her service on the Board, plus an additional $10,000 annual retainer for her services as a member of the Audit Committee, in each case starting on the Effective Date, with payment pro-rated for any partial period of service. In addition, on the Effective Date, Ms. Guyer received an option to purchase 48,355 shares of the Company’s Common Stock, which will vest on an annual basis over three years, subject to Ms. Guyer’s continuous service as a member of the Board. The Company also entered into its standard form of indemnification agreement with Ms. Guyer.</w:t>
      </w:r>
    </w:p>
    <w:p>
      <w:pPr>
        <w:sectPr>
          <w:pgSz w:w="11900" w:h="16838" w:orient="portrait"/>
          <w:cols w:equalWidth="0" w:num="1">
            <w:col w:w="11020"/>
          </w:cols>
          <w:pgMar w:left="440" w:top="270" w:right="439" w:bottom="1440" w:gutter="0" w:footer="0" w:header="0"/>
        </w:sectPr>
      </w:pPr>
    </w:p>
    <w:bookmarkStart w:id="2" w:name="page3"/>
    <w:bookmarkEnd w:id="2"/>
    <w:p>
      <w:pPr>
        <w:jc w:val="center"/>
        <w:ind w:right="-2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ind w:firstLine="441"/>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89" w:lineRule="exact"/>
        <w:rPr>
          <w:sz w:val="20"/>
          <w:szCs w:val="20"/>
          <w:color w:val="auto"/>
        </w:rPr>
      </w:pPr>
    </w:p>
    <w:p>
      <w:pPr>
        <w:ind w:left="5280"/>
        <w:spacing w:after="0"/>
        <w:rPr>
          <w:sz w:val="20"/>
          <w:szCs w:val="20"/>
          <w:color w:val="auto"/>
        </w:rPr>
      </w:pPr>
      <w:r>
        <w:rPr>
          <w:rFonts w:ascii="Arial" w:cs="Arial" w:eastAsia="Arial" w:hAnsi="Arial"/>
          <w:sz w:val="20"/>
          <w:szCs w:val="20"/>
          <w:b w:val="1"/>
          <w:bCs w:val="1"/>
          <w:color w:val="auto"/>
        </w:rPr>
        <w:t>NGM Biopharmaceuticals, Inc.</w:t>
      </w:r>
    </w:p>
    <w:p>
      <w:pPr>
        <w:spacing w:after="0" w:line="224" w:lineRule="exact"/>
        <w:rPr>
          <w:sz w:val="20"/>
          <w:szCs w:val="20"/>
          <w:color w:val="auto"/>
        </w:rPr>
      </w:pPr>
    </w:p>
    <w:p>
      <w:pPr>
        <w:spacing w:after="0"/>
        <w:tabs>
          <w:tab w:leader="none" w:pos="5260" w:val="left"/>
          <w:tab w:leader="none" w:pos="5840" w:val="left"/>
        </w:tabs>
        <w:rPr>
          <w:sz w:val="20"/>
          <w:szCs w:val="20"/>
          <w:color w:val="auto"/>
        </w:rPr>
      </w:pPr>
      <w:r>
        <w:rPr>
          <w:rFonts w:ascii="Arial" w:cs="Arial" w:eastAsia="Arial" w:hAnsi="Arial"/>
          <w:sz w:val="18"/>
          <w:szCs w:val="18"/>
          <w:color w:val="auto"/>
        </w:rPr>
        <w:t>Dated: December 5,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Valerie Pierce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3719830</wp:posOffset>
            </wp:positionH>
            <wp:positionV relativeFrom="paragraph">
              <wp:posOffset>14605</wp:posOffset>
            </wp:positionV>
            <wp:extent cx="328485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84855" cy="8890"/>
                    </a:xfrm>
                    <a:prstGeom prst="rect">
                      <a:avLst/>
                    </a:prstGeom>
                    <a:noFill/>
                  </pic:spPr>
                </pic:pic>
              </a:graphicData>
            </a:graphic>
          </wp:anchor>
        </w:drawing>
      </w:r>
    </w:p>
    <w:p>
      <w:pPr>
        <w:spacing w:after="0" w:line="30"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Valerie Pierce</w:t>
      </w:r>
    </w:p>
    <w:p>
      <w:pPr>
        <w:spacing w:after="0" w:line="9" w:lineRule="exact"/>
        <w:rPr>
          <w:sz w:val="20"/>
          <w:szCs w:val="20"/>
          <w:color w:val="auto"/>
        </w:rPr>
      </w:pPr>
    </w:p>
    <w:p>
      <w:pPr>
        <w:ind w:left="5860"/>
        <w:spacing w:after="0"/>
        <w:rPr>
          <w:sz w:val="20"/>
          <w:szCs w:val="20"/>
          <w:color w:val="auto"/>
        </w:rPr>
      </w:pPr>
      <w:r>
        <w:rPr>
          <w:rFonts w:ascii="Arial" w:cs="Arial" w:eastAsia="Arial" w:hAnsi="Arial"/>
          <w:sz w:val="18"/>
          <w:szCs w:val="18"/>
          <w:i w:val="1"/>
          <w:iCs w:val="1"/>
          <w:color w:val="auto"/>
        </w:rPr>
        <w:t>Senior Vice President and General Counsel</w:t>
      </w:r>
    </w:p>
    <w:sectPr>
      <w:pgSz w:w="11900" w:h="16838" w:orient="portrait"/>
      <w:cols w:equalWidth="0" w:num="1">
        <w:col w:w="10740"/>
      </w:cols>
      <w:pgMar w:left="440" w:top="270" w:right="7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2019-12-05T16:31:31Z</dcterms:created>
  <dcterms:modified xsi:type="dcterms:W3CDTF">2019-12-05T16:31:31Z</dcterms:modified>
</cp:coreProperties>
</file>