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-173355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60" w:type="dxa"/>
            <w:vAlign w:val="bottom"/>
          </w:tcPr>
          <w:p>
            <w:pPr>
              <w:jc w:val="center"/>
              <w:ind w:right="1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60" w:type="dxa"/>
            <w:vAlign w:val="bottom"/>
            <w:vMerge w:val="restart"/>
          </w:tcPr>
          <w:p>
            <w:pPr>
              <w:jc w:val="center"/>
              <w:ind w:right="1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5414645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-608330</wp:posOffset>
            </wp:positionV>
            <wp:extent cx="126936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-1506220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40" w:space="240"/>
            <w:col w:w="870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07/30/2020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8"/>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10"/>
            <w:vMerge w:val="continue"/>
          </w:tcPr>
          <w:p>
            <w:pPr>
              <w:spacing w:after="0"/>
              <w:rPr>
                <w:sz w:val="12"/>
                <w:szCs w:val="12"/>
                <w:color w:val="auto"/>
              </w:rPr>
            </w:pPr>
          </w:p>
        </w:tc>
        <w:tc>
          <w:tcPr>
            <w:tcW w:w="364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40" w:type="dxa"/>
            <w:vAlign w:val="bottom"/>
            <w:gridSpan w:val="4"/>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4"/>
          </w:tcPr>
          <w:p>
            <w:pPr>
              <w:jc w:val="right"/>
              <w:ind w:right="158"/>
              <w:spacing w:after="0"/>
              <w:rPr>
                <w:sz w:val="20"/>
                <w:szCs w:val="20"/>
                <w:color w:val="auto"/>
              </w:rPr>
            </w:pPr>
            <w:r>
              <w:rPr>
                <w:rFonts w:ascii="Arial" w:cs="Arial" w:eastAsia="Arial" w:hAnsi="Arial"/>
                <w:sz w:val="17"/>
                <w:szCs w:val="17"/>
                <w:color w:val="0000FF"/>
              </w:rPr>
              <w:t>07/30/2020</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732</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17.99</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92"/>
              </w:rPr>
              <w:t>1,617,684</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(4)</w:t>
            </w:r>
          </w:p>
        </w:tc>
        <w:tc>
          <w:tcPr>
            <w:tcW w:w="1120" w:type="dxa"/>
            <w:vAlign w:val="bottom"/>
            <w:tcBorders>
              <w:bottom w:val="single" w:sz="8" w:color="2C2C2C"/>
            </w:tcBorders>
            <w:gridSpan w:val="2"/>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(5)(6)(7)(8)(9)(10)</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15,000</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44,000</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190,000</w:t>
            </w:r>
          </w:p>
        </w:tc>
        <w:tc>
          <w:tcPr>
            <w:tcW w:w="280" w:type="dxa"/>
            <w:vAlign w:val="bottom"/>
          </w:tcPr>
          <w:p>
            <w:pPr>
              <w:spacing w:after="0"/>
              <w:rPr>
                <w:sz w:val="22"/>
                <w:szCs w:val="22"/>
                <w:color w:val="auto"/>
              </w:rPr>
            </w:pPr>
          </w:p>
        </w:tc>
        <w:tc>
          <w:tcPr>
            <w:tcW w:w="840" w:type="dxa"/>
            <w:vAlign w:val="bottom"/>
            <w:vMerge w:val="restart"/>
          </w:tcPr>
          <w:p>
            <w:pPr>
              <w:ind w:left="2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3"/>
          </w:tcPr>
          <w:p>
            <w:pPr>
              <w:jc w:val="right"/>
              <w:ind w:right="158"/>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40" w:type="dxa"/>
            <w:vAlign w:val="bottom"/>
            <w:tcBorders>
              <w:bottom w:val="single" w:sz="8" w:color="2C2C2C"/>
            </w:tcBorders>
            <w:gridSpan w:val="6"/>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740" w:type="dxa"/>
            <w:vAlign w:val="bottom"/>
            <w:tcBorders>
              <w:bottom w:val="single" w:sz="8" w:color="2C2C2C"/>
            </w:tcBorders>
            <w:gridSpan w:val="6"/>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w w:val="99"/>
              </w:rPr>
            </w:pPr>
            <w:hyperlink r:id="rId15">
              <w:r>
                <w:rPr>
                  <w:rFonts w:ascii="Arial" w:cs="Arial" w:eastAsia="Arial" w:hAnsi="Arial"/>
                  <w:sz w:val="21"/>
                  <w:szCs w:val="21"/>
                  <w:u w:val="single" w:color="auto"/>
                  <w:color w:val="0000EE"/>
                  <w:w w:val="99"/>
                </w:rPr>
                <w:t>COLUMN GROUP II, LP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-6506210</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SAN</w:t>
      </w:r>
      <w:r>
        <w:rPr>
          <w:sz w:val="20"/>
          <w:szCs w:val="20"/>
          <w:color w:val="auto"/>
        </w:rPr>
        <w:tab/>
      </w:r>
      <w:r>
        <w:rPr>
          <w:rFonts w:ascii="Arial" w:cs="Arial" w:eastAsia="Arial" w:hAnsi="Arial"/>
          <w:sz w:val="17"/>
          <w:szCs w:val="17"/>
          <w:color w:val="0000FF"/>
        </w:rPr>
        <w:t>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783840" cy="1052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840" cy="10526395"/>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GP,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w w:val="93"/>
              </w:rPr>
            </w:pPr>
            <w:hyperlink r:id="rId20">
              <w:r>
                <w:rPr>
                  <w:rFonts w:ascii="Arial" w:cs="Arial" w:eastAsia="Arial" w:hAnsi="Arial"/>
                  <w:sz w:val="21"/>
                  <w:szCs w:val="21"/>
                  <w:u w:val="single" w:color="auto"/>
                  <w:color w:val="0000EE"/>
                  <w:w w:val="93"/>
                </w:rPr>
                <w:t>Column Group Management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PONOI CAPITAL,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Ponoi Management, LLC</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8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80" w:type="dxa"/>
            <w:vAlign w:val="bottom"/>
            <w:gridSpan w:val="2"/>
          </w:tcPr>
          <w:p>
            <w:pPr>
              <w:spacing w:after="0"/>
              <w:rPr>
                <w:rFonts w:ascii="Arial" w:cs="Arial" w:eastAsia="Arial" w:hAnsi="Arial"/>
                <w:sz w:val="21"/>
                <w:szCs w:val="21"/>
                <w:u w:val="single" w:color="auto"/>
                <w:color w:val="0000EE"/>
              </w:rPr>
            </w:pPr>
            <w:hyperlink r:id="rId23">
              <w:r>
                <w:rPr>
                  <w:rFonts w:ascii="Arial" w:cs="Arial" w:eastAsia="Arial" w:hAnsi="Arial"/>
                  <w:sz w:val="21"/>
                  <w:szCs w:val="21"/>
                  <w:u w:val="single" w:color="auto"/>
                  <w:color w:val="0000EE"/>
                </w:rPr>
                <w:t>Ponoi Capital II, LP</w:t>
              </w:r>
            </w:hyperlink>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0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8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380" w:type="dxa"/>
            <w:vAlign w:val="bottom"/>
            <w:vMerge w:val="restart"/>
          </w:tcPr>
          <w:p>
            <w:pPr>
              <w:ind w:left="2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0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-9544050</wp:posOffset>
            </wp:positionV>
            <wp:extent cx="2766695" cy="100272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766695" cy="10027285"/>
                    </a:xfrm>
                    <a:prstGeom prst="rect">
                      <a:avLst/>
                    </a:prstGeom>
                    <a:noFill/>
                  </pic:spPr>
                </pic:pic>
              </a:graphicData>
            </a:graphic>
          </wp:anchor>
        </w:drawing>
      </w:r>
    </w:p>
    <w:p>
      <w:pPr>
        <w:spacing w:after="0" w:line="11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9979"/>
          </w:cols>
          <w:pgMar w:left="480" w:top="131" w:right="1440" w:bottom="0" w:gutter="0" w:footer="0" w:header="0"/>
        </w:sectPr>
      </w:pPr>
    </w:p>
    <w:p>
      <w:pPr>
        <w:ind w:left="100"/>
        <w:spacing w:after="0"/>
        <w:rPr>
          <w:rFonts w:ascii="Arial" w:cs="Arial" w:eastAsia="Arial" w:hAnsi="Arial"/>
          <w:sz w:val="20"/>
          <w:szCs w:val="20"/>
          <w:u w:val="single" w:color="auto"/>
          <w:color w:val="0000EE"/>
        </w:rPr>
      </w:pPr>
      <w:hyperlink r:id="rId25">
        <w:r>
          <w:rPr>
            <w:rFonts w:ascii="Arial" w:cs="Arial" w:eastAsia="Arial" w:hAnsi="Arial"/>
            <w:sz w:val="20"/>
            <w:szCs w:val="20"/>
            <w:u w:val="single" w:color="auto"/>
            <w:color w:val="0000EE"/>
          </w:rPr>
          <w:t>Ponoi II Management, LLC</w:t>
        </w:r>
      </w:hyperlink>
    </w:p>
    <w:p>
      <w:pPr>
        <w:sectPr>
          <w:pgSz w:w="11900" w:h="16838" w:orient="portrait"/>
          <w:cols w:equalWidth="0" w:num="1">
            <w:col w:w="9979"/>
          </w:cols>
          <w:pgMar w:left="480" w:top="13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1260" w:type="dxa"/>
            <w:vAlign w:val="bottom"/>
          </w:tcPr>
          <w:p>
            <w:pPr>
              <w:spacing w:after="0"/>
              <w:rPr>
                <w:rFonts w:ascii="Arial" w:cs="Arial" w:eastAsia="Arial" w:hAnsi="Arial"/>
                <w:sz w:val="21"/>
                <w:szCs w:val="21"/>
                <w:u w:val="single" w:color="auto"/>
                <w:color w:val="0000EE"/>
              </w:rPr>
            </w:pPr>
            <w:hyperlink r:id="rId26">
              <w:r>
                <w:rPr>
                  <w:rFonts w:ascii="Arial" w:cs="Arial" w:eastAsia="Arial" w:hAnsi="Arial"/>
                  <w:sz w:val="21"/>
                  <w:szCs w:val="21"/>
                  <w:u w:val="single" w:color="auto"/>
                  <w:color w:val="0000EE"/>
                </w:rPr>
                <w:t>Kutzkey Tim</w:t>
              </w:r>
            </w:hyperlink>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76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660" w:type="dxa"/>
            <w:vAlign w:val="bottom"/>
            <w:gridSpan w:val="2"/>
          </w:tcPr>
          <w:p>
            <w:pPr>
              <w:spacing w:after="0"/>
              <w:rPr>
                <w:rFonts w:ascii="Arial" w:cs="Arial" w:eastAsia="Arial" w:hAnsi="Arial"/>
                <w:sz w:val="21"/>
                <w:szCs w:val="21"/>
                <w:u w:val="single" w:color="auto"/>
                <w:color w:val="0000EE"/>
              </w:rPr>
            </w:pPr>
            <w:hyperlink r:id="rId27">
              <w:r>
                <w:rPr>
                  <w:rFonts w:ascii="Arial" w:cs="Arial" w:eastAsia="Arial" w:hAnsi="Arial"/>
                  <w:sz w:val="21"/>
                  <w:szCs w:val="21"/>
                  <w:u w:val="single" w:color="auto"/>
                  <w:color w:val="0000EE"/>
                </w:rPr>
                <w:t>Column Group II GP, LP</w:t>
              </w:r>
            </w:hyperlink>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SUITE 500</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Arial" w:cs="Arial" w:eastAsia="Arial" w:hAnsi="Arial"/>
                <w:sz w:val="17"/>
                <w:szCs w:val="17"/>
                <w:color w:val="0000FF"/>
              </w:rPr>
              <w:t>SAN</w:t>
            </w:r>
          </w:p>
        </w:tc>
        <w:tc>
          <w:tcPr>
            <w:tcW w:w="140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50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6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40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296545</wp:posOffset>
            </wp:positionH>
            <wp:positionV relativeFrom="page">
              <wp:posOffset>88900</wp:posOffset>
            </wp:positionV>
            <wp:extent cx="2783840" cy="5339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2783840" cy="53390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344 shares of Common Stock held directly by The Column Group III, LP ("TCG III LP") and 388 shares of Common Stock held directly by The Column Group III-A, LP ("TCG III-A LP").</w:t>
      </w:r>
    </w:p>
    <w:p>
      <w:pPr>
        <w:spacing w:after="0" w:line="61" w:lineRule="exact"/>
        <w:rPr>
          <w:rFonts w:ascii="Arial" w:cs="Arial" w:eastAsia="Arial" w:hAnsi="Arial"/>
          <w:sz w:val="12"/>
          <w:szCs w:val="12"/>
          <w:color w:val="008000"/>
        </w:rPr>
      </w:pPr>
    </w:p>
    <w:p>
      <w:pPr>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1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20" w:right="1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50" w:lineRule="exact"/>
        <w:rPr>
          <w:rFonts w:ascii="Arial" w:cs="Arial" w:eastAsia="Arial" w:hAnsi="Arial"/>
          <w:sz w:val="13"/>
          <w:szCs w:val="13"/>
          <w:color w:val="008000"/>
        </w:rPr>
      </w:pPr>
    </w:p>
    <w:p>
      <w:pPr>
        <w:ind w:left="20" w:right="60" w:firstLine="7"/>
        <w:spacing w:after="0" w:line="245" w:lineRule="auto"/>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9" w:lineRule="exact"/>
        <w:rPr>
          <w:rFonts w:ascii="Arial" w:cs="Arial" w:eastAsia="Arial" w:hAnsi="Arial"/>
          <w:sz w:val="13"/>
          <w:szCs w:val="13"/>
          <w:color w:val="008000"/>
        </w:rPr>
      </w:pPr>
    </w:p>
    <w:p>
      <w:pPr>
        <w:ind w:left="220" w:hanging="193"/>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David V. Goeddel and Alena Z. Goeddel serve as co-trustee.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Due to SEC restrictions on the number of reporting owners, this is Form 1 of 2.</w:t>
      </w:r>
    </w:p>
    <w:p>
      <w:pPr>
        <w:spacing w:after="0" w:line="6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08/03/2020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312" w:right="519" w:bottom="1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24" Type="http://schemas.openxmlformats.org/officeDocument/2006/relationships/image" Target="media/image9.png"/><Relationship Id="rId28" Type="http://schemas.openxmlformats.org/officeDocument/2006/relationships/image" Target="media/image10.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00420" TargetMode="External"/><Relationship Id="rId19" Type="http://schemas.openxmlformats.org/officeDocument/2006/relationships/hyperlink" Target="http://www.sec.gov/cgi-bin/browse-edgar?action=getcompany&amp;CIK=0001614627" TargetMode="External"/><Relationship Id="rId20" Type="http://schemas.openxmlformats.org/officeDocument/2006/relationships/hyperlink" Target="http://www.sec.gov/cgi-bin/browse-edgar?action=getcompany&amp;CIK=0001645340" TargetMode="External"/><Relationship Id="rId21" Type="http://schemas.openxmlformats.org/officeDocument/2006/relationships/hyperlink" Target="http://www.sec.gov/cgi-bin/browse-edgar?action=getcompany&amp;CIK=0001707230" TargetMode="External"/><Relationship Id="rId22" Type="http://schemas.openxmlformats.org/officeDocument/2006/relationships/hyperlink" Target="http://www.sec.gov/cgi-bin/browse-edgar?action=getcompany&amp;CIK=0001720702" TargetMode="External"/><Relationship Id="rId23" Type="http://schemas.openxmlformats.org/officeDocument/2006/relationships/hyperlink" Target="http://www.sec.gov/cgi-bin/browse-edgar?action=getcompany&amp;CIK=0001732601" TargetMode="External"/><Relationship Id="rId25" Type="http://schemas.openxmlformats.org/officeDocument/2006/relationships/hyperlink" Target="http://www.sec.gov/cgi-bin/browse-edgar?action=getcompany&amp;CIK=0001746488" TargetMode="External"/><Relationship Id="rId26" Type="http://schemas.openxmlformats.org/officeDocument/2006/relationships/hyperlink" Target="http://www.sec.gov/cgi-bin/browse-edgar?action=getcompany&amp;CIK=0001614186" TargetMode="External"/><Relationship Id="rId27" Type="http://schemas.openxmlformats.org/officeDocument/2006/relationships/hyperlink" Target="http://www.sec.gov/cgi-bin/browse-edgar?action=getcompany&amp;CIK=0001645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2020-08-03T16:56:53Z</dcterms:created>
  <dcterms:modified xsi:type="dcterms:W3CDTF">2020-08-03T16:56:53Z</dcterms:modified>
</cp:coreProperties>
</file>