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6550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655066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20" w:type="dxa"/>
            <w:vAlign w:val="bottom"/>
            <w:gridSpan w:val="5"/>
          </w:tcPr>
          <w:p>
            <w:pPr>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300" w:type="dxa"/>
            <w:vAlign w:val="bottom"/>
          </w:tcPr>
          <w:p>
            <w:pPr>
              <w:spacing w:after="0"/>
              <w:rPr>
                <w:sz w:val="21"/>
                <w:szCs w:val="21"/>
                <w:color w:val="auto"/>
              </w:rPr>
            </w:pPr>
          </w:p>
        </w:tc>
        <w:tc>
          <w:tcPr>
            <w:tcW w:w="3580" w:type="dxa"/>
            <w:vAlign w:val="bottom"/>
            <w:gridSpan w:val="3"/>
          </w:tcPr>
          <w:p>
            <w:pPr>
              <w:ind w:left="1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5"/>
                <w:szCs w:val="15"/>
                <w:color w:val="auto"/>
              </w:rPr>
            </w:pPr>
          </w:p>
        </w:tc>
        <w:tc>
          <w:tcPr>
            <w:tcW w:w="3580" w:type="dxa"/>
            <w:vAlign w:val="bottom"/>
            <w:gridSpan w:val="3"/>
          </w:tcPr>
          <w:p>
            <w:pPr>
              <w:ind w:left="1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NGM BIOPHARMACEUTICALS INC </w:t>
              </w:r>
            </w:hyperlink>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1300" w:type="dxa"/>
            <w:vAlign w:val="bottom"/>
          </w:tcPr>
          <w:p>
            <w:pPr>
              <w:spacing w:after="0"/>
              <w:rPr>
                <w:sz w:val="4"/>
                <w:szCs w:val="4"/>
                <w:color w:val="auto"/>
              </w:rPr>
            </w:pPr>
          </w:p>
        </w:tc>
        <w:tc>
          <w:tcPr>
            <w:tcW w:w="3580" w:type="dxa"/>
            <w:vAlign w:val="bottom"/>
            <w:gridSpan w:val="3"/>
            <w:vMerge w:val="restart"/>
          </w:tcPr>
          <w:p>
            <w:pPr>
              <w:ind w:left="16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3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480"/>
              <w:spacing w:after="0"/>
              <w:rPr>
                <w:sz w:val="20"/>
                <w:szCs w:val="20"/>
                <w:color w:val="auto"/>
              </w:rPr>
            </w:pPr>
            <w:r>
              <w:rPr>
                <w:rFonts w:ascii="Arial" w:cs="Arial" w:eastAsia="Arial" w:hAnsi="Arial"/>
                <w:sz w:val="13"/>
                <w:szCs w:val="13"/>
                <w:color w:val="auto"/>
              </w:rPr>
              <w:t>(First)</w:t>
            </w:r>
          </w:p>
        </w:tc>
        <w:tc>
          <w:tcPr>
            <w:tcW w:w="4880" w:type="dxa"/>
            <w:vAlign w:val="bottom"/>
            <w:gridSpan w:val="4"/>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 w:right="760" w:hanging="2"/>
        <w:spacing w:after="0" w:line="237"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41" w:val="left"/>
          <w:tab w:leader="none" w:pos="1841" w:val="left"/>
          <w:tab w:leader="none" w:pos="216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2" w:lineRule="exact"/>
        <w:rPr>
          <w:sz w:val="20"/>
          <w:szCs w:val="20"/>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62"/>
        <w:spacing w:after="0"/>
        <w:tabs>
          <w:tab w:leader="none" w:pos="216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99" w:lineRule="exact"/>
        <w:rPr>
          <w:sz w:val="20"/>
          <w:szCs w:val="20"/>
          <w:color w:val="auto"/>
        </w:rPr>
      </w:pPr>
    </w:p>
    <w:p>
      <w:pPr>
        <w:sectPr>
          <w:pgSz w:w="11900" w:h="16838" w:orient="portrait"/>
          <w:cols w:equalWidth="0" w:num="2">
            <w:col w:w="7480" w:space="558"/>
            <w:col w:w="3482"/>
          </w:cols>
          <w:pgMar w:left="240" w:top="221" w:right="139" w:bottom="0" w:gutter="0" w:footer="0" w:header="0"/>
          <w:type w:val="continuous"/>
        </w:sectPr>
      </w:pPr>
    </w:p>
    <w:tbl>
      <w:tblPr>
        <w:tblLayout w:type="fixed"/>
        <w:tblInd w:w="0" w:type="dxa"/>
        <w:tblCellMar>
          <w:top w:w="0" w:type="dxa"/>
          <w:left w:w="0" w:type="dxa"/>
          <w:bottom w:w="0" w:type="dxa"/>
          <w:right w:w="0" w:type="dxa"/>
        </w:tblCellMar>
      </w:tblP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gridSpan w:val="4"/>
            <w:vMerge w:val="restart"/>
          </w:tcPr>
          <w:p>
            <w:pPr>
              <w:ind w:left="20"/>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4"/>
            <w:vMerge w:val="continue"/>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20" w:type="dxa"/>
            <w:vAlign w:val="bottom"/>
            <w:gridSpan w:val="7"/>
            <w:vMerge w:val="continue"/>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SUITE 500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gridSpan w:val="5"/>
          </w:tcPr>
          <w:p>
            <w:pPr>
              <w:ind w:left="360"/>
              <w:spacing w:after="0"/>
              <w:rPr>
                <w:sz w:val="20"/>
                <w:szCs w:val="20"/>
                <w:color w:val="auto"/>
              </w:rPr>
            </w:pPr>
            <w:r>
              <w:rPr>
                <w:rFonts w:ascii="Arial" w:cs="Arial" w:eastAsia="Arial" w:hAnsi="Arial"/>
                <w:sz w:val="17"/>
                <w:szCs w:val="17"/>
                <w:color w:val="0000FF"/>
              </w:rPr>
              <w:t>04/08/2019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10"/>
                <w:szCs w:val="10"/>
                <w:color w:val="auto"/>
              </w:rPr>
            </w:pPr>
          </w:p>
        </w:tc>
        <w:tc>
          <w:tcPr>
            <w:tcW w:w="354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80" w:type="dxa"/>
            <w:vAlign w:val="bottom"/>
            <w:gridSpan w:val="8"/>
            <w:vMerge w:val="continue"/>
          </w:tcPr>
          <w:p>
            <w:pPr>
              <w:spacing w:after="0"/>
              <w:rPr>
                <w:sz w:val="7"/>
                <w:szCs w:val="7"/>
                <w:color w:val="auto"/>
              </w:rPr>
            </w:pPr>
          </w:p>
        </w:tc>
        <w:tc>
          <w:tcPr>
            <w:tcW w:w="400" w:type="dxa"/>
            <w:vAlign w:val="bottom"/>
          </w:tcPr>
          <w:p>
            <w:pPr>
              <w:spacing w:after="0"/>
              <w:rPr>
                <w:sz w:val="7"/>
                <w:szCs w:val="7"/>
                <w:color w:val="auto"/>
              </w:rPr>
            </w:pPr>
          </w:p>
        </w:tc>
        <w:tc>
          <w:tcPr>
            <w:tcW w:w="35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94158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4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100" w:type="dxa"/>
            <w:vAlign w:val="bottom"/>
            <w:gridSpan w:val="6"/>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1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gridSpan w:val="2"/>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80" w:type="dxa"/>
            <w:vAlign w:val="bottom"/>
            <w:tcBorders>
              <w:bottom w:val="single" w:sz="8" w:color="2C2C2C"/>
            </w:tcBorders>
            <w:gridSpan w:val="5"/>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4"/>
          </w:tcPr>
          <w:p>
            <w:pPr>
              <w:ind w:left="6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4"/>
                <w:szCs w:val="14"/>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w w:val="95"/>
              </w:rPr>
              <w:t>6. Ownership</w:t>
            </w:r>
          </w:p>
        </w:tc>
        <w:tc>
          <w:tcPr>
            <w:tcW w:w="1420" w:type="dxa"/>
            <w:vAlign w:val="bottom"/>
            <w:gridSpan w:val="4"/>
          </w:tcPr>
          <w:p>
            <w:pPr>
              <w:ind w:left="2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600"/>
              <w:spacing w:after="0" w:line="126"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80"/>
              <w:spacing w:after="0" w:line="126" w:lineRule="exact"/>
              <w:rPr>
                <w:sz w:val="20"/>
                <w:szCs w:val="20"/>
                <w:color w:val="auto"/>
              </w:rPr>
            </w:pPr>
            <w:r>
              <w:rPr>
                <w:rFonts w:ascii="Arial" w:cs="Arial" w:eastAsia="Arial" w:hAnsi="Arial"/>
                <w:sz w:val="12"/>
                <w:szCs w:val="12"/>
                <w:b w:val="1"/>
                <w:bCs w:val="1"/>
                <w:color w:val="auto"/>
              </w:rPr>
              <w:t>Form: Direct</w:t>
            </w:r>
          </w:p>
        </w:tc>
        <w:tc>
          <w:tcPr>
            <w:tcW w:w="1420" w:type="dxa"/>
            <w:vAlign w:val="bottom"/>
            <w:gridSpan w:val="4"/>
          </w:tcPr>
          <w:p>
            <w:pPr>
              <w:ind w:left="200"/>
              <w:spacing w:after="0" w:line="126"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4"/>
          </w:tcPr>
          <w:p>
            <w:pPr>
              <w:ind w:left="6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2340" w:type="dxa"/>
            <w:vAlign w:val="bottom"/>
            <w:gridSpan w:val="5"/>
          </w:tcPr>
          <w:p>
            <w:pPr>
              <w:ind w:left="180"/>
              <w:spacing w:after="0" w:line="129" w:lineRule="exact"/>
              <w:rPr>
                <w:sz w:val="20"/>
                <w:szCs w:val="20"/>
                <w:color w:val="auto"/>
              </w:rPr>
            </w:pPr>
            <w:r>
              <w:rPr>
                <w:rFonts w:ascii="Arial" w:cs="Arial" w:eastAsia="Arial" w:hAnsi="Arial"/>
                <w:sz w:val="12"/>
                <w:szCs w:val="12"/>
                <w:b w:val="1"/>
                <w:bCs w:val="1"/>
                <w:color w:val="auto"/>
              </w:rPr>
              <w:t>(D) or Indirect   Ownership (Instr.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Owned Following</w:t>
            </w:r>
          </w:p>
        </w:tc>
        <w:tc>
          <w:tcPr>
            <w:tcW w:w="9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4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gridSpan w:val="4"/>
            <w:vMerge w:val="restart"/>
          </w:tcPr>
          <w:p>
            <w:pPr>
              <w:ind w:left="700"/>
              <w:spacing w:after="0"/>
              <w:rPr>
                <w:sz w:val="20"/>
                <w:szCs w:val="20"/>
                <w:color w:val="auto"/>
              </w:rPr>
            </w:pPr>
            <w:r>
              <w:rPr>
                <w:rFonts w:ascii="Arial" w:cs="Arial" w:eastAsia="Arial" w:hAnsi="Arial"/>
                <w:sz w:val="17"/>
                <w:szCs w:val="17"/>
                <w:color w:val="0000FF"/>
              </w:rPr>
              <w:t>04/08/2019</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w:t>
            </w:r>
          </w:p>
        </w:tc>
        <w:tc>
          <w:tcPr>
            <w:tcW w:w="920" w:type="dxa"/>
            <w:vAlign w:val="bottom"/>
            <w:vMerge w:val="restart"/>
          </w:tcPr>
          <w:p>
            <w:pPr>
              <w:jc w:val="right"/>
              <w:ind w:right="19"/>
              <w:spacing w:after="0"/>
              <w:rPr>
                <w:sz w:val="20"/>
                <w:szCs w:val="20"/>
                <w:color w:val="auto"/>
              </w:rPr>
            </w:pPr>
            <w:r>
              <w:rPr>
                <w:rFonts w:ascii="Arial" w:cs="Arial" w:eastAsia="Arial" w:hAnsi="Arial"/>
                <w:sz w:val="17"/>
                <w:szCs w:val="17"/>
                <w:color w:val="0000FF"/>
                <w:w w:val="96"/>
              </w:rPr>
              <w:t>13,283,134</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400" w:type="dxa"/>
            <w:vAlign w:val="bottom"/>
            <w:vMerge w:val="restart"/>
          </w:tcPr>
          <w:p>
            <w:pPr>
              <w:jc w:val="right"/>
              <w:ind w:right="1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1"/>
                <w:szCs w:val="21"/>
                <w:color w:val="auto"/>
              </w:rPr>
            </w:pPr>
          </w:p>
        </w:tc>
        <w:tc>
          <w:tcPr>
            <w:tcW w:w="1040" w:type="dxa"/>
            <w:vAlign w:val="bottom"/>
            <w:gridSpan w:val="2"/>
            <w:vMerge w:val="restart"/>
          </w:tcPr>
          <w:p>
            <w:pPr>
              <w:jc w:val="center"/>
              <w:ind w:left="54"/>
              <w:spacing w:after="0"/>
              <w:rPr>
                <w:sz w:val="20"/>
                <w:szCs w:val="20"/>
                <w:color w:val="auto"/>
              </w:rPr>
            </w:pPr>
            <w:r>
              <w:rPr>
                <w:rFonts w:ascii="Arial" w:cs="Arial" w:eastAsia="Arial" w:hAnsi="Arial"/>
                <w:sz w:val="17"/>
                <w:szCs w:val="17"/>
                <w:color w:val="0000FF"/>
                <w:w w:val="89"/>
              </w:rPr>
              <w:t>13,759,091</w:t>
            </w:r>
          </w:p>
        </w:tc>
        <w:tc>
          <w:tcPr>
            <w:tcW w:w="920" w:type="dxa"/>
            <w:vAlign w:val="bottom"/>
            <w:vMerge w:val="restart"/>
          </w:tcPr>
          <w:p>
            <w:pPr>
              <w:ind w:left="560"/>
              <w:spacing w:after="0"/>
              <w:rPr>
                <w:sz w:val="20"/>
                <w:szCs w:val="20"/>
                <w:color w:val="auto"/>
              </w:rPr>
            </w:pPr>
            <w:r>
              <w:rPr>
                <w:rFonts w:ascii="Arial" w:cs="Arial" w:eastAsia="Arial" w:hAnsi="Arial"/>
                <w:sz w:val="17"/>
                <w:szCs w:val="17"/>
                <w:color w:val="0000FF"/>
              </w:rPr>
              <w:t>I</w:t>
            </w:r>
          </w:p>
        </w:tc>
        <w:tc>
          <w:tcPr>
            <w:tcW w:w="680" w:type="dxa"/>
            <w:vAlign w:val="bottom"/>
          </w:tcPr>
          <w:p>
            <w:pPr>
              <w:ind w:left="200"/>
              <w:spacing w:after="0"/>
              <w:rPr>
                <w:sz w:val="20"/>
                <w:szCs w:val="20"/>
                <w:color w:val="auto"/>
              </w:rPr>
            </w:pPr>
            <w:r>
              <w:rPr>
                <w:rFonts w:ascii="Arial" w:cs="Arial" w:eastAsia="Arial" w:hAnsi="Arial"/>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gridSpan w:val="4"/>
            <w:vMerge w:val="restart"/>
          </w:tcPr>
          <w:p>
            <w:pPr>
              <w:ind w:left="200"/>
              <w:spacing w:after="0"/>
              <w:rPr>
                <w:sz w:val="20"/>
                <w:szCs w:val="20"/>
                <w:color w:val="auto"/>
              </w:rPr>
            </w:pPr>
            <w:r>
              <w:rPr>
                <w:rFonts w:ascii="Arial" w:cs="Arial" w:eastAsia="Arial" w:hAnsi="Arial"/>
                <w:sz w:val="17"/>
                <w:szCs w:val="17"/>
                <w:color w:val="0000FF"/>
              </w:rPr>
              <w:t>Footnotes</w:t>
            </w:r>
            <w:r>
              <w:rPr>
                <w:rFonts w:ascii="Arial" w:cs="Arial" w:eastAsia="Arial" w:hAnsi="Arial"/>
                <w:sz w:val="21"/>
                <w:szCs w:val="21"/>
                <w:color w:val="008000"/>
                <w:vertAlign w:val="superscript"/>
              </w:rPr>
              <w:t>(2)(3)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1680" w:type="dxa"/>
            <w:vAlign w:val="bottom"/>
            <w:tcBorders>
              <w:top w:val="single" w:sz="8" w:color="2C2C2C"/>
            </w:tcBorders>
            <w:gridSpan w:val="4"/>
            <w:vMerge w:val="restart"/>
          </w:tcPr>
          <w:p>
            <w:pPr>
              <w:ind w:left="700"/>
              <w:spacing w:after="0"/>
              <w:rPr>
                <w:sz w:val="20"/>
                <w:szCs w:val="20"/>
                <w:color w:val="auto"/>
              </w:rPr>
            </w:pPr>
            <w:r>
              <w:rPr>
                <w:rFonts w:ascii="Arial" w:cs="Arial" w:eastAsia="Arial" w:hAnsi="Arial"/>
                <w:sz w:val="17"/>
                <w:szCs w:val="17"/>
                <w:color w:val="0000FF"/>
              </w:rPr>
              <w:t>04/08/2019</w:t>
            </w:r>
          </w:p>
        </w:tc>
        <w:tc>
          <w:tcPr>
            <w:tcW w:w="2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0000FF"/>
              </w:rPr>
              <w:t>P</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0"/>
              </w:rPr>
              <w:t>1,875,000</w:t>
            </w:r>
            <w:r>
              <w:rPr>
                <w:rFonts w:ascii="Arial" w:cs="Arial" w:eastAsia="Arial" w:hAnsi="Arial"/>
                <w:sz w:val="21"/>
                <w:szCs w:val="21"/>
                <w:color w:val="008000"/>
                <w:w w:val="90"/>
                <w:vertAlign w:val="superscript"/>
              </w:rPr>
              <w:t>(4)</w:t>
            </w:r>
          </w:p>
        </w:tc>
        <w:tc>
          <w:tcPr>
            <w:tcW w:w="5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0000FF"/>
              </w:rPr>
              <w:t>A</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w:t>
            </w:r>
          </w:p>
        </w:tc>
        <w:tc>
          <w:tcPr>
            <w:tcW w:w="16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left="54"/>
              <w:spacing w:after="0"/>
              <w:rPr>
                <w:sz w:val="20"/>
                <w:szCs w:val="20"/>
                <w:color w:val="auto"/>
              </w:rPr>
            </w:pPr>
            <w:r>
              <w:rPr>
                <w:rFonts w:ascii="Arial" w:cs="Arial" w:eastAsia="Arial" w:hAnsi="Arial"/>
                <w:sz w:val="17"/>
                <w:szCs w:val="17"/>
                <w:color w:val="0000FF"/>
                <w:w w:val="89"/>
              </w:rPr>
              <w:t>15,634,091</w:t>
            </w:r>
          </w:p>
        </w:tc>
        <w:tc>
          <w:tcPr>
            <w:tcW w:w="920" w:type="dxa"/>
            <w:vAlign w:val="bottom"/>
            <w:tcBorders>
              <w:top w:val="single" w:sz="8" w:color="2C2C2C"/>
            </w:tcBorders>
            <w:vMerge w:val="restart"/>
          </w:tcPr>
          <w:p>
            <w:pPr>
              <w:ind w:left="560"/>
              <w:spacing w:after="0"/>
              <w:rPr>
                <w:sz w:val="20"/>
                <w:szCs w:val="20"/>
                <w:color w:val="auto"/>
              </w:rPr>
            </w:pPr>
            <w:r>
              <w:rPr>
                <w:rFonts w:ascii="Arial" w:cs="Arial" w:eastAsia="Arial" w:hAnsi="Arial"/>
                <w:sz w:val="17"/>
                <w:szCs w:val="17"/>
                <w:color w:val="0000FF"/>
              </w:rPr>
              <w:t>I</w:t>
            </w:r>
          </w:p>
        </w:tc>
        <w:tc>
          <w:tcPr>
            <w:tcW w:w="680" w:type="dxa"/>
            <w:vAlign w:val="bottom"/>
            <w:tcBorders>
              <w:top w:val="single" w:sz="8" w:color="2C2C2C"/>
            </w:tcBorders>
          </w:tcPr>
          <w:p>
            <w:pPr>
              <w:ind w:left="200"/>
              <w:spacing w:after="0"/>
              <w:rPr>
                <w:sz w:val="20"/>
                <w:szCs w:val="20"/>
                <w:color w:val="auto"/>
              </w:rPr>
            </w:pPr>
            <w:r>
              <w:rPr>
                <w:rFonts w:ascii="Arial" w:cs="Arial" w:eastAsia="Arial" w:hAnsi="Arial"/>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420" w:type="dxa"/>
            <w:vAlign w:val="bottom"/>
            <w:gridSpan w:val="4"/>
            <w:vMerge w:val="restart"/>
          </w:tcPr>
          <w:p>
            <w:pPr>
              <w:ind w:left="200"/>
              <w:spacing w:after="0" w:line="266" w:lineRule="exact"/>
              <w:rPr>
                <w:sz w:val="20"/>
                <w:szCs w:val="20"/>
                <w:color w:val="auto"/>
              </w:rPr>
            </w:pPr>
            <w:r>
              <w:rPr>
                <w:rFonts w:ascii="Arial" w:cs="Arial" w:eastAsia="Arial" w:hAnsi="Arial"/>
                <w:sz w:val="30"/>
                <w:szCs w:val="30"/>
                <w:color w:val="0000FF"/>
                <w:w w:val="95"/>
                <w:vertAlign w:val="subscript"/>
              </w:rPr>
              <w:t>Footnotes</w:t>
            </w:r>
            <w:r>
              <w:rPr>
                <w:rFonts w:ascii="Arial" w:cs="Arial" w:eastAsia="Arial" w:hAnsi="Arial"/>
                <w:sz w:val="10"/>
                <w:szCs w:val="10"/>
                <w:color w:val="008000"/>
                <w:w w:val="95"/>
              </w:rPr>
              <w:t>(2)(3)(4)</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80" w:type="dxa"/>
            <w:vAlign w:val="bottom"/>
            <w:gridSpan w:val="15"/>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86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tcPr>
          <w:p>
            <w:pPr>
              <w:jc w:val="center"/>
              <w:ind w:right="21"/>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tcPr>
          <w:p>
            <w:pPr>
              <w:jc w:val="center"/>
              <w:ind w:right="21"/>
              <w:spacing w:after="0" w:line="129"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6"/>
              </w:rPr>
              <w:t>Derivative Security</w:t>
            </w:r>
          </w:p>
        </w:tc>
        <w:tc>
          <w:tcPr>
            <w:tcW w:w="280" w:type="dxa"/>
            <w:vAlign w:val="bottom"/>
          </w:tcPr>
          <w:p>
            <w:pPr>
              <w:spacing w:after="0"/>
              <w:rPr>
                <w:sz w:val="11"/>
                <w:szCs w:val="11"/>
                <w:color w:val="auto"/>
              </w:rPr>
            </w:pPr>
          </w:p>
        </w:tc>
        <w:tc>
          <w:tcPr>
            <w:tcW w:w="760" w:type="dxa"/>
            <w:vAlign w:val="bottom"/>
          </w:tcPr>
          <w:p>
            <w:pPr>
              <w:jc w:val="center"/>
              <w:ind w:right="121"/>
              <w:spacing w:after="0" w:line="129" w:lineRule="exact"/>
              <w:rPr>
                <w:sz w:val="20"/>
                <w:szCs w:val="20"/>
                <w:color w:val="auto"/>
              </w:rPr>
            </w:pPr>
            <w:r>
              <w:rPr>
                <w:rFonts w:ascii="Arial" w:cs="Arial" w:eastAsia="Arial" w:hAnsi="Arial"/>
                <w:sz w:val="12"/>
                <w:szCs w:val="12"/>
                <w:b w:val="1"/>
                <w:bCs w:val="1"/>
                <w:color w:val="auto"/>
                <w:w w:val="97"/>
              </w:rPr>
              <w:t>Security</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760" w:type="dxa"/>
            <w:vAlign w:val="bottom"/>
          </w:tcPr>
          <w:p>
            <w:pPr>
              <w:jc w:val="center"/>
              <w:ind w:right="121"/>
              <w:spacing w:after="0" w:line="129" w:lineRule="exact"/>
              <w:rPr>
                <w:sz w:val="20"/>
                <w:szCs w:val="20"/>
                <w:color w:val="auto"/>
              </w:rPr>
            </w:pPr>
            <w:r>
              <w:rPr>
                <w:rFonts w:ascii="Arial" w:cs="Arial" w:eastAsia="Arial" w:hAnsi="Arial"/>
                <w:sz w:val="12"/>
                <w:szCs w:val="12"/>
                <w:b w:val="1"/>
                <w:bCs w:val="1"/>
                <w:color w:val="auto"/>
                <w:w w:val="97"/>
              </w:rPr>
              <w:t>(Instr. 5)</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9"/>
              </w:rPr>
              <w:t>Disposed 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(Instr. 3, 4 and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Amount or</w:t>
            </w:r>
          </w:p>
        </w:tc>
        <w:tc>
          <w:tcPr>
            <w:tcW w:w="76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jc w:val="center"/>
              <w:ind w:left="119"/>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8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Number 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Convertible</w:t>
            </w:r>
          </w:p>
        </w:tc>
        <w:tc>
          <w:tcPr>
            <w:tcW w:w="620" w:type="dxa"/>
            <w:vAlign w:val="bottom"/>
          </w:tcPr>
          <w:p>
            <w:pPr>
              <w:ind w:left="320"/>
              <w:spacing w:after="0" w:line="125" w:lineRule="exact"/>
              <w:rPr>
                <w:sz w:val="20"/>
                <w:szCs w:val="20"/>
                <w:color w:val="auto"/>
              </w:rPr>
            </w:pPr>
            <w:r>
              <w:rPr>
                <w:rFonts w:ascii="Arial" w:cs="Arial" w:eastAsia="Arial" w:hAnsi="Arial"/>
                <w:sz w:val="11"/>
                <w:szCs w:val="11"/>
                <w:color w:val="008000"/>
              </w:rPr>
              <w:t>(1)</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04/08/2019</w:t>
            </w:r>
          </w:p>
        </w:tc>
        <w:tc>
          <w:tcPr>
            <w:tcW w:w="1100" w:type="dxa"/>
            <w:vAlign w:val="bottom"/>
          </w:tcPr>
          <w:p>
            <w:pPr>
              <w:spacing w:after="0"/>
              <w:rPr>
                <w:sz w:val="10"/>
                <w:szCs w:val="10"/>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10"/>
                <w:szCs w:val="10"/>
                <w:color w:val="auto"/>
              </w:rPr>
            </w:pPr>
          </w:p>
        </w:tc>
        <w:tc>
          <w:tcPr>
            <w:tcW w:w="980" w:type="dxa"/>
            <w:vAlign w:val="bottom"/>
            <w:gridSpan w:val="3"/>
            <w:vMerge w:val="restart"/>
          </w:tcPr>
          <w:p>
            <w:pPr>
              <w:jc w:val="center"/>
              <w:ind w:left="300"/>
              <w:spacing w:after="0"/>
              <w:rPr>
                <w:sz w:val="20"/>
                <w:szCs w:val="20"/>
                <w:color w:val="auto"/>
              </w:rPr>
            </w:pPr>
            <w:r>
              <w:rPr>
                <w:rFonts w:ascii="Arial" w:cs="Arial" w:eastAsia="Arial" w:hAnsi="Arial"/>
                <w:sz w:val="13"/>
                <w:szCs w:val="13"/>
                <w:color w:val="0000FF"/>
                <w:w w:val="89"/>
              </w:rPr>
              <w:t>12,300,000</w:t>
            </w:r>
          </w:p>
        </w:tc>
        <w:tc>
          <w:tcPr>
            <w:tcW w:w="620" w:type="dxa"/>
            <w:vAlign w:val="bottom"/>
          </w:tcPr>
          <w:p>
            <w:pPr>
              <w:ind w:left="360"/>
              <w:spacing w:after="0" w:line="125" w:lineRule="exact"/>
              <w:rPr>
                <w:sz w:val="20"/>
                <w:szCs w:val="20"/>
                <w:color w:val="auto"/>
              </w:rPr>
            </w:pPr>
            <w:r>
              <w:rPr>
                <w:rFonts w:ascii="Arial" w:cs="Arial" w:eastAsia="Arial" w:hAnsi="Arial"/>
                <w:sz w:val="11"/>
                <w:szCs w:val="11"/>
                <w:color w:val="008000"/>
              </w:rPr>
              <w:t>(1)</w:t>
            </w:r>
          </w:p>
        </w:tc>
        <w:tc>
          <w:tcPr>
            <w:tcW w:w="920" w:type="dxa"/>
            <w:vAlign w:val="bottom"/>
          </w:tcPr>
          <w:p>
            <w:pPr>
              <w:jc w:val="center"/>
              <w:ind w:left="139"/>
              <w:spacing w:after="0" w:line="125" w:lineRule="exact"/>
              <w:rPr>
                <w:sz w:val="20"/>
                <w:szCs w:val="20"/>
                <w:color w:val="auto"/>
              </w:rPr>
            </w:pPr>
            <w:r>
              <w:rPr>
                <w:rFonts w:ascii="Arial" w:cs="Arial" w:eastAsia="Arial" w:hAnsi="Arial"/>
                <w:sz w:val="11"/>
                <w:szCs w:val="11"/>
                <w:color w:val="008000"/>
                <w:w w:val="88"/>
              </w:rPr>
              <w:t>(1)</w:t>
            </w:r>
          </w:p>
        </w:tc>
        <w:tc>
          <w:tcPr>
            <w:tcW w:w="560" w:type="dxa"/>
            <w:vAlign w:val="bottom"/>
          </w:tcPr>
          <w:p>
            <w:pPr>
              <w:ind w:left="60"/>
              <w:spacing w:after="0" w:line="125" w:lineRule="exact"/>
              <w:rPr>
                <w:sz w:val="20"/>
                <w:szCs w:val="20"/>
                <w:color w:val="auto"/>
              </w:rPr>
            </w:pPr>
            <w:r>
              <w:rPr>
                <w:rFonts w:ascii="Arial" w:cs="Arial" w:eastAsia="Arial" w:hAnsi="Arial"/>
                <w:sz w:val="13"/>
                <w:szCs w:val="13"/>
                <w:color w:val="0000FF"/>
                <w:w w:val="90"/>
              </w:rPr>
              <w:t>Common</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0000FF"/>
                <w:w w:val="92"/>
              </w:rPr>
              <w:t>6,150,000</w:t>
            </w:r>
          </w:p>
        </w:tc>
        <w:tc>
          <w:tcPr>
            <w:tcW w:w="760" w:type="dxa"/>
            <w:vAlign w:val="bottom"/>
            <w:vMerge w:val="restart"/>
          </w:tcPr>
          <w:p>
            <w:pPr>
              <w:jc w:val="center"/>
              <w:ind w:right="1"/>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84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gridSpan w:val="3"/>
          </w:tcPr>
          <w:p>
            <w:pPr>
              <w:ind w:left="60"/>
              <w:spacing w:after="0" w:line="158"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Convertible</w:t>
            </w:r>
          </w:p>
        </w:tc>
        <w:tc>
          <w:tcPr>
            <w:tcW w:w="620" w:type="dxa"/>
            <w:vAlign w:val="bottom"/>
          </w:tcPr>
          <w:p>
            <w:pPr>
              <w:ind w:left="320"/>
              <w:spacing w:after="0" w:line="125" w:lineRule="exact"/>
              <w:rPr>
                <w:sz w:val="20"/>
                <w:szCs w:val="20"/>
                <w:color w:val="auto"/>
              </w:rPr>
            </w:pPr>
            <w:r>
              <w:rPr>
                <w:rFonts w:ascii="Arial" w:cs="Arial" w:eastAsia="Arial" w:hAnsi="Arial"/>
                <w:sz w:val="11"/>
                <w:szCs w:val="11"/>
                <w:color w:val="008000"/>
              </w:rPr>
              <w:t>(1)</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04/08/2019</w:t>
            </w:r>
          </w:p>
        </w:tc>
        <w:tc>
          <w:tcPr>
            <w:tcW w:w="1100" w:type="dxa"/>
            <w:vAlign w:val="bottom"/>
          </w:tcPr>
          <w:p>
            <w:pPr>
              <w:spacing w:after="0"/>
              <w:rPr>
                <w:sz w:val="10"/>
                <w:szCs w:val="10"/>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10"/>
                <w:szCs w:val="10"/>
                <w:color w:val="auto"/>
              </w:rPr>
            </w:pPr>
          </w:p>
        </w:tc>
        <w:tc>
          <w:tcPr>
            <w:tcW w:w="980" w:type="dxa"/>
            <w:vAlign w:val="bottom"/>
            <w:gridSpan w:val="3"/>
            <w:vMerge w:val="restart"/>
          </w:tcPr>
          <w:p>
            <w:pPr>
              <w:jc w:val="center"/>
              <w:ind w:left="280"/>
              <w:spacing w:after="0"/>
              <w:rPr>
                <w:sz w:val="20"/>
                <w:szCs w:val="20"/>
                <w:color w:val="auto"/>
              </w:rPr>
            </w:pPr>
            <w:r>
              <w:rPr>
                <w:rFonts w:ascii="Arial" w:cs="Arial" w:eastAsia="Arial" w:hAnsi="Arial"/>
                <w:sz w:val="13"/>
                <w:szCs w:val="13"/>
                <w:color w:val="0000FF"/>
                <w:w w:val="89"/>
              </w:rPr>
              <w:t>8,488,933</w:t>
            </w:r>
          </w:p>
        </w:tc>
        <w:tc>
          <w:tcPr>
            <w:tcW w:w="620" w:type="dxa"/>
            <w:vAlign w:val="bottom"/>
          </w:tcPr>
          <w:p>
            <w:pPr>
              <w:ind w:left="360"/>
              <w:spacing w:after="0" w:line="125" w:lineRule="exact"/>
              <w:rPr>
                <w:sz w:val="20"/>
                <w:szCs w:val="20"/>
                <w:color w:val="auto"/>
              </w:rPr>
            </w:pPr>
            <w:r>
              <w:rPr>
                <w:rFonts w:ascii="Arial" w:cs="Arial" w:eastAsia="Arial" w:hAnsi="Arial"/>
                <w:sz w:val="11"/>
                <w:szCs w:val="11"/>
                <w:color w:val="008000"/>
              </w:rPr>
              <w:t>(1)</w:t>
            </w:r>
          </w:p>
        </w:tc>
        <w:tc>
          <w:tcPr>
            <w:tcW w:w="920" w:type="dxa"/>
            <w:vAlign w:val="bottom"/>
          </w:tcPr>
          <w:p>
            <w:pPr>
              <w:jc w:val="center"/>
              <w:ind w:left="139"/>
              <w:spacing w:after="0" w:line="125" w:lineRule="exact"/>
              <w:rPr>
                <w:sz w:val="20"/>
                <w:szCs w:val="20"/>
                <w:color w:val="auto"/>
              </w:rPr>
            </w:pPr>
            <w:r>
              <w:rPr>
                <w:rFonts w:ascii="Arial" w:cs="Arial" w:eastAsia="Arial" w:hAnsi="Arial"/>
                <w:sz w:val="11"/>
                <w:szCs w:val="11"/>
                <w:color w:val="008000"/>
                <w:w w:val="88"/>
              </w:rPr>
              <w:t>(1)</w:t>
            </w:r>
          </w:p>
        </w:tc>
        <w:tc>
          <w:tcPr>
            <w:tcW w:w="560" w:type="dxa"/>
            <w:vAlign w:val="bottom"/>
          </w:tcPr>
          <w:p>
            <w:pPr>
              <w:ind w:left="60"/>
              <w:spacing w:after="0" w:line="125" w:lineRule="exact"/>
              <w:rPr>
                <w:sz w:val="20"/>
                <w:szCs w:val="20"/>
                <w:color w:val="auto"/>
              </w:rPr>
            </w:pPr>
            <w:r>
              <w:rPr>
                <w:rFonts w:ascii="Arial" w:cs="Arial" w:eastAsia="Arial" w:hAnsi="Arial"/>
                <w:sz w:val="13"/>
                <w:szCs w:val="13"/>
                <w:color w:val="0000FF"/>
                <w:w w:val="90"/>
              </w:rPr>
              <w:t>Common</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0000FF"/>
                <w:w w:val="92"/>
              </w:rPr>
              <w:t>4,244,467</w:t>
            </w:r>
          </w:p>
        </w:tc>
        <w:tc>
          <w:tcPr>
            <w:tcW w:w="760" w:type="dxa"/>
            <w:vAlign w:val="bottom"/>
            <w:vMerge w:val="restart"/>
          </w:tcPr>
          <w:p>
            <w:pPr>
              <w:jc w:val="center"/>
              <w:ind w:right="1"/>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84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gridSpan w:val="3"/>
          </w:tcPr>
          <w:p>
            <w:pPr>
              <w:ind w:left="60"/>
              <w:spacing w:after="0" w:line="158"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Convertible</w:t>
            </w:r>
          </w:p>
        </w:tc>
        <w:tc>
          <w:tcPr>
            <w:tcW w:w="620" w:type="dxa"/>
            <w:vAlign w:val="bottom"/>
          </w:tcPr>
          <w:p>
            <w:pPr>
              <w:ind w:left="320"/>
              <w:spacing w:after="0" w:line="125" w:lineRule="exact"/>
              <w:rPr>
                <w:sz w:val="20"/>
                <w:szCs w:val="20"/>
                <w:color w:val="auto"/>
              </w:rPr>
            </w:pPr>
            <w:r>
              <w:rPr>
                <w:rFonts w:ascii="Arial" w:cs="Arial" w:eastAsia="Arial" w:hAnsi="Arial"/>
                <w:sz w:val="11"/>
                <w:szCs w:val="11"/>
                <w:color w:val="008000"/>
              </w:rPr>
              <w:t>(1)</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04/08/2019</w:t>
            </w:r>
          </w:p>
        </w:tc>
        <w:tc>
          <w:tcPr>
            <w:tcW w:w="1100" w:type="dxa"/>
            <w:vAlign w:val="bottom"/>
          </w:tcPr>
          <w:p>
            <w:pPr>
              <w:spacing w:after="0"/>
              <w:rPr>
                <w:sz w:val="10"/>
                <w:szCs w:val="10"/>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10"/>
                <w:szCs w:val="10"/>
                <w:color w:val="auto"/>
              </w:rPr>
            </w:pPr>
          </w:p>
        </w:tc>
        <w:tc>
          <w:tcPr>
            <w:tcW w:w="980" w:type="dxa"/>
            <w:vAlign w:val="bottom"/>
            <w:gridSpan w:val="3"/>
            <w:vMerge w:val="restart"/>
          </w:tcPr>
          <w:p>
            <w:pPr>
              <w:jc w:val="center"/>
              <w:ind w:left="280"/>
              <w:spacing w:after="0"/>
              <w:rPr>
                <w:sz w:val="20"/>
                <w:szCs w:val="20"/>
                <w:color w:val="auto"/>
              </w:rPr>
            </w:pPr>
            <w:r>
              <w:rPr>
                <w:rFonts w:ascii="Arial" w:cs="Arial" w:eastAsia="Arial" w:hAnsi="Arial"/>
                <w:sz w:val="13"/>
                <w:szCs w:val="13"/>
                <w:color w:val="0000FF"/>
                <w:w w:val="89"/>
              </w:rPr>
              <w:t>2,377,334</w:t>
            </w:r>
          </w:p>
        </w:tc>
        <w:tc>
          <w:tcPr>
            <w:tcW w:w="620" w:type="dxa"/>
            <w:vAlign w:val="bottom"/>
          </w:tcPr>
          <w:p>
            <w:pPr>
              <w:ind w:left="360"/>
              <w:spacing w:after="0" w:line="125" w:lineRule="exact"/>
              <w:rPr>
                <w:sz w:val="20"/>
                <w:szCs w:val="20"/>
                <w:color w:val="auto"/>
              </w:rPr>
            </w:pPr>
            <w:r>
              <w:rPr>
                <w:rFonts w:ascii="Arial" w:cs="Arial" w:eastAsia="Arial" w:hAnsi="Arial"/>
                <w:sz w:val="11"/>
                <w:szCs w:val="11"/>
                <w:color w:val="008000"/>
              </w:rPr>
              <w:t>(1)</w:t>
            </w:r>
          </w:p>
        </w:tc>
        <w:tc>
          <w:tcPr>
            <w:tcW w:w="920" w:type="dxa"/>
            <w:vAlign w:val="bottom"/>
          </w:tcPr>
          <w:p>
            <w:pPr>
              <w:jc w:val="center"/>
              <w:ind w:left="139"/>
              <w:spacing w:after="0" w:line="125" w:lineRule="exact"/>
              <w:rPr>
                <w:sz w:val="20"/>
                <w:szCs w:val="20"/>
                <w:color w:val="auto"/>
              </w:rPr>
            </w:pPr>
            <w:r>
              <w:rPr>
                <w:rFonts w:ascii="Arial" w:cs="Arial" w:eastAsia="Arial" w:hAnsi="Arial"/>
                <w:sz w:val="11"/>
                <w:szCs w:val="11"/>
                <w:color w:val="008000"/>
                <w:w w:val="88"/>
              </w:rPr>
              <w:t>(1)</w:t>
            </w:r>
          </w:p>
        </w:tc>
        <w:tc>
          <w:tcPr>
            <w:tcW w:w="560" w:type="dxa"/>
            <w:vAlign w:val="bottom"/>
          </w:tcPr>
          <w:p>
            <w:pPr>
              <w:ind w:left="60"/>
              <w:spacing w:after="0" w:line="125" w:lineRule="exact"/>
              <w:rPr>
                <w:sz w:val="20"/>
                <w:szCs w:val="20"/>
                <w:color w:val="auto"/>
              </w:rPr>
            </w:pPr>
            <w:r>
              <w:rPr>
                <w:rFonts w:ascii="Arial" w:cs="Arial" w:eastAsia="Arial" w:hAnsi="Arial"/>
                <w:sz w:val="13"/>
                <w:szCs w:val="13"/>
                <w:color w:val="0000FF"/>
                <w:w w:val="90"/>
              </w:rPr>
              <w:t>Common</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0000FF"/>
                <w:w w:val="92"/>
              </w:rPr>
              <w:t>1,188,667</w:t>
            </w:r>
          </w:p>
        </w:tc>
        <w:tc>
          <w:tcPr>
            <w:tcW w:w="760" w:type="dxa"/>
            <w:vAlign w:val="bottom"/>
            <w:vMerge w:val="restart"/>
          </w:tcPr>
          <w:p>
            <w:pPr>
              <w:jc w:val="center"/>
              <w:ind w:right="1"/>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84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gridSpan w:val="3"/>
          </w:tcPr>
          <w:p>
            <w:pPr>
              <w:ind w:left="60"/>
              <w:spacing w:after="0" w:line="158"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Convertible</w:t>
            </w:r>
          </w:p>
        </w:tc>
        <w:tc>
          <w:tcPr>
            <w:tcW w:w="620" w:type="dxa"/>
            <w:vAlign w:val="bottom"/>
          </w:tcPr>
          <w:p>
            <w:pPr>
              <w:ind w:left="320"/>
              <w:spacing w:after="0" w:line="125" w:lineRule="exact"/>
              <w:rPr>
                <w:sz w:val="20"/>
                <w:szCs w:val="20"/>
                <w:color w:val="auto"/>
              </w:rPr>
            </w:pPr>
            <w:r>
              <w:rPr>
                <w:rFonts w:ascii="Arial" w:cs="Arial" w:eastAsia="Arial" w:hAnsi="Arial"/>
                <w:sz w:val="11"/>
                <w:szCs w:val="11"/>
                <w:color w:val="008000"/>
              </w:rPr>
              <w:t>(1)</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04/08/2019</w:t>
            </w:r>
          </w:p>
        </w:tc>
        <w:tc>
          <w:tcPr>
            <w:tcW w:w="1100" w:type="dxa"/>
            <w:vAlign w:val="bottom"/>
          </w:tcPr>
          <w:p>
            <w:pPr>
              <w:spacing w:after="0"/>
              <w:rPr>
                <w:sz w:val="10"/>
                <w:szCs w:val="10"/>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10"/>
                <w:szCs w:val="10"/>
                <w:color w:val="auto"/>
              </w:rPr>
            </w:pPr>
          </w:p>
        </w:tc>
        <w:tc>
          <w:tcPr>
            <w:tcW w:w="980" w:type="dxa"/>
            <w:vAlign w:val="bottom"/>
            <w:gridSpan w:val="3"/>
            <w:vMerge w:val="restart"/>
          </w:tcPr>
          <w:p>
            <w:pPr>
              <w:jc w:val="center"/>
              <w:ind w:left="280"/>
              <w:spacing w:after="0"/>
              <w:rPr>
                <w:sz w:val="20"/>
                <w:szCs w:val="20"/>
                <w:color w:val="auto"/>
              </w:rPr>
            </w:pPr>
            <w:r>
              <w:rPr>
                <w:rFonts w:ascii="Arial" w:cs="Arial" w:eastAsia="Arial" w:hAnsi="Arial"/>
                <w:sz w:val="13"/>
                <w:szCs w:val="13"/>
                <w:color w:val="0000FF"/>
                <w:w w:val="89"/>
              </w:rPr>
              <w:t>3,400,000</w:t>
            </w:r>
          </w:p>
        </w:tc>
        <w:tc>
          <w:tcPr>
            <w:tcW w:w="620" w:type="dxa"/>
            <w:vAlign w:val="bottom"/>
          </w:tcPr>
          <w:p>
            <w:pPr>
              <w:ind w:left="360"/>
              <w:spacing w:after="0" w:line="125" w:lineRule="exact"/>
              <w:rPr>
                <w:sz w:val="20"/>
                <w:szCs w:val="20"/>
                <w:color w:val="auto"/>
              </w:rPr>
            </w:pPr>
            <w:r>
              <w:rPr>
                <w:rFonts w:ascii="Arial" w:cs="Arial" w:eastAsia="Arial" w:hAnsi="Arial"/>
                <w:sz w:val="11"/>
                <w:szCs w:val="11"/>
                <w:color w:val="008000"/>
              </w:rPr>
              <w:t>(1)</w:t>
            </w:r>
          </w:p>
        </w:tc>
        <w:tc>
          <w:tcPr>
            <w:tcW w:w="920" w:type="dxa"/>
            <w:vAlign w:val="bottom"/>
          </w:tcPr>
          <w:p>
            <w:pPr>
              <w:jc w:val="center"/>
              <w:ind w:left="139"/>
              <w:spacing w:after="0" w:line="125" w:lineRule="exact"/>
              <w:rPr>
                <w:sz w:val="20"/>
                <w:szCs w:val="20"/>
                <w:color w:val="auto"/>
              </w:rPr>
            </w:pPr>
            <w:r>
              <w:rPr>
                <w:rFonts w:ascii="Arial" w:cs="Arial" w:eastAsia="Arial" w:hAnsi="Arial"/>
                <w:sz w:val="11"/>
                <w:szCs w:val="11"/>
                <w:color w:val="008000"/>
                <w:w w:val="88"/>
              </w:rPr>
              <w:t>(1)</w:t>
            </w:r>
          </w:p>
        </w:tc>
        <w:tc>
          <w:tcPr>
            <w:tcW w:w="560" w:type="dxa"/>
            <w:vAlign w:val="bottom"/>
          </w:tcPr>
          <w:p>
            <w:pPr>
              <w:ind w:left="60"/>
              <w:spacing w:after="0" w:line="125" w:lineRule="exact"/>
              <w:rPr>
                <w:sz w:val="20"/>
                <w:szCs w:val="20"/>
                <w:color w:val="auto"/>
              </w:rPr>
            </w:pPr>
            <w:r>
              <w:rPr>
                <w:rFonts w:ascii="Arial" w:cs="Arial" w:eastAsia="Arial" w:hAnsi="Arial"/>
                <w:sz w:val="13"/>
                <w:szCs w:val="13"/>
                <w:color w:val="0000FF"/>
                <w:w w:val="90"/>
              </w:rPr>
              <w:t>Common</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0000FF"/>
                <w:w w:val="92"/>
              </w:rPr>
              <w:t>1,700,000</w:t>
            </w:r>
          </w:p>
        </w:tc>
        <w:tc>
          <w:tcPr>
            <w:tcW w:w="760" w:type="dxa"/>
            <w:vAlign w:val="bottom"/>
            <w:vMerge w:val="restart"/>
          </w:tcPr>
          <w:p>
            <w:pPr>
              <w:jc w:val="center"/>
              <w:ind w:right="1"/>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84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gridSpan w:val="3"/>
          </w:tcPr>
          <w:p>
            <w:pPr>
              <w:ind w:left="60"/>
              <w:spacing w:after="0" w:line="169" w:lineRule="exact"/>
              <w:rPr>
                <w:sz w:val="20"/>
                <w:szCs w:val="20"/>
                <w:color w:val="auto"/>
              </w:rPr>
            </w:pPr>
            <w:r>
              <w:rPr>
                <w:rFonts w:ascii="Arial" w:cs="Arial" w:eastAsia="Arial" w:hAnsi="Arial"/>
                <w:sz w:val="12"/>
                <w:szCs w:val="12"/>
                <w:color w:val="0000FF"/>
              </w:rPr>
              <w:t>Footnote</w:t>
            </w:r>
            <w:r>
              <w:rPr>
                <w:rFonts w:ascii="Arial" w:cs="Arial" w:eastAsia="Arial" w:hAnsi="Arial"/>
                <w:sz w:val="19"/>
                <w:szCs w:val="19"/>
                <w:color w:val="008000"/>
                <w:vertAlign w:val="superscript"/>
              </w:rPr>
              <w:t>(8)</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26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Every two shares of Series A preferred stock, Series B preferred stock, Series C preferred stock and Series D preferred stock automatically converted into one share of common stock in connection with the closing of the issuer's initial public offering. These shares have no expiration date.</w:t>
      </w:r>
    </w:p>
    <w:p>
      <w:pPr>
        <w:spacing w:after="0" w:line="25" w:lineRule="exact"/>
        <w:rPr>
          <w:rFonts w:ascii="Arial" w:cs="Arial" w:eastAsia="Arial" w:hAnsi="Arial"/>
          <w:sz w:val="13"/>
          <w:szCs w:val="13"/>
          <w:color w:val="008000"/>
        </w:rPr>
      </w:pPr>
    </w:p>
    <w:p>
      <w:pPr>
        <w:ind w:left="40" w:right="180" w:firstLine="2"/>
        <w:spacing w:after="0" w:line="257"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100,000 shares beneficially owned by The Column Group GP, LP ("TCG GP"), 275,957 shares beneficially owned by The Column Group II, LP ("TCG II LP"), and 100,000 shares beneficially owned by The Column Group Management, LP ("TCGM LP"). The Reporting Person disclaims beneficial ownership of the securities except to the extent of his pecuniary interest therein. The securities directly held by TCG II LP are indirectly held by The Column Group II GP, LP ("TCG II GP") the general partner of TCG II LP. TCG II GP shares voting and dispositive power with respect to these shares. The individual managing partners of TCG GP, TCG II GP and TCGM LP are Peter Svennilson and David Goeddel, who may be deemed to have shared voting, investment and dispositive power with respect to these shares. Each individual managing partner disclaims beneficial ownership of these shares, except to the extent of their pecuniary interest in such shares.</w:t>
      </w:r>
    </w:p>
    <w:p>
      <w:pPr>
        <w:spacing w:after="0" w:line="20" w:lineRule="exact"/>
        <w:rPr>
          <w:rFonts w:ascii="Arial" w:cs="Arial" w:eastAsia="Arial" w:hAnsi="Arial"/>
          <w:sz w:val="12"/>
          <w:szCs w:val="12"/>
          <w:color w:val="008000"/>
        </w:rPr>
      </w:pPr>
    </w:p>
    <w:p>
      <w:pPr>
        <w:ind w:left="40" w:right="300" w:firstLine="2"/>
        <w:spacing w:after="0" w:line="23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11,103,333 shares beneficially owned by The Column Group, LP ("TCG LP"), 1,989,801 shares beneficially owned by TCG II LP and 190,000 shares held in trust for which David V. Goeddel and Alena Z. Goeddel serve as co-trustees. The securities directly held by TCG LP are indirectly held by TCG GP, the general partner of TCG LP. TCG GP shares voting and dispositive power with respect to these shares. The individual managing partners of TCG GP are Peter Svennilson and David Goeddel, who may be deemed to have shared voting, investment and dispositive power with respect to these shares. The Reporting Person disclaims beneficial ownership of the securities except to the extent of his pecuniary interest therein.</w:t>
      </w:r>
    </w:p>
    <w:p>
      <w:pPr>
        <w:spacing w:after="0" w:line="32" w:lineRule="exact"/>
        <w:rPr>
          <w:rFonts w:ascii="Arial" w:cs="Arial" w:eastAsia="Arial" w:hAnsi="Arial"/>
          <w:sz w:val="13"/>
          <w:szCs w:val="13"/>
          <w:color w:val="008000"/>
        </w:rPr>
      </w:pPr>
    </w:p>
    <w:p>
      <w:pPr>
        <w:jc w:val="both"/>
        <w:ind w:left="40" w:right="220" w:firstLine="2"/>
        <w:spacing w:after="0" w:line="26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937,500 shares held directly by Ponoi Capital, LP ("Ponoi LP") and 937,500 shares held directly by Ponoi Capital II, LP ("Ponoi II LP"). The securities directly held by Ponoi LP are indirectly held by Ponoi Management, LLC ("Ponoi LLC"), the general partner of Ponoi LP. The securities directly held by Ponoi II LP are indirectly held by Ponoi II Management, LLC ("Ponoi II LLC"), the general partner of Ponoi II LP. The managing partners of Ponoi LLC and Ponoi II LLC are David Goeddel, Peter Svennilson and Tim Kutzkey. The managing partners of Ponoi LLC and Ponoi II LLC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Arial" w:cs="Arial" w:eastAsia="Arial" w:hAnsi="Arial"/>
          <w:sz w:val="12"/>
          <w:szCs w:val="12"/>
          <w:color w:val="008000"/>
        </w:rPr>
      </w:pPr>
    </w:p>
    <w:p>
      <w:pPr>
        <w:ind w:left="40" w:right="62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6,000,000 shares beneficially owned by TCG LP and 150,000 shares held in trust for which David V. Goeddel and Alena Z. Goeddel serve as co-trustees. The Reporting Person disclaims beneficial ownership of the securities except to the extent of his pecuniary interest therein.</w:t>
      </w:r>
    </w:p>
    <w:p>
      <w:pPr>
        <w:spacing w:after="0" w:line="25" w:lineRule="exact"/>
        <w:rPr>
          <w:rFonts w:ascii="Arial" w:cs="Arial" w:eastAsia="Arial" w:hAnsi="Arial"/>
          <w:sz w:val="13"/>
          <w:szCs w:val="13"/>
          <w:color w:val="008000"/>
        </w:rPr>
      </w:pPr>
    </w:p>
    <w:p>
      <w:pPr>
        <w:ind w:left="40" w:right="30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604,467 shares beneficially owned by TCG II LP, 3,600,000 shares beneficially owned by TCG LP and 40,000 shares held in trust for which David V. Goeddel and Alena Z. Goeddel serve as co-trustees. The Reporting Person disclaims beneficial ownership of the securities except to the extent of his pecuniary interest therein.</w:t>
      </w:r>
    </w:p>
    <w:p>
      <w:pPr>
        <w:spacing w:after="0" w:line="25" w:lineRule="exact"/>
        <w:rPr>
          <w:rFonts w:ascii="Arial" w:cs="Arial" w:eastAsia="Arial" w:hAnsi="Arial"/>
          <w:sz w:val="13"/>
          <w:szCs w:val="13"/>
          <w:color w:val="008000"/>
        </w:rPr>
      </w:pPr>
    </w:p>
    <w:p>
      <w:pPr>
        <w:ind w:left="40" w:right="48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18,667 shares beneficially owned by TCG II LP and 1,170,000 shares beneficially owned by TCG LP. The Reporting Person disclaims beneficial ownership of the securities except to the extent of his pecuniary interest therein.</w:t>
      </w:r>
    </w:p>
    <w:p>
      <w:pPr>
        <w:spacing w:after="0" w:line="25" w:lineRule="exact"/>
        <w:rPr>
          <w:rFonts w:ascii="Arial" w:cs="Arial" w:eastAsia="Arial" w:hAnsi="Arial"/>
          <w:sz w:val="13"/>
          <w:szCs w:val="13"/>
          <w:color w:val="008000"/>
        </w:rPr>
      </w:pPr>
    </w:p>
    <w:p>
      <w:pPr>
        <w:ind w:left="40" w:right="42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1,366,667 shares beneficially owned by TCG II LP and 333,333 shares beneficially owned by TCG LP. The Reporting Person disclaims beneficial ownership of the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William J. Rieflin, Attorney-</w:t>
      </w:r>
      <w:r>
        <w:rPr>
          <w:sz w:val="20"/>
          <w:szCs w:val="20"/>
          <w:color w:val="auto"/>
        </w:rPr>
        <w:tab/>
      </w:r>
      <w:r>
        <w:rPr>
          <w:rFonts w:ascii="Arial" w:cs="Arial" w:eastAsia="Arial" w:hAnsi="Arial"/>
          <w:sz w:val="15"/>
          <w:szCs w:val="15"/>
          <w:color w:val="0000FF"/>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-11430</wp:posOffset>
            </wp:positionV>
            <wp:extent cx="1939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ectPr>
          <w:pgSz w:w="11900" w:h="16838" w:orient="portrait"/>
          <w:cols w:equalWidth="0" w:num="1">
            <w:col w:w="11520"/>
          </w:cols>
          <w:pgMar w:left="240" w:top="221"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-11430</wp:posOffset>
            </wp:positionV>
            <wp:extent cx="300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0990" cy="8255"/>
                    </a:xfrm>
                    <a:prstGeom prst="rect">
                      <a:avLst/>
                    </a:prstGeom>
                    <a:noFill/>
                  </pic:spPr>
                </pic:pic>
              </a:graphicData>
            </a:graphic>
          </wp:anchor>
        </w:drawing>
      </w:r>
    </w:p>
    <w:p>
      <w:pPr>
        <w:spacing w:after="0" w:line="50"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73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2019-12-24T04:24:18Z</dcterms:created>
  <dcterms:modified xsi:type="dcterms:W3CDTF">2019-12-24T04:24:18Z</dcterms:modified>
</cp:coreProperties>
</file>