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333 Oyster Point Boulevard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(650) 243-5555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June 12,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Attn:</w:t>
        <w:tab/>
        <w:t>Courtney Lindsay</w:t>
      </w:r>
    </w:p>
    <w:p>
      <w:pPr>
        <w:spacing w:after="0" w:line="234"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NGM Biopharmaceuticals, Inc.</w:t>
      </w:r>
    </w:p>
    <w:p>
      <w:pPr>
        <w:spacing w:after="0" w:line="2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Filed June 5, 2020</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 No. 333-238991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560"/>
        <w:spacing w:after="0" w:line="291" w:lineRule="auto"/>
        <w:rPr>
          <w:sz w:val="20"/>
          <w:szCs w:val="20"/>
          <w:color w:val="auto"/>
        </w:rPr>
      </w:pPr>
      <w:r>
        <w:rPr>
          <w:rFonts w:ascii="Arial" w:cs="Arial" w:eastAsia="Arial" w:hAnsi="Arial"/>
          <w:sz w:val="16"/>
          <w:szCs w:val="16"/>
          <w:color w:val="auto"/>
        </w:rPr>
        <w:t>In accordance with Rule 461 under the Securities Act of 1933, as amended, the undersigned registrant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hereby requests that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take appropriate action to cause the Registration Statement on Form S-3 (File</w:t>
      </w:r>
    </w:p>
    <w:p>
      <w:pPr>
        <w:spacing w:after="0" w:line="255" w:lineRule="auto"/>
        <w:rPr>
          <w:sz w:val="20"/>
          <w:szCs w:val="20"/>
          <w:color w:val="auto"/>
        </w:rPr>
      </w:pPr>
      <w:r>
        <w:rPr>
          <w:rFonts w:ascii="Arial" w:cs="Arial" w:eastAsia="Arial" w:hAnsi="Arial"/>
          <w:sz w:val="18"/>
          <w:szCs w:val="18"/>
          <w:color w:val="auto"/>
        </w:rPr>
        <w:t>No. 333-238991)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become effective on Tuesday, June 16, 2020, at 4:00 p.m., Eastern Time, or as soon as practicable thereafter, or at such later time as the Registrant may orally request via telephone call to the staff of the Commission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The Registrant hereby authorizes Carlton Fleming of Cooley LLP, counsel to the Registrant, to make such request on its behalf.</w:t>
      </w:r>
    </w:p>
    <w:p>
      <w:pPr>
        <w:spacing w:after="0" w:line="190" w:lineRule="exact"/>
        <w:rPr>
          <w:sz w:val="24"/>
          <w:szCs w:val="24"/>
          <w:color w:val="auto"/>
        </w:rPr>
      </w:pPr>
    </w:p>
    <w:p>
      <w:pPr>
        <w:ind w:right="200"/>
        <w:spacing w:after="0" w:line="342" w:lineRule="auto"/>
        <w:rPr>
          <w:sz w:val="20"/>
          <w:szCs w:val="20"/>
          <w:color w:val="auto"/>
        </w:rPr>
      </w:pPr>
      <w:r>
        <w:rPr>
          <w:rFonts w:ascii="Arial" w:cs="Arial" w:eastAsia="Arial" w:hAnsi="Arial"/>
          <w:sz w:val="16"/>
          <w:szCs w:val="16"/>
          <w:color w:val="auto"/>
        </w:rPr>
        <w:t>Once the Registration Statement has been declared effective, please orally confirm that event with Carlton Fleming of Cooley LLP, counsel to the Registrant, at (650) 843-5865, or in his absence Chadwick Mills of Cooley LLP at (650) 843-5654 or Peter Mandel of Cooley LLP at (415) 693-2102.</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In connection with this request, the Registrant acknowledges that:</w:t>
      </w:r>
    </w:p>
    <w:p>
      <w:pPr>
        <w:spacing w:after="0" w:line="131" w:lineRule="exact"/>
        <w:rPr>
          <w:sz w:val="24"/>
          <w:szCs w:val="24"/>
          <w:color w:val="auto"/>
        </w:rPr>
      </w:pPr>
    </w:p>
    <w:p>
      <w:pPr>
        <w:ind w:left="960" w:right="90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97" w:lineRule="exact"/>
        <w:rPr>
          <w:rFonts w:ascii="Arial" w:cs="Arial" w:eastAsia="Arial" w:hAnsi="Arial"/>
          <w:sz w:val="18"/>
          <w:szCs w:val="18"/>
          <w:color w:val="auto"/>
        </w:rPr>
      </w:pPr>
    </w:p>
    <w:p>
      <w:pPr>
        <w:ind w:left="960" w:right="46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Registrant from its full responsibility for the adequacy and accuracy of the disclosure in the filing; and</w:t>
      </w:r>
    </w:p>
    <w:p>
      <w:pPr>
        <w:spacing w:after="0" w:line="197" w:lineRule="exact"/>
        <w:rPr>
          <w:rFonts w:ascii="Arial" w:cs="Arial" w:eastAsia="Arial" w:hAnsi="Arial"/>
          <w:sz w:val="18"/>
          <w:szCs w:val="18"/>
          <w:color w:val="auto"/>
        </w:rPr>
      </w:pPr>
    </w:p>
    <w:p>
      <w:pPr>
        <w:ind w:left="960" w:right="80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Staff comments and the declaration of effectiveness as a defense in any proceeding initiated by the Commission or any person under the federal securities laws of the United States.</w:t>
      </w:r>
    </w:p>
    <w:p>
      <w:pPr>
        <w:sectPr>
          <w:pgSz w:w="11900" w:h="16838" w:orient="portrait"/>
          <w:cols w:equalWidth="0" w:num="1">
            <w:col w:w="11000"/>
          </w:cols>
          <w:pgMar w:left="440" w:top="229" w:right="45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14605</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J. Woodhouse, Ph.D.</w:t>
      </w:r>
    </w:p>
    <w:p>
      <w:pPr>
        <w:spacing w:after="0" w:line="23"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8"/>
          <w:szCs w:val="18"/>
          <w:color w:val="auto"/>
        </w:rPr>
        <w:t>Title:</w:t>
        <w:tab/>
        <w:t>Chief Executive Officer and Acting Chief Financial Officer</w:t>
      </w:r>
    </w:p>
    <w:p>
      <w:pPr>
        <w:spacing w:after="0" w:line="238" w:lineRule="exact"/>
        <w:rPr>
          <w:sz w:val="20"/>
          <w:szCs w:val="20"/>
          <w:color w:val="auto"/>
        </w:rPr>
      </w:pPr>
    </w:p>
    <w:p>
      <w:pPr>
        <w:ind w:left="424" w:hanging="424"/>
        <w:spacing w:after="0" w:line="258"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Valerie Pierce, Senior Vice President, General Counsel, Corporate Secretary and Chief Compliance Officer, NGM Biopharmaceuticals, Inc. Chadwick Mills, Cooley LLP</w:t>
      </w:r>
    </w:p>
    <w:p>
      <w:pPr>
        <w:spacing w:after="0" w:line="1" w:lineRule="exact"/>
        <w:rPr>
          <w:rFonts w:ascii="Arial" w:cs="Arial" w:eastAsia="Arial" w:hAnsi="Arial"/>
          <w:sz w:val="18"/>
          <w:szCs w:val="18"/>
          <w:color w:val="auto"/>
        </w:rPr>
      </w:pPr>
    </w:p>
    <w:p>
      <w:pPr>
        <w:ind w:left="424" w:right="7900"/>
        <w:spacing w:after="0" w:line="323" w:lineRule="auto"/>
        <w:rPr>
          <w:rFonts w:ascii="Arial" w:cs="Arial" w:eastAsia="Arial" w:hAnsi="Arial"/>
          <w:sz w:val="18"/>
          <w:szCs w:val="18"/>
          <w:color w:val="auto"/>
        </w:rPr>
      </w:pPr>
      <w:r>
        <w:rPr>
          <w:rFonts w:ascii="Arial" w:cs="Arial" w:eastAsia="Arial" w:hAnsi="Arial"/>
          <w:sz w:val="16"/>
          <w:szCs w:val="16"/>
          <w:color w:val="auto"/>
        </w:rPr>
        <w:t>Carlton Fleming, Cooley LLP Peter Mandel, Cooley LLP</w:t>
      </w:r>
    </w:p>
    <w:sectPr>
      <w:pgSz w:w="11900" w:h="16838" w:orient="portrait"/>
      <w:cols w:equalWidth="0" w:num="1">
        <w:col w:w="10484"/>
      </w:cols>
      <w:pgMar w:left="436" w:top="27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2021-08-15T20:31:40Z</dcterms:created>
  <dcterms:modified xsi:type="dcterms:W3CDTF">2021-08-15T20:31:40Z</dcterms:modified>
</cp:coreProperties>
</file>