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4062730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15240</wp:posOffset>
            </wp:positionV>
            <wp:extent cx="7325995" cy="5615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5615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TICHENOR MCHENRY T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CRESCENT COURT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37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NGM BIOPHARMACEUTICALS INC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NGM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04/08/2019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1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 (I) (Instr. 4)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04/08/2019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1,833,332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jc w:val="right"/>
              <w:ind w:righ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1,872,314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2"/>
              </w:rPr>
              <w:t>See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04/08/2019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1,616,666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1,616,666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(2)(3)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C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04/08/2019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166,666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166,666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(2)(3)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04/08/2019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50,000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w w:val="96"/>
                <w:vertAlign w:val="superscript"/>
              </w:rPr>
              <w:t>(2)(3)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320" w:firstLine="1"/>
        <w:spacing w:after="0" w:line="247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Every two shares of Series B preferred stock, Series C preferred stock and Series D preferred stock automatically converted into one share of common stock in connection with the closing of the issuer's initial public offering. These shares have no expiration date.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Person, a Director of the Issuer, is the President and managing partner of Tichenor Ventures, LLC and has sole voting and investment power with respect to such shares.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beneficially owned by Tichenor Ventures, LLC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William J. Rieflin,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04/10/2019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4080" w:firstLine="1"/>
        <w:spacing w:after="0" w:line="331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34497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2019-12-24T04:28:56Z</dcterms:created>
  <dcterms:modified xsi:type="dcterms:W3CDTF">2019-12-24T04:28:56Z</dcterms:modified>
</cp:coreProperties>
</file>