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GOEDDEL DAVID V</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04/03/2020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52"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04/03/2020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7"/>
                <w:szCs w:val="17"/>
                <w:color w:val="0000FF"/>
              </w:rPr>
              <w:t>14,587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12.41</w:t>
            </w:r>
          </w:p>
        </w:tc>
        <w:tc>
          <w:tcPr>
            <w:tcW w:w="1120" w:type="dxa"/>
            <w:vAlign w:val="bottom"/>
            <w:gridSpan w:val="3"/>
          </w:tcPr>
          <w:p>
            <w:pPr>
              <w:jc w:val="right"/>
              <w:ind w:right="95"/>
              <w:spacing w:after="0"/>
              <w:rPr>
                <w:sz w:val="20"/>
                <w:szCs w:val="20"/>
                <w:color w:val="auto"/>
              </w:rPr>
            </w:pPr>
            <w:r>
              <w:rPr>
                <w:rFonts w:ascii="Arial" w:cs="Arial" w:eastAsia="Arial" w:hAnsi="Arial"/>
                <w:sz w:val="17"/>
                <w:szCs w:val="17"/>
                <w:color w:val="0000FF"/>
              </w:rPr>
              <w:t>17,660,648</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04/07/2020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w w:val="95"/>
              </w:rPr>
              <w:t>123,728</w:t>
            </w:r>
            <w:r>
              <w:rPr>
                <w:rFonts w:ascii="Arial" w:cs="Arial" w:eastAsia="Arial" w:hAnsi="Arial"/>
                <w:sz w:val="22"/>
                <w:szCs w:val="22"/>
                <w:color w:val="008000"/>
                <w:w w:val="95"/>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14.38</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17,784,376</w:t>
            </w:r>
            <w:r>
              <w:rPr>
                <w:rFonts w:ascii="Arial" w:cs="Arial" w:eastAsia="Arial" w:hAnsi="Arial"/>
                <w:sz w:val="22"/>
                <w:szCs w:val="22"/>
                <w:color w:val="008000"/>
                <w:w w:val="91"/>
                <w:vertAlign w:val="superscript"/>
              </w:rPr>
              <w:t>(11)</w:t>
            </w:r>
          </w:p>
        </w:tc>
        <w:tc>
          <w:tcPr>
            <w:tcW w:w="4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6,851 shares held directly by The Column Group III, LP ("TCG III LP") and 7,736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58,107 shares held directly by TCG III LP and 65,621 shares held directly by TCG III-A LP.</w:t>
      </w:r>
    </w:p>
    <w:p>
      <w:pPr>
        <w:spacing w:after="0" w:line="50" w:lineRule="exact"/>
        <w:rPr>
          <w:rFonts w:ascii="Arial" w:cs="Arial" w:eastAsia="Arial" w:hAnsi="Arial"/>
          <w:sz w:val="13"/>
          <w:szCs w:val="13"/>
          <w:color w:val="008000"/>
        </w:rPr>
      </w:pPr>
    </w:p>
    <w:p>
      <w:pPr>
        <w:ind w:left="40" w:right="16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670,389 shares of Common Stock held directly by TCG III LP, 757,080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2020-04-07T18:27:55Z</dcterms:created>
  <dcterms:modified xsi:type="dcterms:W3CDTF">2020-04-07T18:27:55Z</dcterms:modified>
</cp:coreProperties>
</file>