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85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855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10/17/2019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6"/>
          </w:tcPr>
          <w:p>
            <w:pPr>
              <w:jc w:val="center"/>
              <w:ind w:right="211"/>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jc w:val="center"/>
              <w:ind w:left="14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10/17/2019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2"/>
              </w:rPr>
              <w:t>6,818</w:t>
            </w:r>
            <w:r>
              <w:rPr>
                <w:rFonts w:ascii="Arial" w:cs="Arial" w:eastAsia="Arial" w:hAnsi="Arial"/>
                <w:sz w:val="22"/>
                <w:szCs w:val="22"/>
                <w:color w:val="008000"/>
                <w:w w:val="82"/>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10.62</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16,329,897</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10/18/2019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3"/>
              </w:rPr>
              <w:t>34,721</w:t>
            </w:r>
            <w:r>
              <w:rPr>
                <w:rFonts w:ascii="Arial" w:cs="Arial" w:eastAsia="Arial" w:hAnsi="Arial"/>
                <w:sz w:val="22"/>
                <w:szCs w:val="22"/>
                <w:color w:val="008000"/>
                <w:w w:val="83"/>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11.29</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16,364,618</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10/21/2019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1"/>
              </w:rPr>
              <w:t>43,400</w:t>
            </w:r>
            <w:r>
              <w:rPr>
                <w:rFonts w:ascii="Arial" w:cs="Arial" w:eastAsia="Arial" w:hAnsi="Arial"/>
                <w:sz w:val="22"/>
                <w:szCs w:val="22"/>
                <w:color w:val="008000"/>
                <w:w w:val="81"/>
                <w:vertAlign w:val="superscript"/>
              </w:rPr>
              <w:t>(11)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11.94</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16,408,018</w:t>
            </w:r>
            <w:r>
              <w:rPr>
                <w:rFonts w:ascii="Arial" w:cs="Arial" w:eastAsia="Arial" w:hAnsi="Arial"/>
                <w:sz w:val="22"/>
                <w:szCs w:val="22"/>
                <w:color w:val="008000"/>
                <w:w w:val="84"/>
                <w:vertAlign w:val="superscript"/>
              </w:rPr>
              <w:t>(12)</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90"/>
              </w:rPr>
              <w:t>20,000</w:t>
            </w:r>
          </w:p>
        </w:tc>
        <w:tc>
          <w:tcPr>
            <w:tcW w:w="220" w:type="dxa"/>
            <w:vAlign w:val="bottom"/>
          </w:tcPr>
          <w:p>
            <w:pPr>
              <w:spacing w:after="0"/>
              <w:rPr>
                <w:sz w:val="23"/>
                <w:szCs w:val="23"/>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jc w:val="center"/>
              <w:ind w:left="30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2740" w:type="dxa"/>
            <w:vAlign w:val="bottom"/>
            <w:gridSpan w:val="6"/>
          </w:tcPr>
          <w:p>
            <w:pPr>
              <w:ind w:left="10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jc w:val="center"/>
              <w:ind w:right="231"/>
              <w:spacing w:after="0" w:line="135" w:lineRule="exact"/>
              <w:rPr>
                <w:sz w:val="20"/>
                <w:szCs w:val="20"/>
                <w:color w:val="auto"/>
              </w:rPr>
            </w:pPr>
            <w:r>
              <w:rPr>
                <w:rFonts w:ascii="Arial" w:cs="Arial" w:eastAsia="Arial" w:hAnsi="Arial"/>
                <w:sz w:val="12"/>
                <w:szCs w:val="12"/>
                <w:b w:val="1"/>
                <w:bCs w:val="1"/>
                <w:color w:val="auto"/>
                <w:w w:val="95"/>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3,202 shares held directly by The Column Group III, LP ("TCG III LP") and 3,616 shares held directly by The Column Group III-A, LP ("TCG III-A LP").</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16,306 shares held directly by The Column Group III, LP ("TCG III LP") and 18,415 shares held directly by The Column Group III-A, LP ("TCG III-A LP").</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20,382 shares held directly by The Column Group III, LP ("TCG III LP") and 23,018 shares held directly by The Column Group III-A, LP ("TCG III-A LP").</w:t>
      </w:r>
    </w:p>
    <w:p>
      <w:pPr>
        <w:spacing w:after="0" w:line="64" w:lineRule="exact"/>
        <w:rPr>
          <w:rFonts w:ascii="Arial" w:cs="Arial" w:eastAsia="Arial" w:hAnsi="Arial"/>
          <w:sz w:val="12"/>
          <w:szCs w:val="12"/>
          <w:color w:val="008000"/>
        </w:rPr>
      </w:pPr>
    </w:p>
    <w:p>
      <w:pPr>
        <w:ind w:left="40" w:right="1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113,234 shares of Common Stock held directly by TCG III LP and 127,877 shares of Common Stock held directly by TCG III-A LP. The Reporting Person disclaims beneficial ownership of the securities except to the extent of his pecuniary interest therein.</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2019-12-24T04:52:37Z</dcterms:created>
  <dcterms:modified xsi:type="dcterms:W3CDTF">2019-12-24T04:52:37Z</dcterms:modified>
</cp:coreProperties>
</file>