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4, 2023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333-272509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PRE-EFFECTIVE 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 FORM S-3</w:t>
      </w:r>
    </w:p>
    <w:p>
      <w:pPr>
        <w:jc w:val="center"/>
        <w:spacing w:after="0" w:line="238" w:lineRule="auto"/>
        <w:rPr>
          <w:sz w:val="20"/>
          <w:szCs w:val="20"/>
          <w:color w:val="auto"/>
        </w:rPr>
      </w:pPr>
      <w:r>
        <w:rPr>
          <w:rFonts w:ascii="Arial" w:cs="Arial" w:eastAsia="Arial" w:hAnsi="Arial"/>
          <w:sz w:val="32"/>
          <w:szCs w:val="32"/>
          <w:b w:val="1"/>
          <w:bCs w:val="1"/>
          <w:color w:val="auto"/>
        </w:rPr>
        <w:t>REGISTRATION STATEMENT</w:t>
      </w:r>
    </w:p>
    <w:p>
      <w:pPr>
        <w:jc w:val="center"/>
        <w:spacing w:after="0" w:line="231"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840" w:type="dxa"/>
            <w:vAlign w:val="bottom"/>
          </w:tcPr>
          <w:p>
            <w:pPr>
              <w:jc w:val="center"/>
              <w:ind w:right="188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882"/>
              <w:spacing w:after="0"/>
              <w:rPr>
                <w:sz w:val="20"/>
                <w:szCs w:val="20"/>
                <w:color w:val="auto"/>
              </w:rPr>
            </w:pPr>
            <w:r>
              <w:rPr>
                <w:rFonts w:ascii="Arial" w:cs="Arial" w:eastAsia="Arial" w:hAnsi="Arial"/>
                <w:sz w:val="18"/>
                <w:szCs w:val="18"/>
                <w:b w:val="1"/>
                <w:bCs w:val="1"/>
                <w:color w:val="auto"/>
                <w:w w:val="89"/>
              </w:rPr>
              <w:t>26-1679911</w:t>
            </w:r>
          </w:p>
        </w:tc>
      </w:tr>
      <w:tr>
        <w:trPr>
          <w:trHeight w:val="148"/>
        </w:trPr>
        <w:tc>
          <w:tcPr>
            <w:tcW w:w="384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Oyster Point Boulevard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243-5555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J. Woodhouse, Ph.D.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Oyster Point Boulevard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243-5555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tbl>
      <w:tblPr>
        <w:tblLayout w:type="fixed"/>
        <w:tblInd w:w="90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466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Copies to:</w:t>
            </w:r>
          </w:p>
        </w:tc>
      </w:tr>
      <w:tr>
        <w:trPr>
          <w:trHeight w:val="441"/>
        </w:trPr>
        <w:tc>
          <w:tcPr>
            <w:tcW w:w="40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Valerie Pierce</w:t>
            </w:r>
          </w:p>
        </w:tc>
        <w:tc>
          <w:tcPr>
            <w:tcW w:w="4660" w:type="dxa"/>
            <w:vAlign w:val="bottom"/>
          </w:tcPr>
          <w:p>
            <w:pPr>
              <w:jc w:val="center"/>
              <w:ind w:left="2150"/>
              <w:spacing w:after="0"/>
              <w:rPr>
                <w:sz w:val="20"/>
                <w:szCs w:val="20"/>
                <w:color w:val="auto"/>
              </w:rPr>
            </w:pPr>
            <w:r>
              <w:rPr>
                <w:rFonts w:ascii="Arial" w:cs="Arial" w:eastAsia="Arial" w:hAnsi="Arial"/>
                <w:sz w:val="18"/>
                <w:szCs w:val="18"/>
                <w:b w:val="1"/>
                <w:bCs w:val="1"/>
                <w:color w:val="auto"/>
                <w:w w:val="94"/>
              </w:rPr>
              <w:t>Chadwick L. Mills</w:t>
            </w:r>
          </w:p>
        </w:tc>
      </w:tr>
      <w:tr>
        <w:trPr>
          <w:trHeight w:val="216"/>
        </w:trPr>
        <w:tc>
          <w:tcPr>
            <w:tcW w:w="40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Senior Vice President, General Counsel and Chief</w:t>
            </w:r>
          </w:p>
        </w:tc>
        <w:tc>
          <w:tcPr>
            <w:tcW w:w="4660" w:type="dxa"/>
            <w:vAlign w:val="bottom"/>
          </w:tcPr>
          <w:p>
            <w:pPr>
              <w:jc w:val="center"/>
              <w:ind w:left="2150"/>
              <w:spacing w:after="0"/>
              <w:rPr>
                <w:sz w:val="20"/>
                <w:szCs w:val="20"/>
                <w:color w:val="auto"/>
              </w:rPr>
            </w:pPr>
            <w:r>
              <w:rPr>
                <w:rFonts w:ascii="Arial" w:cs="Arial" w:eastAsia="Arial" w:hAnsi="Arial"/>
                <w:sz w:val="18"/>
                <w:szCs w:val="18"/>
                <w:b w:val="1"/>
                <w:bCs w:val="1"/>
                <w:color w:val="auto"/>
                <w:w w:val="90"/>
              </w:rPr>
              <w:t>Christina T. Roupas</w:t>
            </w:r>
          </w:p>
        </w:tc>
      </w:tr>
      <w:tr>
        <w:trPr>
          <w:trHeight w:val="216"/>
        </w:trPr>
        <w:tc>
          <w:tcPr>
            <w:tcW w:w="40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Compliance Officer</w:t>
            </w:r>
          </w:p>
        </w:tc>
        <w:tc>
          <w:tcPr>
            <w:tcW w:w="4660" w:type="dxa"/>
            <w:vAlign w:val="bottom"/>
          </w:tcPr>
          <w:p>
            <w:pPr>
              <w:jc w:val="center"/>
              <w:ind w:left="2150"/>
              <w:spacing w:after="0"/>
              <w:rPr>
                <w:sz w:val="20"/>
                <w:szCs w:val="20"/>
                <w:color w:val="auto"/>
              </w:rPr>
            </w:pPr>
            <w:r>
              <w:rPr>
                <w:rFonts w:ascii="Arial" w:cs="Arial" w:eastAsia="Arial" w:hAnsi="Arial"/>
                <w:sz w:val="18"/>
                <w:szCs w:val="18"/>
                <w:b w:val="1"/>
                <w:bCs w:val="1"/>
                <w:color w:val="auto"/>
                <w:w w:val="94"/>
              </w:rPr>
              <w:t>Cooley LLP</w:t>
            </w:r>
          </w:p>
        </w:tc>
      </w:tr>
      <w:tr>
        <w:trPr>
          <w:trHeight w:val="216"/>
        </w:trPr>
        <w:tc>
          <w:tcPr>
            <w:tcW w:w="40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NGM Biopharmaceuticals, Inc.</w:t>
            </w:r>
          </w:p>
        </w:tc>
        <w:tc>
          <w:tcPr>
            <w:tcW w:w="4660" w:type="dxa"/>
            <w:vAlign w:val="bottom"/>
          </w:tcPr>
          <w:p>
            <w:pPr>
              <w:jc w:val="center"/>
              <w:ind w:left="2130"/>
              <w:spacing w:after="0"/>
              <w:rPr>
                <w:sz w:val="20"/>
                <w:szCs w:val="20"/>
                <w:color w:val="auto"/>
              </w:rPr>
            </w:pPr>
            <w:r>
              <w:rPr>
                <w:rFonts w:ascii="Arial" w:cs="Arial" w:eastAsia="Arial" w:hAnsi="Arial"/>
                <w:sz w:val="18"/>
                <w:szCs w:val="18"/>
                <w:b w:val="1"/>
                <w:bCs w:val="1"/>
                <w:color w:val="auto"/>
                <w:w w:val="91"/>
              </w:rPr>
              <w:t>9 Embarcadero Center</w:t>
            </w:r>
          </w:p>
        </w:tc>
      </w:tr>
      <w:tr>
        <w:trPr>
          <w:trHeight w:val="216"/>
        </w:trPr>
        <w:tc>
          <w:tcPr>
            <w:tcW w:w="4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333 Oyster Point Boulevard</w:t>
            </w:r>
          </w:p>
        </w:tc>
        <w:tc>
          <w:tcPr>
            <w:tcW w:w="4660" w:type="dxa"/>
            <w:vAlign w:val="bottom"/>
          </w:tcPr>
          <w:p>
            <w:pPr>
              <w:jc w:val="center"/>
              <w:ind w:left="2150"/>
              <w:spacing w:after="0" w:line="216" w:lineRule="exact"/>
              <w:rPr>
                <w:sz w:val="20"/>
                <w:szCs w:val="20"/>
                <w:color w:val="auto"/>
              </w:rPr>
            </w:pPr>
            <w:r>
              <w:rPr>
                <w:rFonts w:ascii="Arial" w:cs="Arial" w:eastAsia="Arial" w:hAnsi="Arial"/>
                <w:sz w:val="17"/>
                <w:szCs w:val="17"/>
                <w:b w:val="1"/>
                <w:bCs w:val="1"/>
                <w:color w:val="auto"/>
                <w:w w:val="95"/>
              </w:rPr>
              <w:t>20</w:t>
            </w:r>
            <w:r>
              <w:rPr>
                <w:rFonts w:ascii="Arial" w:cs="Arial" w:eastAsia="Arial" w:hAnsi="Arial"/>
                <w:sz w:val="25"/>
                <w:szCs w:val="25"/>
                <w:b w:val="1"/>
                <w:bCs w:val="1"/>
                <w:color w:val="auto"/>
                <w:w w:val="95"/>
                <w:vertAlign w:val="superscript"/>
              </w:rPr>
              <w:t>th</w:t>
            </w:r>
            <w:r>
              <w:rPr>
                <w:rFonts w:ascii="Arial" w:cs="Arial" w:eastAsia="Arial" w:hAnsi="Arial"/>
                <w:sz w:val="17"/>
                <w:szCs w:val="17"/>
                <w:b w:val="1"/>
                <w:bCs w:val="1"/>
                <w:color w:val="auto"/>
                <w:w w:val="95"/>
              </w:rPr>
              <w:t xml:space="preserve"> Floor</w:t>
            </w:r>
          </w:p>
        </w:tc>
      </w:tr>
      <w:tr>
        <w:trPr>
          <w:trHeight w:val="216"/>
        </w:trPr>
        <w:tc>
          <w:tcPr>
            <w:tcW w:w="40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4660" w:type="dxa"/>
            <w:vAlign w:val="bottom"/>
          </w:tcPr>
          <w:p>
            <w:pPr>
              <w:jc w:val="center"/>
              <w:ind w:left="2130"/>
              <w:spacing w:after="0"/>
              <w:rPr>
                <w:sz w:val="20"/>
                <w:szCs w:val="20"/>
                <w:color w:val="auto"/>
              </w:rPr>
            </w:pPr>
            <w:r>
              <w:rPr>
                <w:rFonts w:ascii="Arial" w:cs="Arial" w:eastAsia="Arial" w:hAnsi="Arial"/>
                <w:sz w:val="18"/>
                <w:szCs w:val="18"/>
                <w:b w:val="1"/>
                <w:bCs w:val="1"/>
                <w:color w:val="auto"/>
                <w:w w:val="89"/>
              </w:rPr>
              <w:t>San Francisco, California 94111</w:t>
            </w:r>
          </w:p>
        </w:tc>
      </w:tr>
      <w:tr>
        <w:trPr>
          <w:trHeight w:val="234"/>
        </w:trPr>
        <w:tc>
          <w:tcPr>
            <w:tcW w:w="40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(650) 243-5555</w:t>
            </w:r>
          </w:p>
        </w:tc>
        <w:tc>
          <w:tcPr>
            <w:tcW w:w="4660" w:type="dxa"/>
            <w:vAlign w:val="bottom"/>
          </w:tcPr>
          <w:p>
            <w:pPr>
              <w:jc w:val="center"/>
              <w:ind w:left="2150"/>
              <w:spacing w:after="0"/>
              <w:rPr>
                <w:sz w:val="20"/>
                <w:szCs w:val="20"/>
                <w:color w:val="auto"/>
              </w:rPr>
            </w:pPr>
            <w:r>
              <w:rPr>
                <w:rFonts w:ascii="Arial" w:cs="Arial" w:eastAsia="Arial" w:hAnsi="Arial"/>
                <w:sz w:val="18"/>
                <w:szCs w:val="18"/>
                <w:b w:val="1"/>
                <w:bCs w:val="1"/>
                <w:color w:val="auto"/>
                <w:w w:val="92"/>
              </w:rPr>
              <w:t>(415) 693-2000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the effective date of this Registration Statement.</w:t>
      </w:r>
    </w:p>
    <w:p>
      <w:pPr>
        <w:spacing w:after="0" w:line="241" w:lineRule="exact"/>
        <w:rPr>
          <w:sz w:val="24"/>
          <w:szCs w:val="24"/>
          <w:color w:val="auto"/>
        </w:rPr>
      </w:pPr>
    </w:p>
    <w:p>
      <w:pPr>
        <w:ind w:right="400"/>
        <w:spacing w:after="0" w:line="238"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ind w:right="120"/>
        <w:spacing w:after="0" w:line="237"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74" w:lineRule="exact"/>
        <w:rPr>
          <w:sz w:val="24"/>
          <w:szCs w:val="24"/>
          <w:color w:val="auto"/>
        </w:rPr>
      </w:pPr>
    </w:p>
    <w:p>
      <w:pPr>
        <w:ind w:right="120"/>
        <w:spacing w:after="0" w:line="238"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74" w:lineRule="exact"/>
        <w:rPr>
          <w:sz w:val="24"/>
          <w:szCs w:val="24"/>
          <w:color w:val="auto"/>
        </w:rPr>
      </w:pPr>
    </w:p>
    <w:p>
      <w:pPr>
        <w:ind w:right="340"/>
        <w:spacing w:after="0" w:line="238"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ind w:right="60"/>
        <w:spacing w:after="0" w:line="238"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9" w:right="439" w:bottom="68" w:gutter="0" w:footer="0" w:header="0"/>
        </w:sectPr>
      </w:pPr>
    </w:p>
    <w:bookmarkStart w:id="1" w:name="page2"/>
    <w:bookmarkEnd w:id="1"/>
    <w:p>
      <w:pPr>
        <w:ind w:right="200"/>
        <w:spacing w:after="0" w:line="238"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0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0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00" w:type="dxa"/>
            <w:vAlign w:val="bottom"/>
          </w:tcPr>
          <w:p>
            <w:pPr>
              <w:ind w:left="310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4" w:lineRule="exact"/>
        <w:rPr>
          <w:sz w:val="20"/>
          <w:szCs w:val="20"/>
          <w:color w:val="auto"/>
        </w:rPr>
      </w:pPr>
    </w:p>
    <w:p>
      <w:pPr>
        <w:ind w:right="260"/>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206375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167640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125" w:right="4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EXPLANATORY NOTE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NGM Biopharmaceuticals, Inc. (the “Registrant”) is filing this Pre-Effective Amendment No. 1 to the Registration Statement on</w:t>
      </w:r>
    </w:p>
    <w:p>
      <w:pPr>
        <w:spacing w:after="0" w:line="23" w:lineRule="exact"/>
        <w:rPr>
          <w:sz w:val="20"/>
          <w:szCs w:val="20"/>
          <w:color w:val="auto"/>
        </w:rPr>
      </w:pPr>
    </w:p>
    <w:p>
      <w:pPr>
        <w:spacing w:after="0" w:line="265" w:lineRule="auto"/>
        <w:rPr>
          <w:rFonts w:ascii="Arial" w:cs="Arial" w:eastAsia="Arial" w:hAnsi="Arial"/>
          <w:sz w:val="17"/>
          <w:szCs w:val="17"/>
          <w:color w:val="auto"/>
        </w:rPr>
      </w:pPr>
      <w:r>
        <w:rPr>
          <w:rFonts w:ascii="Arial" w:cs="Arial" w:eastAsia="Arial" w:hAnsi="Arial"/>
          <w:sz w:val="17"/>
          <w:szCs w:val="17"/>
          <w:color w:val="auto"/>
        </w:rPr>
        <w:t>Form S-3 (</w:t>
      </w:r>
      <w:hyperlink r:id="rId20">
        <w:r>
          <w:rPr>
            <w:rFonts w:ascii="Arial" w:cs="Arial" w:eastAsia="Arial" w:hAnsi="Arial"/>
            <w:sz w:val="17"/>
            <w:szCs w:val="17"/>
            <w:u w:val="single" w:color="auto"/>
            <w:color w:val="0000EE"/>
          </w:rPr>
          <w:t>File No. 333-272509),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initially filed on June 8, 2023 (the “Registration Statement”), solely to file an updated consent of Ernst &amp; Young LLP, the Registrant’s independent registered public accounting firm. Accordingly, this Pre-Effective Amendment No. 1 consists solely of</w:t>
      </w:r>
    </w:p>
    <w:p>
      <w:pPr>
        <w:ind w:right="240"/>
        <w:spacing w:after="0" w:line="260" w:lineRule="auto"/>
        <w:rPr>
          <w:sz w:val="20"/>
          <w:szCs w:val="20"/>
          <w:color w:val="auto"/>
        </w:rPr>
      </w:pPr>
      <w:r>
        <w:rPr>
          <w:rFonts w:ascii="Arial" w:cs="Arial" w:eastAsia="Arial" w:hAnsi="Arial"/>
          <w:sz w:val="18"/>
          <w:szCs w:val="18"/>
          <w:color w:val="auto"/>
        </w:rPr>
        <w:t>this explanatory note, Part II of the Registration Statement, the signatures and the exhibit index and is not intended to amend or delete any part of the Registration Statement except as specifically noted herein.</w:t>
      </w:r>
    </w:p>
    <w:p>
      <w:pPr>
        <w:sectPr>
          <w:pgSz w:w="11900" w:h="16838" w:orient="portrait"/>
          <w:cols w:equalWidth="0" w:num="1">
            <w:col w:w="10960"/>
          </w:cols>
          <w:pgMar w:left="440" w:top="486" w:right="499" w:bottom="1440" w:gutter="0" w:footer="0" w:header="0"/>
        </w:sectPr>
      </w:pPr>
    </w:p>
    <w:bookmarkStart w:id="3" w:name="page4"/>
    <w:bookmarkEnd w:id="3"/>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PART II</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374" w:lineRule="exact"/>
        <w:rPr>
          <w:sz w:val="20"/>
          <w:szCs w:val="20"/>
          <w:color w:val="auto"/>
        </w:rPr>
      </w:pPr>
    </w:p>
    <w:p>
      <w:pPr>
        <w:ind w:left="4"/>
        <w:spacing w:after="0"/>
        <w:tabs>
          <w:tab w:leader="none" w:pos="1084"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4" w:right="540" w:firstLine="440"/>
        <w:spacing w:after="0" w:line="277" w:lineRule="auto"/>
        <w:rPr>
          <w:sz w:val="20"/>
          <w:szCs w:val="20"/>
          <w:color w:val="auto"/>
        </w:rPr>
      </w:pPr>
      <w:r>
        <w:rPr>
          <w:rFonts w:ascii="Arial" w:cs="Arial" w:eastAsia="Arial" w:hAnsi="Arial"/>
          <w:sz w:val="18"/>
          <w:szCs w:val="18"/>
          <w:color w:val="auto"/>
        </w:rPr>
        <w:t>The following table sets forth an estimate of the fees and expenses, other than the underwriting discounts and commissions, payable by the registrant in connection with the issuance and distribution of the securities being registered.</w:t>
      </w:r>
    </w:p>
    <w:p>
      <w:pPr>
        <w:spacing w:after="0" w:line="189"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12,958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The Nasdaq Global Select Market listing fee</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Printing and miscellaneous fees and expenses</w:t>
            </w: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4" w:right="500" w:hanging="444"/>
        <w:spacing w:after="0" w:line="263" w:lineRule="auto"/>
        <w:tabs>
          <w:tab w:leader="none" w:pos="4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These fees are calculated based on the securities offered and the number of issuances and accordingly cannot be estimated at this time. An estimate of the aggregate expenses in connection with the sale and distribution of securities being offered will be included in the applicable prospectus or prospectus supplement.</w:t>
      </w:r>
    </w:p>
    <w:p>
      <w:pPr>
        <w:spacing w:after="0" w:line="328" w:lineRule="exact"/>
        <w:rPr>
          <w:sz w:val="20"/>
          <w:szCs w:val="20"/>
          <w:color w:val="auto"/>
        </w:rPr>
      </w:pPr>
    </w:p>
    <w:p>
      <w:pPr>
        <w:ind w:left="4"/>
        <w:spacing w:after="0"/>
        <w:tabs>
          <w:tab w:leader="none" w:pos="1084"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Section 145 of the General Corporation Law of the State of Delaware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as currently in effect provides for indemnification of our directors, officers, employees and other agents to the maximum extent permitted by the General Corporation Law of the State of Delaware, and our amended and restated bylaws provide for indemnification of our directors, officers, employees and other agents to the maximum extent permitted by the General Corporation Law of the State of Delaware.</w:t>
      </w:r>
    </w:p>
    <w:p>
      <w:pPr>
        <w:spacing w:after="0" w:line="178"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We have entered and expect to continue to enter into agreements to indemnify our directors and executive officers. With certain exceptions, these agreements provide for indemnification for related expenses including, among other things, attorneys’ fees, judgments, fines and settlement amounts incurred by any of these individuals in any action or proceeding.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88" w:lineRule="exact"/>
        <w:rPr>
          <w:sz w:val="20"/>
          <w:szCs w:val="20"/>
          <w:color w:val="auto"/>
        </w:rPr>
      </w:pPr>
    </w:p>
    <w:p>
      <w:pPr>
        <w:ind w:left="4" w:right="600" w:firstLine="440"/>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Exchange Act that might be incurred by any director or officer in his capacity as such.</w:t>
      </w:r>
    </w:p>
    <w:p>
      <w:pPr>
        <w:spacing w:after="0" w:line="170" w:lineRule="exact"/>
        <w:rPr>
          <w:sz w:val="20"/>
          <w:szCs w:val="20"/>
          <w:color w:val="auto"/>
        </w:rPr>
      </w:pPr>
    </w:p>
    <w:p>
      <w:pPr>
        <w:jc w:val="both"/>
        <w:ind w:left="4" w:right="120" w:firstLine="440"/>
        <w:spacing w:after="0" w:line="263" w:lineRule="auto"/>
        <w:rPr>
          <w:sz w:val="20"/>
          <w:szCs w:val="20"/>
          <w:color w:val="auto"/>
        </w:rPr>
      </w:pPr>
      <w:r>
        <w:rPr>
          <w:rFonts w:ascii="Arial" w:cs="Arial" w:eastAsia="Arial" w:hAnsi="Arial"/>
          <w:sz w:val="18"/>
          <w:szCs w:val="18"/>
          <w:color w:val="auto"/>
        </w:rPr>
        <w:t>In an underwriting agreement we may enter into in connection with the sale of our securities being registered hereby, the underwriters will agree to indemnify, under certain circumstances, us, our officers, our directors, and our controlling persons within the meaning of the Securities Act, against certain liabilities.</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0964"/>
          </w:cols>
          <w:pgMar w:left="436" w:top="486" w:right="49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5940" w:type="dxa"/>
            <w:vAlign w:val="bottom"/>
            <w:gridSpan w:val="16"/>
          </w:tcPr>
          <w:p>
            <w:pPr>
              <w:ind w:left="300"/>
              <w:spacing w:after="0"/>
              <w:rPr>
                <w:sz w:val="20"/>
                <w:szCs w:val="20"/>
                <w:color w:val="auto"/>
              </w:rPr>
            </w:pPr>
            <w:r>
              <w:rPr>
                <w:rFonts w:ascii="Arial" w:cs="Arial" w:eastAsia="Arial" w:hAnsi="Arial"/>
                <w:sz w:val="18"/>
                <w:szCs w:val="18"/>
                <w:b w:val="1"/>
                <w:bCs w:val="1"/>
                <w:color w:val="auto"/>
              </w:rPr>
              <w:t>Exhibits</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6"/>
          </w:tcPr>
          <w:p>
            <w:pPr>
              <w:ind w:left="260"/>
              <w:spacing w:after="0"/>
              <w:rPr>
                <w:sz w:val="20"/>
                <w:szCs w:val="20"/>
                <w:color w:val="auto"/>
              </w:rPr>
            </w:pPr>
            <w:r>
              <w:rPr>
                <w:rFonts w:ascii="Arial" w:cs="Arial" w:eastAsia="Arial" w:hAnsi="Arial"/>
                <w:sz w:val="18"/>
                <w:szCs w:val="18"/>
                <w:b w:val="1"/>
                <w:bCs w:val="1"/>
                <w:color w:val="auto"/>
              </w:rPr>
              <w:t>EXHIBIT INDEX</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Incorporation by Reference</w:t>
            </w: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Exhibit/</w:t>
            </w:r>
          </w:p>
        </w:tc>
        <w:tc>
          <w:tcPr>
            <w:tcW w:w="240" w:type="dxa"/>
            <w:vAlign w:val="bottom"/>
          </w:tcPr>
          <w:p>
            <w:pPr>
              <w:spacing w:after="0"/>
              <w:rPr>
                <w:sz w:val="10"/>
                <w:szCs w:val="10"/>
                <w:color w:val="auto"/>
              </w:rPr>
            </w:pPr>
          </w:p>
        </w:tc>
        <w:tc>
          <w:tcPr>
            <w:tcW w:w="5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Filing</w:t>
            </w:r>
          </w:p>
        </w:tc>
        <w:tc>
          <w:tcPr>
            <w:tcW w:w="260" w:type="dxa"/>
            <w:vAlign w:val="bottom"/>
          </w:tcPr>
          <w:p>
            <w:pPr>
              <w:spacing w:after="0"/>
              <w:rPr>
                <w:sz w:val="10"/>
                <w:szCs w:val="10"/>
                <w:color w:val="auto"/>
              </w:rPr>
            </w:pPr>
          </w:p>
        </w:tc>
        <w:tc>
          <w:tcPr>
            <w:tcW w:w="58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8"/>
        </w:trPr>
        <w:tc>
          <w:tcPr>
            <w:tcW w:w="80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40" w:type="dxa"/>
            <w:vAlign w:val="bottom"/>
            <w:gridSpan w:val="11"/>
            <w:vMerge w:val="restart"/>
          </w:tcPr>
          <w:p>
            <w:pPr>
              <w:ind w:left="80"/>
              <w:spacing w:after="0"/>
              <w:rPr>
                <w:sz w:val="20"/>
                <w:szCs w:val="20"/>
                <w:color w:val="auto"/>
              </w:rPr>
            </w:pPr>
            <w:r>
              <w:rPr>
                <w:rFonts w:ascii="Arial" w:cs="Arial" w:eastAsia="Arial" w:hAnsi="Arial"/>
                <w:sz w:val="14"/>
                <w:szCs w:val="14"/>
                <w:b w:val="1"/>
                <w:bCs w:val="1"/>
                <w:color w:val="auto"/>
              </w:rPr>
              <w:t>Exhibit Description</w:t>
            </w:r>
          </w:p>
        </w:tc>
        <w:tc>
          <w:tcPr>
            <w:tcW w:w="78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Form</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File Number</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Appendix</w:t>
            </w:r>
          </w:p>
        </w:tc>
        <w:tc>
          <w:tcPr>
            <w:tcW w:w="2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40" w:type="dxa"/>
            <w:vAlign w:val="bottom"/>
            <w:gridSpan w:val="11"/>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8"/>
              </w:rPr>
              <w:t>Reference</w:t>
            </w:r>
          </w:p>
        </w:tc>
        <w:tc>
          <w:tcPr>
            <w:tcW w:w="24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b w:val="1"/>
                <w:bCs w:val="1"/>
                <w:color w:val="auto"/>
              </w:rPr>
              <w:t>Date</w:t>
            </w: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318"/>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5940" w:type="dxa"/>
            <w:vAlign w:val="bottom"/>
            <w:tcBorders>
              <w:top w:val="single" w:sz="8" w:color="auto"/>
            </w:tcBorders>
            <w:gridSpan w:val="16"/>
          </w:tcPr>
          <w:p>
            <w:pPr>
              <w:spacing w:after="0"/>
              <w:rPr>
                <w:sz w:val="20"/>
                <w:szCs w:val="20"/>
                <w:color w:val="auto"/>
              </w:rPr>
            </w:pPr>
            <w:r>
              <w:rPr>
                <w:rFonts w:ascii="Arial" w:cs="Arial" w:eastAsia="Arial" w:hAnsi="Arial"/>
                <w:sz w:val="18"/>
                <w:szCs w:val="18"/>
                <w:color w:val="auto"/>
              </w:rPr>
              <w:t>Form of Underwriting Agreement.</w:t>
            </w:r>
          </w:p>
        </w:tc>
        <w:tc>
          <w:tcPr>
            <w:tcW w:w="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5940" w:type="dxa"/>
            <w:vAlign w:val="bottom"/>
            <w:tcBorders>
              <w:bottom w:val="single" w:sz="8" w:color="0000EE"/>
            </w:tcBorders>
            <w:gridSpan w:val="16"/>
          </w:tcPr>
          <w:p>
            <w:pPr>
              <w:spacing w:after="0" w:line="283" w:lineRule="exact"/>
              <w:rPr>
                <w:rFonts w:ascii="Arial" w:cs="Arial" w:eastAsia="Arial" w:hAnsi="Arial"/>
                <w:sz w:val="18"/>
                <w:szCs w:val="18"/>
                <w:color w:val="0000EE"/>
                <w:w w:val="88"/>
              </w:rPr>
            </w:pPr>
            <w:hyperlink r:id="rId22">
              <w:r>
                <w:rPr>
                  <w:rFonts w:ascii="Arial" w:cs="Arial" w:eastAsia="Arial" w:hAnsi="Arial"/>
                  <w:sz w:val="18"/>
                  <w:szCs w:val="18"/>
                  <w:color w:val="0000EE"/>
                  <w:w w:val="88"/>
                </w:rPr>
                <w:t>Open Market Sales Agreement</w:t>
              </w:r>
              <w:r>
                <w:rPr>
                  <w:rFonts w:ascii="Arial" w:cs="Arial" w:eastAsia="Arial" w:hAnsi="Arial"/>
                  <w:sz w:val="26"/>
                  <w:szCs w:val="26"/>
                  <w:color w:val="0000EE"/>
                  <w:w w:val="88"/>
                  <w:vertAlign w:val="superscript"/>
                </w:rPr>
                <w:t>SM</w:t>
              </w:r>
              <w:r>
                <w:rPr>
                  <w:rFonts w:ascii="Arial" w:cs="Arial" w:eastAsia="Arial" w:hAnsi="Arial"/>
                  <w:sz w:val="18"/>
                  <w:szCs w:val="18"/>
                  <w:color w:val="0000EE"/>
                  <w:w w:val="88"/>
                </w:rPr>
                <w:t>, dated June 5, 2020, between the Registrant and</w:t>
              </w:r>
            </w:hyperlink>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22">
              <w:r>
                <w:rPr>
                  <w:rFonts w:ascii="Arial" w:cs="Arial" w:eastAsia="Arial" w:hAnsi="Arial"/>
                  <w:sz w:val="18"/>
                  <w:szCs w:val="18"/>
                  <w:color w:val="0000EE"/>
                  <w:w w:val="91"/>
                </w:rPr>
                <w:t>Jefferies LLC.</w:t>
              </w:r>
            </w:hyperlink>
          </w:p>
        </w:tc>
        <w:tc>
          <w:tcPr>
            <w:tcW w:w="4900" w:type="dxa"/>
            <w:vAlign w:val="bottom"/>
            <w:gridSpan w:val="15"/>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S-3</w:t>
            </w:r>
          </w:p>
        </w:tc>
        <w:tc>
          <w:tcPr>
            <w:tcW w:w="11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w w:val="93"/>
              </w:rPr>
              <w:t>333-238991</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6/5/20</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4"/>
                <w:szCs w:val="24"/>
                <w:color w:val="auto"/>
              </w:rPr>
            </w:pPr>
          </w:p>
        </w:tc>
        <w:tc>
          <w:tcPr>
            <w:tcW w:w="5940" w:type="dxa"/>
            <w:vAlign w:val="bottom"/>
            <w:gridSpan w:val="16"/>
          </w:tcPr>
          <w:p>
            <w:pPr>
              <w:spacing w:after="0"/>
              <w:rPr>
                <w:rFonts w:ascii="Arial" w:cs="Arial" w:eastAsia="Arial" w:hAnsi="Arial"/>
                <w:sz w:val="18"/>
                <w:szCs w:val="18"/>
                <w:color w:val="0000EE"/>
                <w:w w:val="95"/>
              </w:rPr>
            </w:pPr>
            <w:hyperlink r:id="rId23">
              <w:r>
                <w:rPr>
                  <w:rFonts w:ascii="Arial" w:cs="Arial" w:eastAsia="Arial" w:hAnsi="Arial"/>
                  <w:sz w:val="18"/>
                  <w:szCs w:val="18"/>
                  <w:color w:val="0000EE"/>
                  <w:w w:val="95"/>
                </w:rPr>
                <w:t>Amendment No. 1. to Open Market Sales Agreement</w:t>
              </w:r>
            </w:hyperlink>
            <w:r>
              <w:rPr>
                <w:rFonts w:ascii="Arial" w:cs="Arial" w:eastAsia="Arial" w:hAnsi="Arial"/>
                <w:sz w:val="26"/>
                <w:szCs w:val="26"/>
                <w:color w:val="0000EE"/>
                <w:w w:val="95"/>
                <w:vertAlign w:val="superscript"/>
              </w:rPr>
              <w:t>SM</w:t>
            </w:r>
            <w:hyperlink r:id="rId23">
              <w:r>
                <w:rPr>
                  <w:rFonts w:ascii="Arial" w:cs="Arial" w:eastAsia="Arial" w:hAnsi="Arial"/>
                  <w:sz w:val="18"/>
                  <w:szCs w:val="18"/>
                  <w:color w:val="0000EE"/>
                  <w:w w:val="95"/>
                </w:rPr>
                <w:t>, dated June 7, 2023,</w:t>
              </w:r>
            </w:hyperlink>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23">
              <w:r>
                <w:rPr>
                  <w:rFonts w:ascii="Arial" w:cs="Arial" w:eastAsia="Arial" w:hAnsi="Arial"/>
                  <w:sz w:val="18"/>
                  <w:szCs w:val="18"/>
                  <w:color w:val="0000EE"/>
                  <w:w w:val="89"/>
                </w:rPr>
                <w:t>between the Registrant and Jefferies LLC.</w:t>
              </w:r>
            </w:hyperlink>
          </w:p>
        </w:tc>
        <w:tc>
          <w:tcPr>
            <w:tcW w:w="2500" w:type="dxa"/>
            <w:vAlign w:val="bottom"/>
            <w:tcBorders>
              <w:top w:val="single" w:sz="8" w:color="0000EE"/>
            </w:tcBorders>
            <w:gridSpan w:val="6"/>
          </w:tcPr>
          <w:p>
            <w:pPr>
              <w:spacing w:after="0"/>
              <w:rPr>
                <w:sz w:val="17"/>
                <w:szCs w:val="17"/>
                <w:color w:val="auto"/>
              </w:rPr>
            </w:pPr>
          </w:p>
        </w:tc>
        <w:tc>
          <w:tcPr>
            <w:tcW w:w="40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8-K</w:t>
            </w:r>
          </w:p>
        </w:tc>
        <w:tc>
          <w:tcPr>
            <w:tcW w:w="11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001-38853</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6/7/23</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3740" w:type="dxa"/>
            <w:vAlign w:val="bottom"/>
            <w:tcBorders>
              <w:bottom w:val="single" w:sz="8" w:color="0000EE"/>
            </w:tcBorders>
            <w:gridSpan w:val="10"/>
          </w:tcPr>
          <w:p>
            <w:pPr>
              <w:spacing w:after="0"/>
              <w:rPr>
                <w:rFonts w:ascii="Arial" w:cs="Arial" w:eastAsia="Arial" w:hAnsi="Arial"/>
                <w:sz w:val="18"/>
                <w:szCs w:val="18"/>
                <w:color w:val="0000EE"/>
                <w:w w:val="90"/>
              </w:rPr>
            </w:pPr>
            <w:hyperlink r:id="rId24">
              <w:r>
                <w:rPr>
                  <w:rFonts w:ascii="Arial" w:cs="Arial" w:eastAsia="Arial" w:hAnsi="Arial"/>
                  <w:sz w:val="18"/>
                  <w:szCs w:val="18"/>
                  <w:color w:val="0000EE"/>
                  <w:w w:val="90"/>
                </w:rPr>
                <w:t>Amended and Restated Certificate of Incorporation.</w:t>
              </w:r>
            </w:hyperlink>
          </w:p>
        </w:tc>
        <w:tc>
          <w:tcPr>
            <w:tcW w:w="2200" w:type="dxa"/>
            <w:vAlign w:val="bottom"/>
            <w:gridSpan w:val="6"/>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8-K</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001-38853</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4/8/19</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2300" w:type="dxa"/>
            <w:vAlign w:val="bottom"/>
            <w:tcBorders>
              <w:bottom w:val="single" w:sz="8" w:color="0000EE"/>
            </w:tcBorders>
            <w:gridSpan w:val="5"/>
          </w:tcPr>
          <w:p>
            <w:pPr>
              <w:spacing w:after="0"/>
              <w:rPr>
                <w:rFonts w:ascii="Arial" w:cs="Arial" w:eastAsia="Arial" w:hAnsi="Arial"/>
                <w:sz w:val="18"/>
                <w:szCs w:val="18"/>
                <w:color w:val="0000EE"/>
                <w:w w:val="88"/>
              </w:rPr>
            </w:pPr>
            <w:hyperlink r:id="rId25">
              <w:r>
                <w:rPr>
                  <w:rFonts w:ascii="Arial" w:cs="Arial" w:eastAsia="Arial" w:hAnsi="Arial"/>
                  <w:sz w:val="18"/>
                  <w:szCs w:val="18"/>
                  <w:color w:val="0000EE"/>
                  <w:w w:val="88"/>
                </w:rPr>
                <w:t>Amended and Restated Bylaws.</w:t>
              </w:r>
            </w:hyperlink>
          </w:p>
        </w:tc>
        <w:tc>
          <w:tcPr>
            <w:tcW w:w="3640" w:type="dxa"/>
            <w:vAlign w:val="bottom"/>
            <w:gridSpan w:val="11"/>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S-1</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333-227608</w:t>
            </w: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9/28/18</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5940" w:type="dxa"/>
            <w:vAlign w:val="bottom"/>
            <w:gridSpan w:val="16"/>
          </w:tcPr>
          <w:p>
            <w:pPr>
              <w:spacing w:after="0"/>
              <w:rPr>
                <w:rFonts w:ascii="Arial" w:cs="Arial" w:eastAsia="Arial" w:hAnsi="Arial"/>
                <w:sz w:val="18"/>
                <w:szCs w:val="18"/>
                <w:color w:val="0000EE"/>
              </w:rPr>
            </w:pPr>
            <w:hyperlink r:id="rId26">
              <w:r>
                <w:rPr>
                  <w:rFonts w:ascii="Arial" w:cs="Arial" w:eastAsia="Arial" w:hAnsi="Arial"/>
                  <w:sz w:val="18"/>
                  <w:szCs w:val="18"/>
                  <w:color w:val="0000EE"/>
                </w:rPr>
                <w:t>Form of Common Stock Certificate.</w:t>
              </w:r>
            </w:hyperlink>
          </w:p>
        </w:tc>
        <w:tc>
          <w:tcPr>
            <w:tcW w:w="20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S-1</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333-227608</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4/1/19</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5940" w:type="dxa"/>
            <w:vAlign w:val="bottom"/>
            <w:gridSpan w:val="16"/>
          </w:tcPr>
          <w:p>
            <w:pPr>
              <w:spacing w:after="0"/>
              <w:rPr>
                <w:sz w:val="20"/>
                <w:szCs w:val="20"/>
                <w:color w:val="auto"/>
              </w:rPr>
            </w:pPr>
            <w:r>
              <w:rPr>
                <w:rFonts w:ascii="Arial" w:cs="Arial" w:eastAsia="Arial" w:hAnsi="Arial"/>
                <w:sz w:val="18"/>
                <w:szCs w:val="18"/>
                <w:color w:val="auto"/>
                <w:w w:val="94"/>
              </w:rPr>
              <w:t>Specimen Preferred Stock Certificate and Form of Certificate of Designation of</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40" w:type="dxa"/>
            <w:vAlign w:val="bottom"/>
            <w:gridSpan w:val="16"/>
          </w:tcPr>
          <w:p>
            <w:pPr>
              <w:spacing w:after="0"/>
              <w:rPr>
                <w:sz w:val="20"/>
                <w:szCs w:val="20"/>
                <w:color w:val="auto"/>
              </w:rPr>
            </w:pPr>
            <w:r>
              <w:rPr>
                <w:rFonts w:ascii="Arial" w:cs="Arial" w:eastAsia="Arial" w:hAnsi="Arial"/>
                <w:sz w:val="18"/>
                <w:szCs w:val="18"/>
                <w:color w:val="auto"/>
              </w:rPr>
              <w:t>Preferred Stock.</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4"/>
                <w:szCs w:val="24"/>
                <w:color w:val="auto"/>
              </w:rPr>
            </w:pPr>
          </w:p>
        </w:tc>
        <w:tc>
          <w:tcPr>
            <w:tcW w:w="1760" w:type="dxa"/>
            <w:vAlign w:val="bottom"/>
            <w:tcBorders>
              <w:bottom w:val="single" w:sz="8" w:color="0000EE"/>
            </w:tcBorders>
            <w:gridSpan w:val="4"/>
          </w:tcPr>
          <w:p>
            <w:pPr>
              <w:spacing w:after="0"/>
              <w:rPr>
                <w:rFonts w:ascii="Arial" w:cs="Arial" w:eastAsia="Arial" w:hAnsi="Arial"/>
                <w:sz w:val="18"/>
                <w:szCs w:val="18"/>
                <w:color w:val="0000EE"/>
                <w:w w:val="91"/>
              </w:rPr>
            </w:pPr>
            <w:hyperlink r:id="rId27">
              <w:r>
                <w:rPr>
                  <w:rFonts w:ascii="Arial" w:cs="Arial" w:eastAsia="Arial" w:hAnsi="Arial"/>
                  <w:sz w:val="18"/>
                  <w:szCs w:val="18"/>
                  <w:color w:val="0000EE"/>
                  <w:w w:val="91"/>
                </w:rPr>
                <w:t>Form of Debt Indenture.</w:t>
              </w:r>
            </w:hyperlink>
          </w:p>
        </w:tc>
        <w:tc>
          <w:tcPr>
            <w:tcW w:w="4180" w:type="dxa"/>
            <w:vAlign w:val="bottom"/>
            <w:gridSpan w:val="12"/>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S-3</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333-272509</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6/8/23</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4"/>
                <w:szCs w:val="24"/>
                <w:color w:val="auto"/>
              </w:rPr>
            </w:pPr>
          </w:p>
        </w:tc>
        <w:tc>
          <w:tcPr>
            <w:tcW w:w="5940" w:type="dxa"/>
            <w:vAlign w:val="bottom"/>
            <w:gridSpan w:val="16"/>
          </w:tcPr>
          <w:p>
            <w:pPr>
              <w:spacing w:after="0"/>
              <w:rPr>
                <w:sz w:val="20"/>
                <w:szCs w:val="20"/>
                <w:color w:val="auto"/>
              </w:rPr>
            </w:pPr>
            <w:r>
              <w:rPr>
                <w:rFonts w:ascii="Arial" w:cs="Arial" w:eastAsia="Arial" w:hAnsi="Arial"/>
                <w:sz w:val="18"/>
                <w:szCs w:val="18"/>
                <w:color w:val="auto"/>
              </w:rPr>
              <w:t>Form of Debt Securities.</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4"/>
                <w:szCs w:val="24"/>
                <w:color w:val="auto"/>
              </w:rPr>
            </w:pPr>
          </w:p>
        </w:tc>
        <w:tc>
          <w:tcPr>
            <w:tcW w:w="5000" w:type="dxa"/>
            <w:vAlign w:val="bottom"/>
            <w:tcBorders>
              <w:bottom w:val="single" w:sz="8" w:color="0000EE"/>
            </w:tcBorders>
            <w:gridSpan w:val="13"/>
          </w:tcPr>
          <w:p>
            <w:pPr>
              <w:spacing w:after="0"/>
              <w:rPr>
                <w:rFonts w:ascii="Arial" w:cs="Arial" w:eastAsia="Arial" w:hAnsi="Arial"/>
                <w:sz w:val="18"/>
                <w:szCs w:val="18"/>
                <w:color w:val="0000EE"/>
                <w:w w:val="91"/>
              </w:rPr>
            </w:pPr>
            <w:hyperlink r:id="rId28">
              <w:r>
                <w:rPr>
                  <w:rFonts w:ascii="Arial" w:cs="Arial" w:eastAsia="Arial" w:hAnsi="Arial"/>
                  <w:sz w:val="18"/>
                  <w:szCs w:val="18"/>
                  <w:color w:val="0000EE"/>
                  <w:w w:val="91"/>
                </w:rPr>
                <w:t>Form of Common Stock Warrant Agreement and Warrant Certificate.</w:t>
              </w:r>
            </w:hyperlink>
          </w:p>
        </w:tc>
        <w:tc>
          <w:tcPr>
            <w:tcW w:w="94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S-3</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333-272509</w:t>
            </w: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6/8/23</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24"/>
                <w:szCs w:val="24"/>
                <w:color w:val="auto"/>
              </w:rPr>
            </w:pPr>
          </w:p>
        </w:tc>
        <w:tc>
          <w:tcPr>
            <w:tcW w:w="4980" w:type="dxa"/>
            <w:vAlign w:val="bottom"/>
            <w:tcBorders>
              <w:bottom w:val="single" w:sz="8" w:color="0000EE"/>
            </w:tcBorders>
            <w:gridSpan w:val="12"/>
          </w:tcPr>
          <w:p>
            <w:pPr>
              <w:spacing w:after="0"/>
              <w:rPr>
                <w:rFonts w:ascii="Arial" w:cs="Arial" w:eastAsia="Arial" w:hAnsi="Arial"/>
                <w:sz w:val="18"/>
                <w:szCs w:val="18"/>
                <w:color w:val="0000EE"/>
                <w:w w:val="90"/>
              </w:rPr>
            </w:pPr>
            <w:hyperlink r:id="rId29">
              <w:r>
                <w:rPr>
                  <w:rFonts w:ascii="Arial" w:cs="Arial" w:eastAsia="Arial" w:hAnsi="Arial"/>
                  <w:sz w:val="18"/>
                  <w:szCs w:val="18"/>
                  <w:color w:val="0000EE"/>
                  <w:w w:val="90"/>
                </w:rPr>
                <w:t>Form of Preferred Stock Warrant Agreement and Warrant Certificate.</w:t>
              </w:r>
            </w:hyperlink>
          </w:p>
        </w:tc>
        <w:tc>
          <w:tcPr>
            <w:tcW w:w="96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S-3</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333-272509</w:t>
            </w: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6/8/23</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4"/>
                <w:szCs w:val="24"/>
                <w:color w:val="auto"/>
              </w:rPr>
            </w:pPr>
          </w:p>
        </w:tc>
        <w:tc>
          <w:tcPr>
            <w:tcW w:w="4960" w:type="dxa"/>
            <w:vAlign w:val="bottom"/>
            <w:tcBorders>
              <w:bottom w:val="single" w:sz="8" w:color="0000EE"/>
            </w:tcBorders>
            <w:gridSpan w:val="11"/>
          </w:tcPr>
          <w:p>
            <w:pPr>
              <w:spacing w:after="0"/>
              <w:rPr>
                <w:rFonts w:ascii="Arial" w:cs="Arial" w:eastAsia="Arial" w:hAnsi="Arial"/>
                <w:sz w:val="18"/>
                <w:szCs w:val="18"/>
                <w:color w:val="0000EE"/>
                <w:w w:val="90"/>
              </w:rPr>
            </w:pPr>
            <w:hyperlink r:id="rId30">
              <w:r>
                <w:rPr>
                  <w:rFonts w:ascii="Arial" w:cs="Arial" w:eastAsia="Arial" w:hAnsi="Arial"/>
                  <w:sz w:val="18"/>
                  <w:szCs w:val="18"/>
                  <w:color w:val="0000EE"/>
                  <w:w w:val="90"/>
                </w:rPr>
                <w:t>Form of Debt Securities Warrant Agreement and Warrant Certificate.</w:t>
              </w:r>
            </w:hyperlink>
          </w:p>
        </w:tc>
        <w:tc>
          <w:tcPr>
            <w:tcW w:w="980" w:type="dxa"/>
            <w:vAlign w:val="bottom"/>
            <w:gridSpan w:val="5"/>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S-3</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333-272509</w:t>
            </w: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6/8/23</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4"/>
                <w:szCs w:val="24"/>
                <w:color w:val="auto"/>
              </w:rPr>
            </w:pPr>
          </w:p>
        </w:tc>
        <w:tc>
          <w:tcPr>
            <w:tcW w:w="5940" w:type="dxa"/>
            <w:vAlign w:val="bottom"/>
            <w:gridSpan w:val="16"/>
          </w:tcPr>
          <w:p>
            <w:pPr>
              <w:spacing w:after="0"/>
              <w:rPr>
                <w:rFonts w:ascii="Arial" w:cs="Arial" w:eastAsia="Arial" w:hAnsi="Arial"/>
                <w:sz w:val="18"/>
                <w:szCs w:val="18"/>
                <w:color w:val="0000EE"/>
              </w:rPr>
            </w:pPr>
            <w:hyperlink r:id="rId31">
              <w:r>
                <w:rPr>
                  <w:rFonts w:ascii="Arial" w:cs="Arial" w:eastAsia="Arial" w:hAnsi="Arial"/>
                  <w:sz w:val="18"/>
                  <w:szCs w:val="18"/>
                  <w:color w:val="0000EE"/>
                </w:rPr>
                <w:t>Opinion of Cooley LLP.</w:t>
              </w:r>
            </w:hyperlink>
          </w:p>
        </w:tc>
        <w:tc>
          <w:tcPr>
            <w:tcW w:w="20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S-3</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333-272509</w:t>
            </w: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6/8/23</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24"/>
                <w:szCs w:val="24"/>
                <w:color w:val="auto"/>
              </w:rPr>
            </w:pPr>
          </w:p>
        </w:tc>
        <w:tc>
          <w:tcPr>
            <w:tcW w:w="5940" w:type="dxa"/>
            <w:vAlign w:val="bottom"/>
            <w:gridSpan w:val="16"/>
          </w:tcPr>
          <w:p>
            <w:pPr>
              <w:spacing w:after="0"/>
              <w:rPr>
                <w:sz w:val="20"/>
                <w:szCs w:val="20"/>
                <w:color w:val="auto"/>
              </w:rPr>
            </w:pPr>
            <w:r>
              <w:rPr>
                <w:rFonts w:ascii="Arial" w:cs="Arial" w:eastAsia="Arial" w:hAnsi="Arial"/>
                <w:sz w:val="18"/>
                <w:szCs w:val="18"/>
                <w:color w:val="0000EE"/>
                <w:w w:val="94"/>
              </w:rPr>
              <w:t>Consent of Ernst &amp; Young LLP, independent registered public accounting firm.</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24"/>
                <w:szCs w:val="24"/>
                <w:color w:val="auto"/>
              </w:rPr>
            </w:pPr>
          </w:p>
        </w:tc>
        <w:tc>
          <w:tcPr>
            <w:tcW w:w="5700" w:type="dxa"/>
            <w:vAlign w:val="bottom"/>
            <w:tcBorders>
              <w:top w:val="single" w:sz="8" w:color="0000EE"/>
            </w:tcBorders>
            <w:gridSpan w:val="15"/>
          </w:tcPr>
          <w:p>
            <w:pPr>
              <w:spacing w:after="0"/>
              <w:rPr>
                <w:rFonts w:ascii="Arial" w:cs="Arial" w:eastAsia="Arial" w:hAnsi="Arial"/>
                <w:sz w:val="18"/>
                <w:szCs w:val="18"/>
                <w:color w:val="0000EE"/>
              </w:rPr>
            </w:pPr>
            <w:hyperlink r:id="rId31">
              <w:r>
                <w:rPr>
                  <w:rFonts w:ascii="Arial" w:cs="Arial" w:eastAsia="Arial" w:hAnsi="Arial"/>
                  <w:sz w:val="18"/>
                  <w:szCs w:val="18"/>
                  <w:color w:val="0000EE"/>
                </w:rPr>
                <w:t>Consent of Cooley LLP (included in Exhibit 5.1).</w:t>
              </w:r>
            </w:hyperlink>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S-3</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333-272509</w:t>
            </w: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6/8/23</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24"/>
                <w:szCs w:val="24"/>
                <w:color w:val="auto"/>
              </w:rPr>
            </w:pPr>
          </w:p>
        </w:tc>
        <w:tc>
          <w:tcPr>
            <w:tcW w:w="28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r:id="rId32">
              <w:r>
                <w:rPr>
                  <w:rFonts w:ascii="Arial" w:cs="Arial" w:eastAsia="Arial" w:hAnsi="Arial"/>
                  <w:sz w:val="18"/>
                  <w:szCs w:val="18"/>
                  <w:color w:val="0000EE"/>
                  <w:w w:val="89"/>
                </w:rPr>
                <w:t>Power of Attorney (see signature page).</w:t>
              </w:r>
            </w:hyperlink>
          </w:p>
        </w:tc>
        <w:tc>
          <w:tcPr>
            <w:tcW w:w="700" w:type="dxa"/>
            <w:vAlign w:val="bottom"/>
            <w:tcBorders>
              <w:top w:val="single" w:sz="8" w:color="0000EE"/>
            </w:tcBorders>
            <w:gridSpan w:val="2"/>
          </w:tcPr>
          <w:p>
            <w:pPr>
              <w:spacing w:after="0"/>
              <w:rPr>
                <w:sz w:val="24"/>
                <w:szCs w:val="24"/>
                <w:color w:val="auto"/>
              </w:rPr>
            </w:pPr>
          </w:p>
        </w:tc>
        <w:tc>
          <w:tcPr>
            <w:tcW w:w="2380" w:type="dxa"/>
            <w:vAlign w:val="bottom"/>
            <w:gridSpan w:val="7"/>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S-3</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333-272509</w:t>
            </w:r>
          </w:p>
        </w:tc>
        <w:tc>
          <w:tcPr>
            <w:tcW w:w="6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6/8/23</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00" w:type="dxa"/>
            <w:vAlign w:val="bottom"/>
          </w:tcPr>
          <w:p>
            <w:pPr>
              <w:spacing w:after="0"/>
              <w:rPr>
                <w:sz w:val="20"/>
                <w:szCs w:val="20"/>
                <w:color w:val="auto"/>
              </w:rPr>
            </w:pPr>
            <w:r>
              <w:rPr>
                <w:rFonts w:ascii="Arial" w:cs="Arial" w:eastAsia="Arial" w:hAnsi="Arial"/>
                <w:sz w:val="18"/>
                <w:szCs w:val="18"/>
                <w:color w:val="auto"/>
              </w:rPr>
              <w:t>25.1*</w:t>
            </w:r>
          </w:p>
        </w:tc>
        <w:tc>
          <w:tcPr>
            <w:tcW w:w="300" w:type="dxa"/>
            <w:vAlign w:val="bottom"/>
          </w:tcPr>
          <w:p>
            <w:pPr>
              <w:spacing w:after="0"/>
              <w:rPr>
                <w:sz w:val="24"/>
                <w:szCs w:val="24"/>
                <w:color w:val="auto"/>
              </w:rPr>
            </w:pPr>
          </w:p>
        </w:tc>
        <w:tc>
          <w:tcPr>
            <w:tcW w:w="5940" w:type="dxa"/>
            <w:vAlign w:val="bottom"/>
            <w:gridSpan w:val="16"/>
          </w:tcPr>
          <w:p>
            <w:pPr>
              <w:spacing w:after="0"/>
              <w:rPr>
                <w:sz w:val="20"/>
                <w:szCs w:val="20"/>
                <w:color w:val="auto"/>
              </w:rPr>
            </w:pPr>
            <w:r>
              <w:rPr>
                <w:rFonts w:ascii="Arial" w:cs="Arial" w:eastAsia="Arial" w:hAnsi="Arial"/>
                <w:sz w:val="18"/>
                <w:szCs w:val="18"/>
                <w:color w:val="auto"/>
                <w:w w:val="91"/>
              </w:rPr>
              <w:t>Statement of Eligibility of Trustee under the Debt Indenture (to be filed separately</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40" w:type="dxa"/>
            <w:vAlign w:val="bottom"/>
            <w:gridSpan w:val="16"/>
          </w:tcPr>
          <w:p>
            <w:pPr>
              <w:spacing w:after="0"/>
              <w:rPr>
                <w:sz w:val="20"/>
                <w:szCs w:val="20"/>
                <w:color w:val="auto"/>
              </w:rPr>
            </w:pPr>
            <w:r>
              <w:rPr>
                <w:rFonts w:ascii="Arial" w:cs="Arial" w:eastAsia="Arial" w:hAnsi="Arial"/>
                <w:sz w:val="18"/>
                <w:szCs w:val="18"/>
                <w:color w:val="auto"/>
              </w:rPr>
              <w:t>under the electronic form type 305B2, if applicable).</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24"/>
                <w:szCs w:val="24"/>
                <w:color w:val="auto"/>
              </w:rPr>
            </w:pPr>
          </w:p>
        </w:tc>
        <w:tc>
          <w:tcPr>
            <w:tcW w:w="1220" w:type="dxa"/>
            <w:vAlign w:val="bottom"/>
            <w:tcBorders>
              <w:bottom w:val="single" w:sz="8" w:color="0000EE"/>
            </w:tcBorders>
            <w:gridSpan w:val="2"/>
          </w:tcPr>
          <w:p>
            <w:pPr>
              <w:spacing w:after="0"/>
              <w:rPr>
                <w:rFonts w:ascii="Arial" w:cs="Arial" w:eastAsia="Arial" w:hAnsi="Arial"/>
                <w:sz w:val="18"/>
                <w:szCs w:val="18"/>
                <w:color w:val="0000EE"/>
                <w:w w:val="89"/>
              </w:rPr>
            </w:pPr>
            <w:hyperlink r:id="rId33">
              <w:r>
                <w:rPr>
                  <w:rFonts w:ascii="Arial" w:cs="Arial" w:eastAsia="Arial" w:hAnsi="Arial"/>
                  <w:sz w:val="18"/>
                  <w:szCs w:val="18"/>
                  <w:color w:val="0000EE"/>
                  <w:w w:val="89"/>
                </w:rPr>
                <w:t>Filing Fee Table.</w:t>
              </w:r>
            </w:hyperlink>
          </w:p>
        </w:tc>
        <w:tc>
          <w:tcPr>
            <w:tcW w:w="4720" w:type="dxa"/>
            <w:vAlign w:val="bottom"/>
            <w:gridSpan w:val="14"/>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S-3</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333-272509</w:t>
            </w: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6/8/23</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364" w:right="1360" w:hanging="5364"/>
        <w:spacing w:after="0" w:line="449" w:lineRule="auto"/>
        <w:tabs>
          <w:tab w:leader="none" w:pos="431"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be filed by amendment or as an exhibit to a Current Report on Form 8-K and incorporated herein by reference, if applicable. II-2</w:t>
      </w:r>
    </w:p>
    <w:p>
      <w:pPr>
        <w:sectPr>
          <w:pgSz w:w="11900" w:h="16838" w:orient="portrait"/>
          <w:cols w:equalWidth="0" w:num="1">
            <w:col w:w="10984"/>
          </w:cols>
          <w:pgMar w:left="436" w:top="486" w:right="479" w:bottom="1440" w:gutter="0" w:footer="0" w:header="0"/>
        </w:sectPr>
      </w:pPr>
    </w:p>
    <w:bookmarkStart w:id="5" w:name="page6"/>
    <w:bookmarkEnd w:id="5"/>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980" w:hanging="54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20" w:hanging="433"/>
        <w:spacing w:after="0" w:line="291" w:lineRule="auto"/>
        <w:tabs>
          <w:tab w:leader="none" w:pos="142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71" w:lineRule="exact"/>
        <w:rPr>
          <w:rFonts w:ascii="Arial" w:cs="Arial" w:eastAsia="Arial" w:hAnsi="Arial"/>
          <w:sz w:val="16"/>
          <w:szCs w:val="16"/>
          <w:color w:val="auto"/>
        </w:rPr>
      </w:pPr>
    </w:p>
    <w:p>
      <w:pPr>
        <w:ind w:left="1420" w:right="80" w:hanging="433"/>
        <w:spacing w:after="0" w:line="277"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rFonts w:ascii="Arial" w:cs="Arial" w:eastAsia="Arial" w:hAnsi="Arial"/>
          <w:sz w:val="18"/>
          <w:szCs w:val="18"/>
          <w:color w:val="auto"/>
        </w:rPr>
      </w:pPr>
    </w:p>
    <w:p>
      <w:pPr>
        <w:ind w:left="1420"/>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(l)(i), (l)(ii) and (l)(iii) of this section do not apply if the information required to be included in a</w:t>
      </w:r>
      <w:r>
        <w:rPr>
          <w:rFonts w:ascii="Arial" w:cs="Arial" w:eastAsia="Arial" w:hAnsi="Arial"/>
          <w:sz w:val="18"/>
          <w:szCs w:val="18"/>
          <w:i w:val="1"/>
          <w:iCs w:val="1"/>
          <w:color w:val="auto"/>
        </w:rPr>
        <w:t xml:space="preserve"> </w:t>
      </w:r>
      <w:r>
        <w:rPr>
          <w:rFonts w:ascii="Arial" w:cs="Arial" w:eastAsia="Arial" w:hAnsi="Arial"/>
          <w:sz w:val="18"/>
          <w:szCs w:val="18"/>
          <w:color w:val="auto"/>
        </w:rPr>
        <w:t>post-effective amendment by those paragraphs is contained in reports filed with or furnished to the Securities and Exchange Commission by the registrant pursuant to Section 13 or Section 15(d) of the Securities Exchange Act of 1934, as amended (the “Exchange Act”) that are incorporated by reference in the registration statement, or is contained in a form of prospectus filed pursuant to Rule 424(b) that is part of the registration statement;</w:t>
      </w:r>
    </w:p>
    <w:p>
      <w:pPr>
        <w:spacing w:after="0" w:line="93" w:lineRule="exact"/>
        <w:rPr>
          <w:rFonts w:ascii="Arial" w:cs="Arial" w:eastAsia="Arial" w:hAnsi="Arial"/>
          <w:sz w:val="18"/>
          <w:szCs w:val="18"/>
          <w:color w:val="auto"/>
        </w:rPr>
      </w:pPr>
    </w:p>
    <w:p>
      <w:pPr>
        <w:jc w:val="both"/>
        <w:ind w:left="980" w:right="200" w:hanging="54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9" w:lineRule="exact"/>
        <w:rPr>
          <w:rFonts w:ascii="Arial" w:cs="Arial" w:eastAsia="Arial" w:hAnsi="Arial"/>
          <w:sz w:val="18"/>
          <w:szCs w:val="18"/>
          <w:color w:val="auto"/>
        </w:rPr>
      </w:pPr>
    </w:p>
    <w:p>
      <w:pPr>
        <w:ind w:left="980" w:right="280" w:hanging="54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420" w:right="140" w:hanging="433"/>
        <w:spacing w:after="0" w:line="277"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0940"/>
          </w:cols>
          <w:pgMar w:left="440" w:top="486" w:right="519" w:bottom="1440" w:gutter="0" w:footer="0" w:header="0"/>
        </w:sectPr>
      </w:pPr>
    </w:p>
    <w:bookmarkStart w:id="6" w:name="page7"/>
    <w:bookmarkEnd w:id="6"/>
    <w:p>
      <w:pPr>
        <w:ind w:left="984" w:right="40" w:hanging="433"/>
        <w:spacing w:after="0" w:line="287" w:lineRule="auto"/>
        <w:tabs>
          <w:tab w:leader="none" w:pos="984" w:val="left"/>
        </w:tabs>
        <w:numPr>
          <w:ilvl w:val="1"/>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Each prospectus required to be filed pursuant to Rule 424(b)(2), (b)(5), or (b)(7) as part of a registration statement in reliance on Rule 430B relating to an offering made pursuant to Rule 415(a)(l)(i),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3" w:lineRule="exact"/>
        <w:rPr>
          <w:rFonts w:ascii="Arial" w:cs="Arial" w:eastAsia="Arial" w:hAnsi="Arial"/>
          <w:sz w:val="16"/>
          <w:szCs w:val="16"/>
          <w:color w:val="auto"/>
        </w:rPr>
      </w:pPr>
    </w:p>
    <w:p>
      <w:pPr>
        <w:ind w:left="544" w:hanging="544"/>
        <w:spacing w:after="0" w:line="257" w:lineRule="auto"/>
        <w:tabs>
          <w:tab w:leader="none" w:pos="5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984" w:right="140" w:hanging="433"/>
        <w:spacing w:after="0" w:line="277" w:lineRule="auto"/>
        <w:tabs>
          <w:tab w:leader="none" w:pos="984"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984" w:right="200" w:hanging="433"/>
        <w:spacing w:after="0" w:line="277" w:lineRule="auto"/>
        <w:tabs>
          <w:tab w:leader="none" w:pos="984"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984" w:right="500" w:hanging="433"/>
        <w:spacing w:after="0" w:line="277" w:lineRule="auto"/>
        <w:tabs>
          <w:tab w:leader="none" w:pos="984"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984" w:hanging="433"/>
        <w:spacing w:after="0"/>
        <w:tabs>
          <w:tab w:leader="none" w:pos="984"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1" w:lineRule="exact"/>
        <w:rPr>
          <w:sz w:val="20"/>
          <w:szCs w:val="20"/>
          <w:color w:val="auto"/>
        </w:rPr>
      </w:pPr>
    </w:p>
    <w:p>
      <w:pPr>
        <w:ind w:left="544" w:right="140" w:hanging="544"/>
        <w:spacing w:after="0" w:line="257" w:lineRule="auto"/>
        <w:tabs>
          <w:tab w:leader="none" w:pos="54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3" w:lineRule="exact"/>
        <w:rPr>
          <w:rFonts w:ascii="Arial" w:cs="Arial" w:eastAsia="Arial" w:hAnsi="Arial"/>
          <w:sz w:val="18"/>
          <w:szCs w:val="18"/>
          <w:color w:val="auto"/>
        </w:rPr>
      </w:pPr>
    </w:p>
    <w:p>
      <w:pPr>
        <w:ind w:left="544" w:right="40" w:hanging="544"/>
        <w:spacing w:after="0" w:line="253" w:lineRule="auto"/>
        <w:tabs>
          <w:tab w:leader="none" w:pos="54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9"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0584"/>
          </w:cols>
          <w:pgMar w:left="876" w:top="490" w:right="439" w:bottom="1440" w:gutter="0" w:footer="0" w:header="0"/>
        </w:sectPr>
      </w:pPr>
    </w:p>
    <w:bookmarkStart w:id="7" w:name="page8"/>
    <w:bookmarkEnd w:id="7"/>
    <w:p>
      <w:pPr>
        <w:jc w:val="both"/>
        <w:ind w:left="544" w:hanging="544"/>
        <w:spacing w:after="0" w:line="263" w:lineRule="auto"/>
        <w:tabs>
          <w:tab w:leader="none" w:pos="544"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If and when applicable, 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16" w:lineRule="exact"/>
        <w:rPr>
          <w:sz w:val="20"/>
          <w:szCs w:val="20"/>
          <w:color w:val="auto"/>
        </w:rPr>
      </w:pPr>
    </w:p>
    <w:p>
      <w:pPr>
        <w:jc w:val="center"/>
        <w:ind w:right="336"/>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484"/>
          </w:cols>
          <w:pgMar w:left="876" w:top="490" w:right="539" w:bottom="1440" w:gutter="0" w:footer="0" w:header="0"/>
        </w:sectPr>
      </w:pPr>
    </w:p>
    <w:bookmarkStart w:id="8" w:name="page9"/>
    <w:bookmarkEnd w:id="8"/>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this 4th day of August, 2023.</w:t>
      </w:r>
    </w:p>
    <w:p>
      <w:pPr>
        <w:spacing w:after="0" w:line="20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David J. Woodhouse,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David J. Woodhouse, Ph.D.</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Executive Officer</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800"/>
          </w:cols>
          <w:pgMar w:left="440" w:top="486" w:right="6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3700" w:type="dxa"/>
            <w:vAlign w:val="bottom"/>
          </w:tcPr>
          <w:p>
            <w:pPr>
              <w:jc w:val="center"/>
              <w:ind w:right="391"/>
              <w:spacing w:after="0"/>
              <w:rPr>
                <w:sz w:val="20"/>
                <w:szCs w:val="20"/>
                <w:color w:val="auto"/>
              </w:rPr>
            </w:pPr>
            <w:r>
              <w:rPr>
                <w:rFonts w:ascii="Arial" w:cs="Arial" w:eastAsia="Arial" w:hAnsi="Arial"/>
                <w:sz w:val="14"/>
                <w:szCs w:val="14"/>
                <w:b w:val="1"/>
                <w:bCs w:val="1"/>
                <w:color w:val="auto"/>
                <w:w w:val="89"/>
              </w:rPr>
              <w:t>Signature</w:t>
            </w:r>
          </w:p>
        </w:tc>
        <w:tc>
          <w:tcPr>
            <w:tcW w:w="22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1720" w:type="dxa"/>
            <w:vAlign w:val="bottom"/>
          </w:tcPr>
          <w:p>
            <w:pPr>
              <w:jc w:val="center"/>
              <w:ind w:left="532"/>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ind w:right="411"/>
              <w:spacing w:after="0"/>
              <w:rPr>
                <w:sz w:val="20"/>
                <w:szCs w:val="20"/>
                <w:color w:val="auto"/>
              </w:rPr>
            </w:pPr>
            <w:r>
              <w:rPr>
                <w:rFonts w:ascii="Arial" w:cs="Arial" w:eastAsia="Arial" w:hAnsi="Arial"/>
                <w:sz w:val="18"/>
                <w:szCs w:val="18"/>
                <w:color w:val="auto"/>
                <w:w w:val="89"/>
              </w:rPr>
              <w:t>/s/ David J. Woodhouse, Ph.D.</w:t>
            </w: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1720" w:type="dxa"/>
            <w:vAlign w:val="bottom"/>
          </w:tcPr>
          <w:p>
            <w:pPr>
              <w:jc w:val="center"/>
              <w:ind w:left="532"/>
              <w:spacing w:after="0"/>
              <w:rPr>
                <w:sz w:val="20"/>
                <w:szCs w:val="20"/>
                <w:color w:val="auto"/>
              </w:rPr>
            </w:pPr>
            <w:r>
              <w:rPr>
                <w:rFonts w:ascii="Arial" w:cs="Arial" w:eastAsia="Arial" w:hAnsi="Arial"/>
                <w:sz w:val="18"/>
                <w:szCs w:val="18"/>
                <w:color w:val="auto"/>
                <w:w w:val="90"/>
              </w:rPr>
              <w:t>August 4, 2023</w:t>
            </w:r>
          </w:p>
        </w:tc>
      </w:tr>
      <w:tr>
        <w:trPr>
          <w:trHeight w:val="224"/>
        </w:trPr>
        <w:tc>
          <w:tcPr>
            <w:tcW w:w="480" w:type="dxa"/>
            <w:vAlign w:val="bottom"/>
          </w:tcPr>
          <w:p>
            <w:pPr>
              <w:spacing w:after="0"/>
              <w:rPr>
                <w:sz w:val="19"/>
                <w:szCs w:val="19"/>
                <w:color w:val="auto"/>
              </w:rPr>
            </w:pPr>
          </w:p>
        </w:tc>
        <w:tc>
          <w:tcPr>
            <w:tcW w:w="3700" w:type="dxa"/>
            <w:vAlign w:val="bottom"/>
          </w:tcPr>
          <w:p>
            <w:pPr>
              <w:jc w:val="center"/>
              <w:ind w:right="391"/>
              <w:spacing w:after="0"/>
              <w:rPr>
                <w:sz w:val="20"/>
                <w:szCs w:val="20"/>
                <w:color w:val="auto"/>
              </w:rPr>
            </w:pPr>
            <w:r>
              <w:rPr>
                <w:rFonts w:ascii="Arial" w:cs="Arial" w:eastAsia="Arial" w:hAnsi="Arial"/>
                <w:sz w:val="18"/>
                <w:szCs w:val="18"/>
                <w:color w:val="auto"/>
                <w:w w:val="89"/>
              </w:rPr>
              <w:t>David J. Woodhouse, Ph.D.</w:t>
            </w:r>
          </w:p>
        </w:tc>
        <w:tc>
          <w:tcPr>
            <w:tcW w:w="22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1720" w:type="dxa"/>
            <w:vAlign w:val="bottom"/>
          </w:tcPr>
          <w:p>
            <w:pPr>
              <w:spacing w:after="0"/>
              <w:rPr>
                <w:sz w:val="19"/>
                <w:szCs w:val="19"/>
                <w:color w:val="auto"/>
              </w:rPr>
            </w:pPr>
          </w:p>
        </w:tc>
      </w:tr>
      <w:tr>
        <w:trPr>
          <w:trHeight w:val="431"/>
        </w:trPr>
        <w:tc>
          <w:tcPr>
            <w:tcW w:w="4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ind w:right="391"/>
              <w:spacing w:after="0"/>
              <w:rPr>
                <w:sz w:val="20"/>
                <w:szCs w:val="20"/>
                <w:color w:val="auto"/>
              </w:rPr>
            </w:pPr>
            <w:r>
              <w:rPr>
                <w:rFonts w:ascii="Arial" w:cs="Arial" w:eastAsia="Arial" w:hAnsi="Arial"/>
                <w:sz w:val="18"/>
                <w:szCs w:val="18"/>
                <w:color w:val="auto"/>
                <w:w w:val="92"/>
              </w:rPr>
              <w:t>/s/ Siobhan Nolan Mangini</w:t>
            </w: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President and Chief Financial Officer</w:t>
            </w:r>
          </w:p>
        </w:tc>
        <w:tc>
          <w:tcPr>
            <w:tcW w:w="1720" w:type="dxa"/>
            <w:vAlign w:val="bottom"/>
          </w:tcPr>
          <w:p>
            <w:pPr>
              <w:jc w:val="center"/>
              <w:ind w:left="532"/>
              <w:spacing w:after="0"/>
              <w:rPr>
                <w:sz w:val="20"/>
                <w:szCs w:val="20"/>
                <w:color w:val="auto"/>
              </w:rPr>
            </w:pPr>
            <w:r>
              <w:rPr>
                <w:rFonts w:ascii="Arial" w:cs="Arial" w:eastAsia="Arial" w:hAnsi="Arial"/>
                <w:sz w:val="18"/>
                <w:szCs w:val="18"/>
                <w:color w:val="auto"/>
                <w:w w:val="90"/>
              </w:rPr>
              <w:t>August 4, 2023</w:t>
            </w:r>
          </w:p>
        </w:tc>
      </w:tr>
      <w:tr>
        <w:trPr>
          <w:trHeight w:val="224"/>
        </w:trPr>
        <w:tc>
          <w:tcPr>
            <w:tcW w:w="480" w:type="dxa"/>
            <w:vAlign w:val="bottom"/>
          </w:tcPr>
          <w:p>
            <w:pPr>
              <w:spacing w:after="0"/>
              <w:rPr>
                <w:sz w:val="19"/>
                <w:szCs w:val="19"/>
                <w:color w:val="auto"/>
              </w:rPr>
            </w:pPr>
          </w:p>
        </w:tc>
        <w:tc>
          <w:tcPr>
            <w:tcW w:w="3700" w:type="dxa"/>
            <w:vAlign w:val="bottom"/>
          </w:tcPr>
          <w:p>
            <w:pPr>
              <w:jc w:val="center"/>
              <w:ind w:right="391"/>
              <w:spacing w:after="0"/>
              <w:rPr>
                <w:sz w:val="20"/>
                <w:szCs w:val="20"/>
                <w:color w:val="auto"/>
              </w:rPr>
            </w:pPr>
            <w:r>
              <w:rPr>
                <w:rFonts w:ascii="Arial" w:cs="Arial" w:eastAsia="Arial" w:hAnsi="Arial"/>
                <w:sz w:val="18"/>
                <w:szCs w:val="18"/>
                <w:color w:val="auto"/>
                <w:w w:val="93"/>
              </w:rPr>
              <w:t>Siobhan Nolan Mangini</w:t>
            </w:r>
          </w:p>
        </w:tc>
        <w:tc>
          <w:tcPr>
            <w:tcW w:w="22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1720" w:type="dxa"/>
            <w:vAlign w:val="bottom"/>
          </w:tcPr>
          <w:p>
            <w:pPr>
              <w:spacing w:after="0"/>
              <w:rPr>
                <w:sz w:val="19"/>
                <w:szCs w:val="19"/>
                <w:color w:val="auto"/>
              </w:rPr>
            </w:pPr>
          </w:p>
        </w:tc>
      </w:tr>
      <w:tr>
        <w:trPr>
          <w:trHeight w:val="445"/>
        </w:trPr>
        <w:tc>
          <w:tcPr>
            <w:tcW w:w="4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Chairman and Director</w:t>
            </w:r>
          </w:p>
        </w:tc>
        <w:tc>
          <w:tcPr>
            <w:tcW w:w="1720" w:type="dxa"/>
            <w:vAlign w:val="bottom"/>
          </w:tcPr>
          <w:p>
            <w:pPr>
              <w:jc w:val="center"/>
              <w:ind w:left="532"/>
              <w:spacing w:after="0"/>
              <w:rPr>
                <w:sz w:val="20"/>
                <w:szCs w:val="20"/>
                <w:color w:val="auto"/>
              </w:rPr>
            </w:pPr>
            <w:r>
              <w:rPr>
                <w:rFonts w:ascii="Arial" w:cs="Arial" w:eastAsia="Arial" w:hAnsi="Arial"/>
                <w:sz w:val="18"/>
                <w:szCs w:val="18"/>
                <w:color w:val="auto"/>
                <w:w w:val="90"/>
              </w:rPr>
              <w:t>August 4, 2023</w:t>
            </w:r>
          </w:p>
        </w:tc>
      </w:tr>
      <w:tr>
        <w:trPr>
          <w:trHeight w:val="224"/>
        </w:trPr>
        <w:tc>
          <w:tcPr>
            <w:tcW w:w="480" w:type="dxa"/>
            <w:vAlign w:val="bottom"/>
          </w:tcPr>
          <w:p>
            <w:pPr>
              <w:spacing w:after="0"/>
              <w:rPr>
                <w:sz w:val="19"/>
                <w:szCs w:val="19"/>
                <w:color w:val="auto"/>
              </w:rPr>
            </w:pPr>
          </w:p>
        </w:tc>
        <w:tc>
          <w:tcPr>
            <w:tcW w:w="3700" w:type="dxa"/>
            <w:vAlign w:val="bottom"/>
          </w:tcPr>
          <w:p>
            <w:pPr>
              <w:jc w:val="center"/>
              <w:ind w:right="391"/>
              <w:spacing w:after="0"/>
              <w:rPr>
                <w:sz w:val="20"/>
                <w:szCs w:val="20"/>
                <w:color w:val="auto"/>
              </w:rPr>
            </w:pPr>
            <w:r>
              <w:rPr>
                <w:rFonts w:ascii="Arial" w:cs="Arial" w:eastAsia="Arial" w:hAnsi="Arial"/>
                <w:sz w:val="18"/>
                <w:szCs w:val="18"/>
                <w:color w:val="auto"/>
                <w:w w:val="98"/>
              </w:rPr>
              <w:t>William J. Rieflin</w:t>
            </w:r>
          </w:p>
        </w:tc>
        <w:tc>
          <w:tcPr>
            <w:tcW w:w="2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jc w:val="center"/>
              <w:ind w:left="532"/>
              <w:spacing w:after="0"/>
              <w:rPr>
                <w:sz w:val="20"/>
                <w:szCs w:val="20"/>
                <w:color w:val="auto"/>
              </w:rPr>
            </w:pPr>
            <w:r>
              <w:rPr>
                <w:rFonts w:ascii="Arial" w:cs="Arial" w:eastAsia="Arial" w:hAnsi="Arial"/>
                <w:sz w:val="18"/>
                <w:szCs w:val="18"/>
                <w:color w:val="auto"/>
                <w:w w:val="90"/>
              </w:rPr>
              <w:t>August 4, 2023</w:t>
            </w:r>
          </w:p>
        </w:tc>
      </w:tr>
      <w:tr>
        <w:trPr>
          <w:trHeight w:val="224"/>
        </w:trPr>
        <w:tc>
          <w:tcPr>
            <w:tcW w:w="480" w:type="dxa"/>
            <w:vAlign w:val="bottom"/>
          </w:tcPr>
          <w:p>
            <w:pPr>
              <w:spacing w:after="0"/>
              <w:rPr>
                <w:sz w:val="19"/>
                <w:szCs w:val="19"/>
                <w:color w:val="auto"/>
              </w:rPr>
            </w:pPr>
          </w:p>
        </w:tc>
        <w:tc>
          <w:tcPr>
            <w:tcW w:w="3700" w:type="dxa"/>
            <w:vAlign w:val="bottom"/>
          </w:tcPr>
          <w:p>
            <w:pPr>
              <w:jc w:val="center"/>
              <w:ind w:right="391"/>
              <w:spacing w:after="0"/>
              <w:rPr>
                <w:sz w:val="20"/>
                <w:szCs w:val="20"/>
                <w:color w:val="auto"/>
              </w:rPr>
            </w:pPr>
            <w:r>
              <w:rPr>
                <w:rFonts w:ascii="Arial" w:cs="Arial" w:eastAsia="Arial" w:hAnsi="Arial"/>
                <w:sz w:val="18"/>
                <w:szCs w:val="18"/>
                <w:color w:val="auto"/>
                <w:w w:val="90"/>
              </w:rPr>
              <w:t>David V. Goeddel, Ph.D.</w:t>
            </w:r>
          </w:p>
        </w:tc>
        <w:tc>
          <w:tcPr>
            <w:tcW w:w="2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jc w:val="center"/>
              <w:ind w:left="532"/>
              <w:spacing w:after="0"/>
              <w:rPr>
                <w:sz w:val="20"/>
                <w:szCs w:val="20"/>
                <w:color w:val="auto"/>
              </w:rPr>
            </w:pPr>
            <w:r>
              <w:rPr>
                <w:rFonts w:ascii="Arial" w:cs="Arial" w:eastAsia="Arial" w:hAnsi="Arial"/>
                <w:sz w:val="18"/>
                <w:szCs w:val="18"/>
                <w:color w:val="auto"/>
                <w:w w:val="90"/>
              </w:rPr>
              <w:t>August 4, 2023</w:t>
            </w:r>
          </w:p>
        </w:tc>
      </w:tr>
      <w:tr>
        <w:trPr>
          <w:trHeight w:val="224"/>
        </w:trPr>
        <w:tc>
          <w:tcPr>
            <w:tcW w:w="480" w:type="dxa"/>
            <w:vAlign w:val="bottom"/>
          </w:tcPr>
          <w:p>
            <w:pPr>
              <w:spacing w:after="0"/>
              <w:rPr>
                <w:sz w:val="19"/>
                <w:szCs w:val="19"/>
                <w:color w:val="auto"/>
              </w:rPr>
            </w:pPr>
          </w:p>
        </w:tc>
        <w:tc>
          <w:tcPr>
            <w:tcW w:w="3700" w:type="dxa"/>
            <w:vAlign w:val="bottom"/>
          </w:tcPr>
          <w:p>
            <w:pPr>
              <w:jc w:val="center"/>
              <w:ind w:right="391"/>
              <w:spacing w:after="0"/>
              <w:rPr>
                <w:sz w:val="20"/>
                <w:szCs w:val="20"/>
                <w:color w:val="auto"/>
              </w:rPr>
            </w:pPr>
            <w:r>
              <w:rPr>
                <w:rFonts w:ascii="Arial" w:cs="Arial" w:eastAsia="Arial" w:hAnsi="Arial"/>
                <w:sz w:val="18"/>
                <w:szCs w:val="18"/>
                <w:color w:val="auto"/>
                <w:w w:val="93"/>
              </w:rPr>
              <w:t>Shelly D. Guyer</w:t>
            </w:r>
          </w:p>
        </w:tc>
        <w:tc>
          <w:tcPr>
            <w:tcW w:w="2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45"/>
        </w:trPr>
        <w:tc>
          <w:tcPr>
            <w:tcW w:w="4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jc w:val="center"/>
              <w:ind w:left="532"/>
              <w:spacing w:after="0"/>
              <w:rPr>
                <w:sz w:val="20"/>
                <w:szCs w:val="20"/>
                <w:color w:val="auto"/>
              </w:rPr>
            </w:pPr>
            <w:r>
              <w:rPr>
                <w:rFonts w:ascii="Arial" w:cs="Arial" w:eastAsia="Arial" w:hAnsi="Arial"/>
                <w:sz w:val="18"/>
                <w:szCs w:val="18"/>
                <w:color w:val="auto"/>
                <w:w w:val="90"/>
              </w:rPr>
              <w:t>August 4, 2023</w:t>
            </w:r>
          </w:p>
        </w:tc>
      </w:tr>
      <w:tr>
        <w:trPr>
          <w:trHeight w:val="224"/>
        </w:trPr>
        <w:tc>
          <w:tcPr>
            <w:tcW w:w="480" w:type="dxa"/>
            <w:vAlign w:val="bottom"/>
          </w:tcPr>
          <w:p>
            <w:pPr>
              <w:spacing w:after="0"/>
              <w:rPr>
                <w:sz w:val="19"/>
                <w:szCs w:val="19"/>
                <w:color w:val="auto"/>
              </w:rPr>
            </w:pPr>
          </w:p>
        </w:tc>
        <w:tc>
          <w:tcPr>
            <w:tcW w:w="3700" w:type="dxa"/>
            <w:vAlign w:val="bottom"/>
          </w:tcPr>
          <w:p>
            <w:pPr>
              <w:jc w:val="center"/>
              <w:ind w:right="391"/>
              <w:spacing w:after="0"/>
              <w:rPr>
                <w:sz w:val="20"/>
                <w:szCs w:val="20"/>
                <w:color w:val="auto"/>
              </w:rPr>
            </w:pPr>
            <w:r>
              <w:rPr>
                <w:rFonts w:ascii="Arial" w:cs="Arial" w:eastAsia="Arial" w:hAnsi="Arial"/>
                <w:sz w:val="18"/>
                <w:szCs w:val="18"/>
                <w:color w:val="auto"/>
                <w:w w:val="94"/>
              </w:rPr>
              <w:t>Carole Ho, M.D.</w:t>
            </w:r>
          </w:p>
        </w:tc>
        <w:tc>
          <w:tcPr>
            <w:tcW w:w="2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jc w:val="center"/>
              <w:ind w:left="532"/>
              <w:spacing w:after="0"/>
              <w:rPr>
                <w:sz w:val="20"/>
                <w:szCs w:val="20"/>
                <w:color w:val="auto"/>
              </w:rPr>
            </w:pPr>
            <w:r>
              <w:rPr>
                <w:rFonts w:ascii="Arial" w:cs="Arial" w:eastAsia="Arial" w:hAnsi="Arial"/>
                <w:sz w:val="18"/>
                <w:szCs w:val="18"/>
                <w:color w:val="auto"/>
                <w:w w:val="90"/>
              </w:rPr>
              <w:t>August 4, 2023</w:t>
            </w:r>
          </w:p>
        </w:tc>
      </w:tr>
      <w:tr>
        <w:trPr>
          <w:trHeight w:val="224"/>
        </w:trPr>
        <w:tc>
          <w:tcPr>
            <w:tcW w:w="480" w:type="dxa"/>
            <w:vAlign w:val="bottom"/>
          </w:tcPr>
          <w:p>
            <w:pPr>
              <w:spacing w:after="0"/>
              <w:rPr>
                <w:sz w:val="19"/>
                <w:szCs w:val="19"/>
                <w:color w:val="auto"/>
              </w:rPr>
            </w:pPr>
          </w:p>
        </w:tc>
        <w:tc>
          <w:tcPr>
            <w:tcW w:w="3700" w:type="dxa"/>
            <w:vAlign w:val="bottom"/>
          </w:tcPr>
          <w:p>
            <w:pPr>
              <w:jc w:val="center"/>
              <w:ind w:right="391"/>
              <w:spacing w:after="0"/>
              <w:rPr>
                <w:sz w:val="20"/>
                <w:szCs w:val="20"/>
                <w:color w:val="auto"/>
              </w:rPr>
            </w:pPr>
            <w:r>
              <w:rPr>
                <w:rFonts w:ascii="Arial" w:cs="Arial" w:eastAsia="Arial" w:hAnsi="Arial"/>
                <w:sz w:val="18"/>
                <w:szCs w:val="18"/>
                <w:color w:val="auto"/>
                <w:w w:val="88"/>
              </w:rPr>
              <w:t>Suzanne Sawochka Hooper</w:t>
            </w:r>
          </w:p>
        </w:tc>
        <w:tc>
          <w:tcPr>
            <w:tcW w:w="2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jc w:val="center"/>
              <w:ind w:left="532"/>
              <w:spacing w:after="0"/>
              <w:rPr>
                <w:sz w:val="20"/>
                <w:szCs w:val="20"/>
                <w:color w:val="auto"/>
              </w:rPr>
            </w:pPr>
            <w:r>
              <w:rPr>
                <w:rFonts w:ascii="Arial" w:cs="Arial" w:eastAsia="Arial" w:hAnsi="Arial"/>
                <w:sz w:val="18"/>
                <w:szCs w:val="18"/>
                <w:color w:val="auto"/>
                <w:w w:val="90"/>
              </w:rPr>
              <w:t>August 4, 2023</w:t>
            </w:r>
          </w:p>
        </w:tc>
      </w:tr>
      <w:tr>
        <w:trPr>
          <w:trHeight w:val="237"/>
        </w:trPr>
        <w:tc>
          <w:tcPr>
            <w:tcW w:w="480" w:type="dxa"/>
            <w:vAlign w:val="bottom"/>
          </w:tcPr>
          <w:p>
            <w:pPr>
              <w:spacing w:after="0"/>
              <w:rPr>
                <w:sz w:val="20"/>
                <w:szCs w:val="20"/>
                <w:color w:val="auto"/>
              </w:rPr>
            </w:pPr>
          </w:p>
        </w:tc>
        <w:tc>
          <w:tcPr>
            <w:tcW w:w="3700" w:type="dxa"/>
            <w:vAlign w:val="bottom"/>
          </w:tcPr>
          <w:p>
            <w:pPr>
              <w:jc w:val="center"/>
              <w:ind w:right="391"/>
              <w:spacing w:after="0"/>
              <w:rPr>
                <w:sz w:val="20"/>
                <w:szCs w:val="20"/>
                <w:color w:val="auto"/>
              </w:rPr>
            </w:pPr>
            <w:r>
              <w:rPr>
                <w:rFonts w:ascii="Arial" w:cs="Arial" w:eastAsia="Arial" w:hAnsi="Arial"/>
                <w:sz w:val="18"/>
                <w:szCs w:val="18"/>
                <w:color w:val="auto"/>
                <w:w w:val="92"/>
              </w:rPr>
              <w:t>Roger M. Perlmutter, M.D.</w:t>
            </w: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59"/>
        </w:trPr>
        <w:tc>
          <w:tcPr>
            <w:tcW w:w="4180" w:type="dxa"/>
            <w:vAlign w:val="bottom"/>
            <w:gridSpan w:val="2"/>
          </w:tcPr>
          <w:p>
            <w:pPr>
              <w:spacing w:after="0"/>
              <w:rPr>
                <w:sz w:val="20"/>
                <w:szCs w:val="20"/>
                <w:color w:val="auto"/>
              </w:rPr>
            </w:pPr>
            <w:r>
              <w:rPr>
                <w:rFonts w:ascii="Arial" w:cs="Arial" w:eastAsia="Arial" w:hAnsi="Arial"/>
                <w:sz w:val="18"/>
                <w:szCs w:val="18"/>
                <w:color w:val="auto"/>
              </w:rPr>
              <w:t>*By:  /s/ David J. Woodhouse, Ph.D.</w:t>
            </w: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9"/>
        </w:trPr>
        <w:tc>
          <w:tcPr>
            <w:tcW w:w="48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J. Woodhouse, Ph.D.</w:t>
            </w:r>
          </w:p>
        </w:tc>
        <w:tc>
          <w:tcPr>
            <w:tcW w:w="220" w:type="dxa"/>
            <w:vAlign w:val="bottom"/>
            <w:tcBorders>
              <w:top w:val="single" w:sz="8" w:color="auto"/>
            </w:tcBorders>
          </w:tcPr>
          <w:p>
            <w:pPr>
              <w:spacing w:after="0"/>
              <w:rPr>
                <w:sz w:val="18"/>
                <w:szCs w:val="18"/>
                <w:color w:val="auto"/>
              </w:rPr>
            </w:pPr>
          </w:p>
        </w:tc>
        <w:tc>
          <w:tcPr>
            <w:tcW w:w="45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Attorney-in-Fact</w:t>
            </w: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78"/>
        </w:trPr>
        <w:tc>
          <w:tcPr>
            <w:tcW w:w="4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Pr>
          <w:p>
            <w:pPr>
              <w:ind w:left="960"/>
              <w:spacing w:after="0"/>
              <w:rPr>
                <w:sz w:val="20"/>
                <w:szCs w:val="20"/>
                <w:color w:val="auto"/>
              </w:rPr>
            </w:pPr>
            <w:r>
              <w:rPr>
                <w:rFonts w:ascii="Arial" w:cs="Arial" w:eastAsia="Arial" w:hAnsi="Arial"/>
                <w:sz w:val="18"/>
                <w:szCs w:val="18"/>
                <w:color w:val="auto"/>
              </w:rPr>
              <w:t>II-7</w:t>
            </w:r>
          </w:p>
        </w:tc>
        <w:tc>
          <w:tcPr>
            <w:tcW w:w="17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680"/>
          </w:cols>
          <w:pgMar w:left="440" w:top="481" w:right="7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consent to the reference to our firm under the caption “Experts” in this Amendment No. 1 to Registration Statement (Form S-3 No. 333-272509) and related base prospectus and sales agreement prospectus of NGM Biopharmaceuticals, Inc. for the registration of up to $300,000,000 of its common stock, preferred stock, debt securities and warrants to purchase common stock, preferred stock and/or debt securities, either individually or in units of a combination thereof, and to the incorporation by reference therein of our reports dated February 28, 2023, with respect to the consolidated financial statements of NGM Biopharmaceuticals, Inc., and the effectiveness of internal control over financial reporting of NGM Biopharmaceuticals, Inc., included in its Annual Report (Form 10-K) for the year ended December 31, 2022, filed with the Securities and Exchange Commission.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Mateo,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4, 2023</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lvl w:ilvl="1">
      <w:lvlJc w:val="left"/>
      <w:lvlText w:val="(%2)"/>
      <w:numFmt w:val="lowerRoman"/>
      <w:start w:val="1"/>
    </w:lvl>
  </w:abstractNum>
  <w:abstractNum w:abstractNumId="3">
    <w:nsid w:val="3D1B58BA"/>
    <w:multiLevelType w:val="hybridMultilevel"/>
    <w:lvl w:ilvl="0">
      <w:lvlJc w:val="left"/>
      <w:lvlText w:val="%1"/>
      <w:numFmt w:val="decimal"/>
      <w:start w:val="1"/>
    </w:lvl>
    <w:lvl w:ilvl="1">
      <w:lvlJc w:val="left"/>
      <w:lvlText w:val="(%2)"/>
      <w:numFmt w:val="lowerRoman"/>
      <w:start w:val="2"/>
    </w:lvl>
  </w:abstractNum>
  <w:abstractNum w:abstractNumId="4">
    <w:nsid w:val="507ED7AB"/>
    <w:multiLevelType w:val="hybridMultilevel"/>
    <w:lvl w:ilvl="0">
      <w:lvlJc w:val="left"/>
      <w:lvlText w:val="(%1)"/>
      <w:numFmt w:val="decimal"/>
      <w:start w:val="5"/>
    </w:lvl>
    <w:lvl w:ilvl="1">
      <w:lvlJc w:val="left"/>
      <w:lvlText w:val="(%2)"/>
      <w:numFmt w:val="lowerRoman"/>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20" Type="http://schemas.openxmlformats.org/officeDocument/2006/relationships/hyperlink" Target="http://www.sec.gov/Archives/edgar/data/1426332/000119312523162980/d398409ds3.htm" TargetMode="External"/><Relationship Id="rId22" Type="http://schemas.openxmlformats.org/officeDocument/2006/relationships/hyperlink" Target="http://www.sec.gov/Archives/edgar/data/1426332/000119312520162327/d938215dex12.htm" TargetMode="External"/><Relationship Id="rId23" Type="http://schemas.openxmlformats.org/officeDocument/2006/relationships/hyperlink" Target="http://www.sec.gov/Archives/edgar/data/1426332/000119312523162955/d387904dex11.htm" TargetMode="External"/><Relationship Id="rId24" Type="http://schemas.openxmlformats.org/officeDocument/2006/relationships/hyperlink" Target="http://www.sec.gov/Archives/edgar/data/1426332/000119312519100757/d731361dex31.htm" TargetMode="External"/><Relationship Id="rId25" Type="http://schemas.openxmlformats.org/officeDocument/2006/relationships/hyperlink" Target="http://www.sec.gov/Archives/edgar/data/1426332/000119312518287727/d693178dex34.htm" TargetMode="External"/><Relationship Id="rId26" Type="http://schemas.openxmlformats.org/officeDocument/2006/relationships/hyperlink" Target="http://www.sec.gov/Archives/edgar/data/1426332/000119312519094494/d693178dex42.htm" TargetMode="External"/><Relationship Id="rId27" Type="http://schemas.openxmlformats.org/officeDocument/2006/relationships/hyperlink" Target="http://www.sec.gov/Archives/edgar/data/1426332/000119312523162980/d398409dex43.htm" TargetMode="External"/><Relationship Id="rId28" Type="http://schemas.openxmlformats.org/officeDocument/2006/relationships/hyperlink" Target="http://www.sec.gov/Archives/edgar/data/1426332/000119312523162980/d398409dex45.htm" TargetMode="External"/><Relationship Id="rId29" Type="http://schemas.openxmlformats.org/officeDocument/2006/relationships/hyperlink" Target="http://www.sec.gov/Archives/edgar/data/1426332/000119312523162980/d398409dex46.htm" TargetMode="External"/><Relationship Id="rId30" Type="http://schemas.openxmlformats.org/officeDocument/2006/relationships/hyperlink" Target="http://www.sec.gov/Archives/edgar/data/1426332/000119312523162980/d398409dex47.htm" TargetMode="External"/><Relationship Id="rId31" Type="http://schemas.openxmlformats.org/officeDocument/2006/relationships/hyperlink" Target="http://www.sec.gov/Archives/edgar/data/1426332/000119312523162980/d398409dex51.htm" TargetMode="External"/><Relationship Id="rId32" Type="http://schemas.openxmlformats.org/officeDocument/2006/relationships/hyperlink" Target="http://www.sec.gov/Archives/edgar/data/1426332/000119312523162980/d398409ds3.htm#sig" TargetMode="External"/><Relationship Id="rId33" Type="http://schemas.openxmlformats.org/officeDocument/2006/relationships/hyperlink" Target="http://www.sec.gov/Archives/edgar/data/1426332/000119312523162980/d398409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2023-08-04T15:15:44Z</dcterms:created>
  <dcterms:modified xsi:type="dcterms:W3CDTF">2023-08-04T15:15:44Z</dcterms:modified>
</cp:coreProperties>
</file>