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SCHEDULE 13G</w:t>
      </w:r>
    </w:p>
    <w:p>
      <w:pPr>
        <w:spacing w:after="0" w:line="200" w:lineRule="exact"/>
        <w:rPr>
          <w:sz w:val="24"/>
          <w:szCs w:val="24"/>
          <w:color w:val="auto"/>
        </w:rPr>
      </w:pPr>
    </w:p>
    <w:p>
      <w:pPr>
        <w:spacing w:after="0" w:line="2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 *</w:t>
      </w:r>
    </w:p>
    <w:p>
      <w:pPr>
        <w:spacing w:after="0" w:line="200" w:lineRule="exact"/>
        <w:rPr>
          <w:sz w:val="24"/>
          <w:szCs w:val="24"/>
          <w:color w:val="auto"/>
        </w:rPr>
      </w:pP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(Name of Issuer)</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62921N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(CUSIP Number)</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(Date of Event Which Requires Filing of This Statement)</w:t>
      </w:r>
    </w:p>
    <w:p>
      <w:pPr>
        <w:spacing w:after="0" w:line="2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121" w:lineRule="exact"/>
        <w:rPr>
          <w:sz w:val="24"/>
          <w:szCs w:val="24"/>
          <w:color w:val="auto"/>
        </w:rPr>
      </w:pPr>
    </w:p>
    <w:p>
      <w:pPr>
        <w:ind w:left="1180" w:hanging="524"/>
        <w:spacing w:after="0"/>
        <w:tabs>
          <w:tab w:leader="none" w:pos="1180" w:val="left"/>
        </w:tabs>
        <w:numPr>
          <w:ilvl w:val="1"/>
          <w:numId w:val="1"/>
        </w:numPr>
        <w:rPr>
          <w:rFonts w:ascii="MS PGothic" w:cs="MS PGothic" w:eastAsia="MS PGothic" w:hAnsi="MS PGothic"/>
          <w:sz w:val="20"/>
          <w:szCs w:val="20"/>
          <w:color w:val="auto"/>
        </w:rPr>
      </w:pPr>
      <w:r>
        <w:rPr>
          <w:rFonts w:ascii="Arial" w:cs="Arial" w:eastAsia="Arial" w:hAnsi="Arial"/>
          <w:sz w:val="20"/>
          <w:szCs w:val="20"/>
          <w:color w:val="auto"/>
        </w:rPr>
        <w:t>Rule 13d-1(b)</w:t>
      </w:r>
    </w:p>
    <w:p>
      <w:pPr>
        <w:spacing w:after="0" w:line="121" w:lineRule="exact"/>
        <w:rPr>
          <w:rFonts w:ascii="MS PGothic" w:cs="MS PGothic" w:eastAsia="MS PGothic" w:hAnsi="MS PGothic"/>
          <w:sz w:val="20"/>
          <w:szCs w:val="20"/>
          <w:color w:val="auto"/>
        </w:rPr>
      </w:pPr>
    </w:p>
    <w:p>
      <w:pPr>
        <w:ind w:left="1180" w:hanging="524"/>
        <w:spacing w:after="0"/>
        <w:tabs>
          <w:tab w:leader="none" w:pos="1180" w:val="left"/>
        </w:tabs>
        <w:numPr>
          <w:ilvl w:val="1"/>
          <w:numId w:val="1"/>
        </w:numPr>
        <w:rPr>
          <w:rFonts w:ascii="MS PGothic" w:cs="MS PGothic" w:eastAsia="MS PGothic" w:hAnsi="MS PGothic"/>
          <w:sz w:val="20"/>
          <w:szCs w:val="20"/>
          <w:color w:val="auto"/>
        </w:rPr>
      </w:pPr>
      <w:r>
        <w:rPr>
          <w:rFonts w:ascii="Arial" w:cs="Arial" w:eastAsia="Arial" w:hAnsi="Arial"/>
          <w:sz w:val="20"/>
          <w:szCs w:val="20"/>
          <w:color w:val="auto"/>
        </w:rPr>
        <w:t>Rule 13d-1(c)</w:t>
      </w:r>
    </w:p>
    <w:p>
      <w:pPr>
        <w:spacing w:after="0" w:line="83" w:lineRule="exact"/>
        <w:rPr>
          <w:rFonts w:ascii="MS PGothic" w:cs="MS PGothic" w:eastAsia="MS PGothic" w:hAnsi="MS PGothic"/>
          <w:sz w:val="20"/>
          <w:szCs w:val="20"/>
          <w:color w:val="auto"/>
        </w:rPr>
      </w:pPr>
    </w:p>
    <w:p>
      <w:pPr>
        <w:ind w:left="66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Rule 13d-1(d)</w:t>
      </w:r>
    </w:p>
    <w:p>
      <w:pPr>
        <w:spacing w:after="0" w:line="140" w:lineRule="exact"/>
        <w:rPr>
          <w:rFonts w:ascii="MS PGothic" w:cs="MS PGothic" w:eastAsia="MS PGothic" w:hAnsi="MS PGothic"/>
          <w:sz w:val="20"/>
          <w:szCs w:val="20"/>
          <w:color w:val="auto"/>
        </w:rPr>
      </w:pPr>
    </w:p>
    <w:p>
      <w:pPr>
        <w:ind w:right="60"/>
        <w:spacing w:after="0"/>
        <w:rPr>
          <w:rFonts w:ascii="MS PGothic" w:cs="MS PGothic" w:eastAsia="MS PGothic" w:hAnsi="MS PGothic"/>
          <w:sz w:val="20"/>
          <w:szCs w:val="20"/>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00"/>
          </w:cols>
          <w:pgMar w:left="320" w:top="220" w:right="379" w:bottom="1440" w:gutter="0" w:footer="0" w:header="0"/>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700" w:space="720"/>
            <w:col w:w="5720"/>
          </w:cols>
          <w:pgMar w:left="420" w:top="684" w:right="339" w:bottom="1440" w:gutter="0" w:footer="0" w:header="0"/>
        </w:sectPr>
      </w:pPr>
    </w:p>
    <w:p>
      <w:pPr>
        <w:spacing w:after="0" w:line="261" w:lineRule="exact"/>
        <w:rPr>
          <w:sz w:val="20"/>
          <w:szCs w:val="20"/>
          <w:color w:val="auto"/>
        </w:rPr>
      </w:pPr>
    </w:p>
    <w:p>
      <w:pPr>
        <w:ind w:left="800" w:hanging="795"/>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Rho Ventures V, L.P.</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48"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2"/>
        </w:numPr>
        <w:rPr>
          <w:rFonts w:ascii="Arial" w:cs="Arial" w:eastAsia="Arial" w:hAnsi="Arial"/>
          <w:sz w:val="22"/>
          <w:szCs w:val="22"/>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-1413510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-1104900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3"/>
        </w:numPr>
        <w:rPr>
          <w:rFonts w:ascii="Arial" w:cs="Arial" w:eastAsia="Arial" w:hAnsi="Arial"/>
          <w:sz w:val="22"/>
          <w:szCs w:val="22"/>
          <w:color w:val="auto"/>
        </w:rPr>
      </w:pPr>
      <w:r>
        <w:rPr>
          <w:rFonts w:ascii="Arial" w:cs="Arial" w:eastAsia="Arial" w:hAnsi="Arial"/>
          <w:sz w:val="22"/>
          <w:szCs w:val="22"/>
          <w:color w:val="auto"/>
        </w:rPr>
        <w:t>Sole Voting Power</w:t>
      </w: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3" w:lineRule="exact"/>
        <w:rPr>
          <w:rFonts w:ascii="Arial" w:cs="Arial" w:eastAsia="Arial" w:hAnsi="Arial"/>
          <w:sz w:val="22"/>
          <w:szCs w:val="22"/>
          <w:color w:val="auto"/>
        </w:rPr>
      </w:pPr>
    </w:p>
    <w:p>
      <w:pPr>
        <w:ind w:left="439" w:hanging="439"/>
        <w:spacing w:after="0"/>
        <w:tabs>
          <w:tab w:leader="none" w:pos="439"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39" w:hanging="439"/>
        <w:spacing w:after="0"/>
        <w:tabs>
          <w:tab w:leader="none" w:pos="439" w:val="left"/>
        </w:tabs>
        <w:numPr>
          <w:ilvl w:val="0"/>
          <w:numId w:val="3"/>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39" w:hanging="439"/>
        <w:spacing w:after="0"/>
        <w:tabs>
          <w:tab w:leader="none" w:pos="439"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623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684" w:right="339" w:bottom="1440" w:gutter="0" w:footer="0" w:header="0"/>
          <w:type w:val="continuous"/>
        </w:sectPr>
      </w:pPr>
    </w:p>
    <w:p>
      <w:pPr>
        <w:ind w:left="800" w:hanging="795"/>
        <w:spacing w:after="0"/>
        <w:tabs>
          <w:tab w:leader="none" w:pos="8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(3)</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PN</w:t>
      </w:r>
    </w:p>
    <w:p>
      <w:pPr>
        <w:spacing w:after="0" w:line="200" w:lineRule="exact"/>
        <w:rPr>
          <w:rFonts w:ascii="Arial" w:cs="Arial" w:eastAsia="Arial" w:hAnsi="Arial"/>
          <w:sz w:val="22"/>
          <w:szCs w:val="22"/>
          <w:color w:val="auto"/>
        </w:rPr>
      </w:pPr>
    </w:p>
    <w:p>
      <w:pPr>
        <w:spacing w:after="0" w:line="296" w:lineRule="exact"/>
        <w:rPr>
          <w:rFonts w:ascii="Arial" w:cs="Arial" w:eastAsia="Arial" w:hAnsi="Arial"/>
          <w:sz w:val="22"/>
          <w:szCs w:val="22"/>
          <w:color w:val="auto"/>
        </w:rPr>
      </w:pPr>
    </w:p>
    <w:p>
      <w:pPr>
        <w:jc w:val="both"/>
        <w:ind w:left="560" w:hanging="247"/>
        <w:spacing w:after="0" w:line="235" w:lineRule="auto"/>
        <w:tabs>
          <w:tab w:leader="none" w:pos="560" w:val="left"/>
        </w:tabs>
        <w:numPr>
          <w:ilvl w:val="1"/>
          <w:numId w:val="5"/>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Rho Ventures V, L.P. (“RV V”), Rho Ventures V Affiliates, L.L.C. (“RV V Affiliates”), Rho Capital Partners LLC (“RCP”), RMV V, L.L.C. (“RMV V”), Joshua Ruch (“Ruch”), Habib Kairouz (“Kairouz”) and Mark Leschly (“Leschly,” together with RV V, RV V Affiliates, RCP, RMV V, Ruch and Kairouz, collectively, the “Reporting Persons”). The Reporting Persons expressly disclaim status as a “group” for purposes of this Schedule 13G.</w:t>
      </w:r>
    </w:p>
    <w:p>
      <w:pPr>
        <w:jc w:val="both"/>
        <w:ind w:left="560" w:hanging="247"/>
        <w:spacing w:after="0" w:line="230" w:lineRule="auto"/>
        <w:tabs>
          <w:tab w:leader="none" w:pos="560" w:val="left"/>
        </w:tabs>
        <w:numPr>
          <w:ilvl w:val="1"/>
          <w:numId w:val="5"/>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5"/>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-1022350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-1339215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-1647825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-748030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bookmarkStart w:id="2" w:name="page3"/>
    <w:bookmarkEnd w:id="2"/>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700" w:space="720"/>
            <w:col w:w="5720"/>
          </w:cols>
          <w:pgMar w:left="420" w:top="913" w:right="339" w:bottom="1440" w:gutter="0" w:footer="0" w:header="0"/>
        </w:sectPr>
      </w:pPr>
    </w:p>
    <w:p>
      <w:pPr>
        <w:spacing w:after="0" w:line="261" w:lineRule="exact"/>
        <w:rPr>
          <w:sz w:val="20"/>
          <w:szCs w:val="20"/>
          <w:color w:val="auto"/>
        </w:rPr>
      </w:pPr>
    </w:p>
    <w:p>
      <w:pPr>
        <w:ind w:left="800" w:hanging="795"/>
        <w:spacing w:after="0"/>
        <w:tabs>
          <w:tab w:leader="none" w:pos="8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Rho Ventures V Affiliates, L.L.C.</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6"/>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48"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6"/>
        </w:numPr>
        <w:rPr>
          <w:rFonts w:ascii="Arial" w:cs="Arial" w:eastAsia="Arial" w:hAnsi="Arial"/>
          <w:sz w:val="22"/>
          <w:szCs w:val="22"/>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-1413510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-1104900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-601980</wp:posOffset>
            </wp:positionV>
            <wp:extent cx="95250" cy="96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140"/>
          </w:cols>
          <w:pgMar w:left="420" w:top="913" w:right="339" w:bottom="1440" w:gutter="0" w:footer="0" w:header="0"/>
          <w:type w:val="continuous"/>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Sole Voting Power</w:t>
      </w: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3" w:lineRule="exact"/>
        <w:rPr>
          <w:rFonts w:ascii="Arial" w:cs="Arial" w:eastAsia="Arial" w:hAnsi="Arial"/>
          <w:sz w:val="22"/>
          <w:szCs w:val="22"/>
          <w:color w:val="auto"/>
        </w:rPr>
      </w:pPr>
    </w:p>
    <w:p>
      <w:pPr>
        <w:ind w:left="439" w:hanging="439"/>
        <w:spacing w:after="0"/>
        <w:tabs>
          <w:tab w:leader="none" w:pos="439"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39" w:hanging="439"/>
        <w:spacing w:after="0"/>
        <w:tabs>
          <w:tab w:leader="none" w:pos="439"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39" w:hanging="439"/>
        <w:spacing w:after="0"/>
        <w:tabs>
          <w:tab w:leader="none" w:pos="439" w:val="left"/>
        </w:tabs>
        <w:numPr>
          <w:ilvl w:val="0"/>
          <w:numId w:val="7"/>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623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913" w:right="339" w:bottom="1440" w:gutter="0" w:footer="0" w:header="0"/>
          <w:type w:val="continuous"/>
        </w:sectPr>
      </w:pPr>
    </w:p>
    <w:p>
      <w:pPr>
        <w:ind w:left="800" w:hanging="795"/>
        <w:spacing w:after="0"/>
        <w:tabs>
          <w:tab w:leader="none" w:pos="800" w:val="left"/>
        </w:tabs>
        <w:numPr>
          <w:ilvl w:val="0"/>
          <w:numId w:val="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9"/>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(3)</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OO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560" w:hanging="247"/>
        <w:spacing w:after="0"/>
        <w:tabs>
          <w:tab w:leader="none" w:pos="560" w:val="left"/>
        </w:tabs>
        <w:numPr>
          <w:ilvl w:val="1"/>
          <w:numId w:val="9"/>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the Reporting Persons. The Reporting Persons expressly disclaim status as a “group” for purposes of this Schedule 13G.</w:t>
      </w:r>
    </w:p>
    <w:p>
      <w:pPr>
        <w:spacing w:after="0" w:line="3" w:lineRule="exact"/>
        <w:rPr>
          <w:rFonts w:ascii="Arial" w:cs="Arial" w:eastAsia="Arial" w:hAnsi="Arial"/>
          <w:sz w:val="11"/>
          <w:szCs w:val="11"/>
          <w:color w:val="auto"/>
        </w:rPr>
      </w:pPr>
    </w:p>
    <w:p>
      <w:pPr>
        <w:jc w:val="both"/>
        <w:ind w:left="560" w:hanging="247"/>
        <w:spacing w:after="0" w:line="230" w:lineRule="auto"/>
        <w:tabs>
          <w:tab w:leader="none" w:pos="560" w:val="left"/>
        </w:tabs>
        <w:numPr>
          <w:ilvl w:val="1"/>
          <w:numId w:val="9"/>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9"/>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-1013460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-1330960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-1639570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-593725</wp:posOffset>
            </wp:positionV>
            <wp:extent cx="178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420" w:top="913"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28"/>
        </w:trPr>
        <w:tc>
          <w:tcPr>
            <w:tcW w:w="3600" w:type="dxa"/>
            <w:vAlign w:val="bottom"/>
          </w:tcPr>
          <w:p>
            <w:pPr>
              <w:spacing w:after="0"/>
              <w:rPr>
                <w:sz w:val="20"/>
                <w:szCs w:val="20"/>
                <w:color w:val="auto"/>
              </w:rPr>
            </w:pPr>
            <w:r>
              <w:rPr>
                <w:rFonts w:ascii="Arial" w:cs="Arial" w:eastAsia="Arial" w:hAnsi="Arial"/>
                <w:sz w:val="18"/>
                <w:szCs w:val="18"/>
                <w:b w:val="1"/>
                <w:bCs w:val="1"/>
                <w:color w:val="auto"/>
              </w:rPr>
              <w:t>CUSIP No. 62921N 105</w:t>
            </w:r>
          </w:p>
        </w:tc>
        <w:tc>
          <w:tcPr>
            <w:tcW w:w="2260" w:type="dxa"/>
            <w:vAlign w:val="bottom"/>
          </w:tcPr>
          <w:p>
            <w:pPr>
              <w:ind w:left="1820"/>
              <w:spacing w:after="0"/>
              <w:rPr>
                <w:sz w:val="20"/>
                <w:szCs w:val="20"/>
                <w:color w:val="auto"/>
              </w:rPr>
            </w:pPr>
            <w:r>
              <w:rPr>
                <w:rFonts w:ascii="Arial" w:cs="Arial" w:eastAsia="Arial" w:hAnsi="Arial"/>
                <w:sz w:val="25"/>
                <w:szCs w:val="25"/>
                <w:b w:val="1"/>
                <w:bCs w:val="1"/>
                <w:color w:val="auto"/>
                <w:w w:val="88"/>
              </w:rPr>
              <w:t>13G</w:t>
            </w:r>
          </w:p>
        </w:tc>
      </w:tr>
    </w:tbl>
    <w:p>
      <w:pPr>
        <w:spacing w:after="0" w:line="200" w:lineRule="exact"/>
        <w:rPr>
          <w:sz w:val="20"/>
          <w:szCs w:val="20"/>
          <w:color w:val="auto"/>
        </w:rPr>
      </w:pPr>
    </w:p>
    <w:p>
      <w:pPr>
        <w:spacing w:after="0" w:line="202" w:lineRule="exact"/>
        <w:rPr>
          <w:sz w:val="20"/>
          <w:szCs w:val="20"/>
          <w:color w:val="auto"/>
        </w:rPr>
      </w:pPr>
    </w:p>
    <w:p>
      <w:pPr>
        <w:ind w:left="800" w:hanging="795"/>
        <w:spacing w:after="0"/>
        <w:tabs>
          <w:tab w:leader="none" w:pos="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Rho Capital Partners LLC</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10"/>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10"/>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-610870</wp:posOffset>
            </wp:positionV>
            <wp:extent cx="104140" cy="105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140"/>
          </w:cols>
          <w:pgMar w:left="420" w:top="913" w:right="339" w:bottom="1440" w:gutter="0" w:footer="0" w:header="0"/>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Sole Voting Power</w:t>
      </w: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3" w:lineRule="exact"/>
        <w:rPr>
          <w:rFonts w:ascii="Arial" w:cs="Arial" w:eastAsia="Arial" w:hAnsi="Arial"/>
          <w:sz w:val="22"/>
          <w:szCs w:val="22"/>
          <w:color w:val="auto"/>
        </w:rPr>
      </w:pPr>
    </w:p>
    <w:p>
      <w:pPr>
        <w:ind w:left="439" w:hanging="439"/>
        <w:spacing w:after="0"/>
        <w:tabs>
          <w:tab w:leader="none" w:pos="4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39" w:hanging="439"/>
        <w:spacing w:after="0"/>
        <w:tabs>
          <w:tab w:leader="none" w:pos="4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39" w:hanging="439"/>
        <w:spacing w:after="0"/>
        <w:tabs>
          <w:tab w:leader="none" w:pos="439" w:val="left"/>
        </w:tabs>
        <w:numPr>
          <w:ilvl w:val="0"/>
          <w:numId w:val="11"/>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6235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913" w:right="339" w:bottom="1440" w:gutter="0" w:footer="0" w:header="0"/>
          <w:type w:val="continuous"/>
        </w:sectPr>
      </w:pPr>
    </w:p>
    <w:p>
      <w:pPr>
        <w:ind w:left="800" w:hanging="795"/>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(3)</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OO</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560" w:hanging="247"/>
        <w:spacing w:after="0"/>
        <w:tabs>
          <w:tab w:leader="none" w:pos="5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the Reporting Persons. The Reporting Persons expressly disclaim status as a “group” for purposes of this Schedule 13G.</w:t>
      </w:r>
    </w:p>
    <w:p>
      <w:pPr>
        <w:spacing w:after="0" w:line="3" w:lineRule="exact"/>
        <w:rPr>
          <w:rFonts w:ascii="Arial" w:cs="Arial" w:eastAsia="Arial" w:hAnsi="Arial"/>
          <w:sz w:val="11"/>
          <w:szCs w:val="11"/>
          <w:color w:val="auto"/>
        </w:rPr>
      </w:pPr>
    </w:p>
    <w:p>
      <w:pPr>
        <w:jc w:val="both"/>
        <w:ind w:left="560" w:hanging="247"/>
        <w:spacing w:after="0" w:line="230" w:lineRule="auto"/>
        <w:tabs>
          <w:tab w:leader="none" w:pos="5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13"/>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-1013460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-1330960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-1639570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-593725</wp:posOffset>
            </wp:positionV>
            <wp:extent cx="1783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391795</wp:posOffset>
            </wp:positionV>
            <wp:extent cx="713232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913" w:right="339" w:bottom="1440" w:gutter="0" w:footer="0" w:header="0"/>
          <w:type w:val="continuous"/>
        </w:sectPr>
      </w:pPr>
    </w:p>
    <w:bookmarkStart w:id="4" w:name="page5"/>
    <w:bookmarkEnd w:id="4"/>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700" w:space="720"/>
            <w:col w:w="5720"/>
          </w:cols>
          <w:pgMar w:left="420" w:top="684" w:right="339" w:bottom="1440" w:gutter="0" w:footer="0" w:header="0"/>
        </w:sectPr>
      </w:pPr>
    </w:p>
    <w:p>
      <w:pPr>
        <w:spacing w:after="0" w:line="261" w:lineRule="exact"/>
        <w:rPr>
          <w:sz w:val="20"/>
          <w:szCs w:val="20"/>
          <w:color w:val="auto"/>
        </w:rPr>
      </w:pPr>
    </w:p>
    <w:p>
      <w:pPr>
        <w:ind w:left="800" w:hanging="795"/>
        <w:spacing w:after="0"/>
        <w:tabs>
          <w:tab w:leader="none" w:pos="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RMV V, L.L.C.</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14"/>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14"/>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-610870</wp:posOffset>
            </wp:positionV>
            <wp:extent cx="104140" cy="1054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Voting Power</w:t>
      </w: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13" w:lineRule="exact"/>
        <w:rPr>
          <w:rFonts w:ascii="Arial" w:cs="Arial" w:eastAsia="Arial" w:hAnsi="Arial"/>
          <w:sz w:val="22"/>
          <w:szCs w:val="22"/>
          <w:color w:val="auto"/>
        </w:rPr>
      </w:pPr>
    </w:p>
    <w:p>
      <w:pPr>
        <w:ind w:left="439" w:hanging="439"/>
        <w:spacing w:after="0"/>
        <w:tabs>
          <w:tab w:leader="none" w:pos="4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73" w:lineRule="exact"/>
        <w:rPr>
          <w:rFonts w:ascii="Arial" w:cs="Arial" w:eastAsia="Arial" w:hAnsi="Arial"/>
          <w:sz w:val="22"/>
          <w:szCs w:val="22"/>
          <w:color w:val="auto"/>
        </w:rPr>
      </w:pPr>
    </w:p>
    <w:p>
      <w:pPr>
        <w:ind w:left="439" w:hanging="439"/>
        <w:spacing w:after="0"/>
        <w:tabs>
          <w:tab w:leader="none" w:pos="4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0 shares</w:t>
      </w:r>
    </w:p>
    <w:p>
      <w:pPr>
        <w:spacing w:after="0" w:line="127" w:lineRule="exact"/>
        <w:rPr>
          <w:rFonts w:ascii="Arial" w:cs="Arial" w:eastAsia="Arial" w:hAnsi="Arial"/>
          <w:sz w:val="22"/>
          <w:szCs w:val="22"/>
          <w:color w:val="auto"/>
        </w:rPr>
      </w:pPr>
    </w:p>
    <w:p>
      <w:pPr>
        <w:ind w:left="439" w:hanging="439"/>
        <w:spacing w:after="0"/>
        <w:tabs>
          <w:tab w:leader="none" w:pos="439"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6235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684" w:right="339" w:bottom="1440" w:gutter="0" w:footer="0" w:header="0"/>
          <w:type w:val="continuous"/>
        </w:sectPr>
      </w:pPr>
    </w:p>
    <w:p>
      <w:pPr>
        <w:ind w:left="800" w:hanging="795"/>
        <w:spacing w:after="0"/>
        <w:tabs>
          <w:tab w:leader="none" w:pos="8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(3)</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OO</w:t>
      </w:r>
    </w:p>
    <w:p>
      <w:pPr>
        <w:spacing w:after="0" w:line="200" w:lineRule="exact"/>
        <w:rPr>
          <w:rFonts w:ascii="Arial" w:cs="Arial" w:eastAsia="Arial" w:hAnsi="Arial"/>
          <w:sz w:val="22"/>
          <w:szCs w:val="22"/>
          <w:color w:val="auto"/>
        </w:rPr>
      </w:pPr>
    </w:p>
    <w:p>
      <w:pPr>
        <w:spacing w:after="0" w:line="296" w:lineRule="exact"/>
        <w:rPr>
          <w:rFonts w:ascii="Arial" w:cs="Arial" w:eastAsia="Arial" w:hAnsi="Arial"/>
          <w:sz w:val="22"/>
          <w:szCs w:val="22"/>
          <w:color w:val="auto"/>
        </w:rPr>
      </w:pPr>
    </w:p>
    <w:p>
      <w:pPr>
        <w:ind w:left="560" w:hanging="247"/>
        <w:spacing w:after="0"/>
        <w:tabs>
          <w:tab w:leader="none" w:pos="5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the Reporting Persons. The Reporting Persons expressly disclaim status as a “group” for purposes of this Schedule 13G.</w:t>
      </w:r>
    </w:p>
    <w:p>
      <w:pPr>
        <w:spacing w:after="0" w:line="3" w:lineRule="exact"/>
        <w:rPr>
          <w:rFonts w:ascii="Arial" w:cs="Arial" w:eastAsia="Arial" w:hAnsi="Arial"/>
          <w:sz w:val="11"/>
          <w:szCs w:val="11"/>
          <w:color w:val="auto"/>
        </w:rPr>
      </w:pPr>
    </w:p>
    <w:p>
      <w:pPr>
        <w:jc w:val="both"/>
        <w:ind w:left="560" w:hanging="247"/>
        <w:spacing w:after="0" w:line="230" w:lineRule="auto"/>
        <w:tabs>
          <w:tab w:leader="none" w:pos="5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17"/>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-868045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-1184910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-1493520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-593725</wp:posOffset>
            </wp:positionV>
            <wp:extent cx="1783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391795</wp:posOffset>
            </wp:positionV>
            <wp:extent cx="71323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bookmarkStart w:id="5" w:name="page6"/>
    <w:bookmarkEnd w:id="5"/>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700" w:space="720"/>
            <w:col w:w="5720"/>
          </w:cols>
          <w:pgMar w:left="420" w:top="684" w:right="339" w:bottom="1440" w:gutter="0" w:footer="0" w:header="0"/>
        </w:sectPr>
      </w:pPr>
    </w:p>
    <w:p>
      <w:pPr>
        <w:spacing w:after="0" w:line="261" w:lineRule="exact"/>
        <w:rPr>
          <w:sz w:val="20"/>
          <w:szCs w:val="20"/>
          <w:color w:val="auto"/>
        </w:rPr>
      </w:pPr>
    </w:p>
    <w:p>
      <w:pPr>
        <w:ind w:left="800" w:hanging="795"/>
        <w:spacing w:after="0"/>
        <w:tabs>
          <w:tab w:leader="none" w:pos="8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Joshua Ruch</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18"/>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48"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18"/>
        </w:numPr>
        <w:rPr>
          <w:rFonts w:ascii="Arial" w:cs="Arial" w:eastAsia="Arial" w:hAnsi="Arial"/>
          <w:sz w:val="22"/>
          <w:szCs w:val="22"/>
          <w:b w:val="1"/>
          <w:bCs w:val="1"/>
          <w:color w:val="auto"/>
        </w:rPr>
      </w:pPr>
      <w:r>
        <w:rPr>
          <w:rFonts w:ascii="MS PGothic" w:cs="MS PGothic" w:eastAsia="MS PGothic" w:hAnsi="MS PGothic"/>
          <w:sz w:val="20"/>
          <w:szCs w:val="20"/>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-1413510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-1104900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790575</wp:posOffset>
            </wp:positionH>
            <wp:positionV relativeFrom="paragraph">
              <wp:posOffset>-601980</wp:posOffset>
            </wp:positionV>
            <wp:extent cx="95250" cy="965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19"/>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356" w:lineRule="exact"/>
        <w:rPr>
          <w:rFonts w:ascii="Arial" w:cs="Arial" w:eastAsia="Arial" w:hAnsi="Arial"/>
          <w:sz w:val="22"/>
          <w:szCs w:val="22"/>
          <w:color w:val="auto"/>
        </w:rPr>
      </w:pPr>
    </w:p>
    <w:p>
      <w:pPr>
        <w:ind w:left="439" w:hanging="439"/>
        <w:spacing w:after="0"/>
        <w:tabs>
          <w:tab w:leader="none" w:pos="439" w:val="left"/>
        </w:tabs>
        <w:numPr>
          <w:ilvl w:val="0"/>
          <w:numId w:val="19"/>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59" w:lineRule="exact"/>
        <w:rPr>
          <w:rFonts w:ascii="Arial" w:cs="Arial" w:eastAsia="Arial" w:hAnsi="Arial"/>
          <w:sz w:val="22"/>
          <w:szCs w:val="22"/>
          <w:color w:val="auto"/>
        </w:rPr>
      </w:pPr>
    </w:p>
    <w:p>
      <w:pPr>
        <w:ind w:left="439" w:hanging="439"/>
        <w:spacing w:after="0"/>
        <w:tabs>
          <w:tab w:leader="none" w:pos="439" w:val="left"/>
        </w:tabs>
        <w:numPr>
          <w:ilvl w:val="0"/>
          <w:numId w:val="19"/>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368" w:lineRule="exact"/>
        <w:rPr>
          <w:rFonts w:ascii="Arial" w:cs="Arial" w:eastAsia="Arial" w:hAnsi="Arial"/>
          <w:sz w:val="22"/>
          <w:szCs w:val="22"/>
          <w:color w:val="auto"/>
        </w:rPr>
      </w:pPr>
    </w:p>
    <w:p>
      <w:pPr>
        <w:ind w:left="439" w:hanging="439"/>
        <w:spacing w:after="0"/>
        <w:tabs>
          <w:tab w:leader="none" w:pos="439" w:val="left"/>
        </w:tabs>
        <w:numPr>
          <w:ilvl w:val="0"/>
          <w:numId w:val="19"/>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-1058545</wp:posOffset>
            </wp:positionV>
            <wp:extent cx="56235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684" w:right="339" w:bottom="1440" w:gutter="0" w:footer="0" w:header="0"/>
          <w:type w:val="continuous"/>
        </w:sectPr>
      </w:pPr>
    </w:p>
    <w:p>
      <w:pPr>
        <w:ind w:left="800" w:hanging="795"/>
        <w:spacing w:after="0"/>
        <w:tabs>
          <w:tab w:leader="none" w:pos="8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(3)</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560" w:hanging="247"/>
        <w:spacing w:after="0"/>
        <w:tabs>
          <w:tab w:leader="none" w:pos="560" w:val="left"/>
        </w:tabs>
        <w:numPr>
          <w:ilvl w:val="1"/>
          <w:numId w:val="21"/>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the Reporting Persons. The Reporting Persons expressly disclaim status as a “group” for purposes of this Schedule 13G.</w:t>
      </w:r>
    </w:p>
    <w:p>
      <w:pPr>
        <w:spacing w:after="0" w:line="3" w:lineRule="exact"/>
        <w:rPr>
          <w:rFonts w:ascii="Arial" w:cs="Arial" w:eastAsia="Arial" w:hAnsi="Arial"/>
          <w:sz w:val="11"/>
          <w:szCs w:val="11"/>
          <w:color w:val="auto"/>
        </w:rPr>
      </w:pPr>
    </w:p>
    <w:p>
      <w:pPr>
        <w:jc w:val="both"/>
        <w:ind w:left="560" w:hanging="247"/>
        <w:spacing w:after="0" w:line="230" w:lineRule="auto"/>
        <w:tabs>
          <w:tab w:leader="none" w:pos="560" w:val="left"/>
        </w:tabs>
        <w:numPr>
          <w:ilvl w:val="1"/>
          <w:numId w:val="21"/>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21"/>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-1013460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-1330960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-1639570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-593725</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bookmarkStart w:id="6" w:name="page7"/>
    <w:bookmarkEnd w:id="6"/>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700" w:space="720"/>
            <w:col w:w="5720"/>
          </w:cols>
          <w:pgMar w:left="420" w:top="684" w:right="339" w:bottom="1440" w:gutter="0" w:footer="0" w:header="0"/>
        </w:sectPr>
      </w:pPr>
    </w:p>
    <w:p>
      <w:pPr>
        <w:spacing w:after="0" w:line="261" w:lineRule="exact"/>
        <w:rPr>
          <w:sz w:val="20"/>
          <w:szCs w:val="20"/>
          <w:color w:val="auto"/>
        </w:rPr>
      </w:pPr>
    </w:p>
    <w:p>
      <w:pPr>
        <w:ind w:left="800" w:hanging="795"/>
        <w:spacing w:after="0"/>
        <w:tabs>
          <w:tab w:leader="none" w:pos="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Mark Leschly</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2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22"/>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Kingdom of Denmark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-610870</wp:posOffset>
            </wp:positionV>
            <wp:extent cx="104140" cy="1054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Sole Voting Power</w:t>
      </w: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24,000 (2)</w:t>
      </w:r>
    </w:p>
    <w:p>
      <w:pPr>
        <w:spacing w:after="0" w:line="113" w:lineRule="exact"/>
        <w:rPr>
          <w:rFonts w:ascii="Arial" w:cs="Arial" w:eastAsia="Arial" w:hAnsi="Arial"/>
          <w:sz w:val="22"/>
          <w:szCs w:val="22"/>
          <w:color w:val="auto"/>
        </w:rPr>
      </w:pPr>
    </w:p>
    <w:p>
      <w:pPr>
        <w:ind w:left="439" w:hanging="439"/>
        <w:spacing w:after="0"/>
        <w:tabs>
          <w:tab w:leader="none" w:pos="43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(3)</w:t>
      </w:r>
    </w:p>
    <w:p>
      <w:pPr>
        <w:spacing w:after="0" w:line="173" w:lineRule="exact"/>
        <w:rPr>
          <w:rFonts w:ascii="Arial" w:cs="Arial" w:eastAsia="Arial" w:hAnsi="Arial"/>
          <w:sz w:val="22"/>
          <w:szCs w:val="22"/>
          <w:color w:val="auto"/>
        </w:rPr>
      </w:pPr>
    </w:p>
    <w:p>
      <w:pPr>
        <w:ind w:left="439" w:hanging="439"/>
        <w:spacing w:after="0"/>
        <w:tabs>
          <w:tab w:leader="none" w:pos="43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20"/>
          <w:szCs w:val="20"/>
          <w:b w:val="1"/>
          <w:bCs w:val="1"/>
          <w:color w:val="auto"/>
        </w:rPr>
        <w:t>24,000 (2)</w:t>
      </w:r>
    </w:p>
    <w:p>
      <w:pPr>
        <w:spacing w:after="0" w:line="127" w:lineRule="exact"/>
        <w:rPr>
          <w:rFonts w:ascii="Arial" w:cs="Arial" w:eastAsia="Arial" w:hAnsi="Arial"/>
          <w:sz w:val="22"/>
          <w:szCs w:val="22"/>
          <w:color w:val="auto"/>
        </w:rPr>
      </w:pPr>
    </w:p>
    <w:p>
      <w:pPr>
        <w:ind w:left="439" w:hanging="439"/>
        <w:spacing w:after="0"/>
        <w:tabs>
          <w:tab w:leader="none" w:pos="439" w:val="left"/>
        </w:tabs>
        <w:numPr>
          <w:ilvl w:val="0"/>
          <w:numId w:val="23"/>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-1067435</wp:posOffset>
            </wp:positionV>
            <wp:extent cx="56235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684" w:right="339" w:bottom="1440" w:gutter="0" w:footer="0" w:header="0"/>
          <w:type w:val="continuous"/>
        </w:sectPr>
      </w:pPr>
    </w:p>
    <w:p>
      <w:pPr>
        <w:ind w:left="800" w:hanging="795"/>
        <w:spacing w:after="0"/>
        <w:tabs>
          <w:tab w:leader="none" w:pos="8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3,790,666 shares of Common Stock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(4)</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560" w:hanging="247"/>
        <w:spacing w:after="0"/>
        <w:tabs>
          <w:tab w:leader="none" w:pos="560" w:val="left"/>
        </w:tabs>
        <w:numPr>
          <w:ilvl w:val="1"/>
          <w:numId w:val="25"/>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the Reporting Persons. The Reporting Persons expressly disclaim status as a “group” for purposes of this Schedule 13G.</w:t>
      </w:r>
    </w:p>
    <w:p>
      <w:pPr>
        <w:spacing w:after="0" w:line="3" w:lineRule="exact"/>
        <w:rPr>
          <w:rFonts w:ascii="Arial" w:cs="Arial" w:eastAsia="Arial" w:hAnsi="Arial"/>
          <w:sz w:val="11"/>
          <w:szCs w:val="11"/>
          <w:color w:val="auto"/>
        </w:rPr>
      </w:pPr>
    </w:p>
    <w:p>
      <w:pPr>
        <w:ind w:left="560" w:hanging="247"/>
        <w:spacing w:after="0" w:line="230" w:lineRule="auto"/>
        <w:tabs>
          <w:tab w:leader="none" w:pos="560" w:val="left"/>
        </w:tabs>
        <w:numPr>
          <w:ilvl w:val="1"/>
          <w:numId w:val="25"/>
        </w:numPr>
        <w:rPr>
          <w:rFonts w:ascii="Arial" w:cs="Arial" w:eastAsia="Arial" w:hAnsi="Arial"/>
          <w:sz w:val="11"/>
          <w:szCs w:val="11"/>
          <w:color w:val="auto"/>
        </w:rPr>
      </w:pPr>
      <w:r>
        <w:rPr>
          <w:rFonts w:ascii="Arial" w:cs="Arial" w:eastAsia="Arial" w:hAnsi="Arial"/>
          <w:sz w:val="11"/>
          <w:szCs w:val="11"/>
          <w:color w:val="auto"/>
        </w:rPr>
        <w:t>Includes options to purchase 24,000 shares of Common Stock which are presently exercisable or exercisable within sixty days of February 12, 2021.</w:t>
      </w:r>
    </w:p>
    <w:p>
      <w:pPr>
        <w:jc w:val="both"/>
        <w:ind w:left="560" w:hanging="247"/>
        <w:spacing w:after="0" w:line="230" w:lineRule="auto"/>
        <w:tabs>
          <w:tab w:leader="none" w:pos="560" w:val="left"/>
        </w:tabs>
        <w:numPr>
          <w:ilvl w:val="1"/>
          <w:numId w:val="25"/>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25"/>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-1090930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-1407795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-1716405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-670560</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684" w:right="339" w:bottom="1440" w:gutter="0" w:footer="0" w:header="0"/>
          <w:type w:val="continuous"/>
        </w:sectPr>
      </w:pPr>
    </w:p>
    <w:bookmarkStart w:id="7" w:name="page8"/>
    <w:bookmarkEnd w:id="7"/>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340" w:lineRule="exact"/>
        <w:rPr>
          <w:sz w:val="20"/>
          <w:szCs w:val="20"/>
          <w:color w:val="auto"/>
        </w:rPr>
      </w:pPr>
    </w:p>
    <w:p>
      <w:pPr>
        <w:sectPr>
          <w:pgSz w:w="11900" w:h="16838" w:orient="portrait"/>
          <w:cols w:equalWidth="0" w:num="2">
            <w:col w:w="4700" w:space="720"/>
            <w:col w:w="5720"/>
          </w:cols>
          <w:pgMar w:left="420" w:top="819" w:right="339" w:bottom="1440" w:gutter="0" w:footer="0" w:header="0"/>
        </w:sectPr>
      </w:pPr>
    </w:p>
    <w:p>
      <w:pPr>
        <w:spacing w:after="0" w:line="261" w:lineRule="exact"/>
        <w:rPr>
          <w:sz w:val="20"/>
          <w:szCs w:val="20"/>
          <w:color w:val="auto"/>
        </w:rPr>
      </w:pPr>
    </w:p>
    <w:p>
      <w:pPr>
        <w:ind w:left="800" w:hanging="795"/>
        <w:spacing w:after="0"/>
        <w:tabs>
          <w:tab w:leader="none" w:pos="8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Names of Reporting Persons</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Habib Kairouz</w:t>
      </w:r>
    </w:p>
    <w:p>
      <w:pPr>
        <w:spacing w:after="0" w:line="4" w:lineRule="exact"/>
        <w:rPr>
          <w:rFonts w:ascii="Arial" w:cs="Arial" w:eastAsia="Arial" w:hAnsi="Arial"/>
          <w:sz w:val="22"/>
          <w:szCs w:val="22"/>
          <w:color w:val="auto"/>
        </w:rPr>
      </w:pPr>
    </w:p>
    <w:p>
      <w:pPr>
        <w:ind w:left="800" w:hanging="795"/>
        <w:spacing w:after="0"/>
        <w:tabs>
          <w:tab w:leader="none" w:pos="80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Check the Appropriate Box if a Member of a Group (see instructions)</w:t>
      </w:r>
    </w:p>
    <w:p>
      <w:pPr>
        <w:spacing w:after="0" w:line="229" w:lineRule="exact"/>
        <w:rPr>
          <w:rFonts w:ascii="Arial" w:cs="Arial" w:eastAsia="Arial" w:hAnsi="Arial"/>
          <w:sz w:val="19"/>
          <w:szCs w:val="19"/>
          <w:color w:val="auto"/>
        </w:rPr>
      </w:pPr>
    </w:p>
    <w:p>
      <w:pPr>
        <w:ind w:left="1200" w:hanging="398"/>
        <w:spacing w:after="0" w:line="253" w:lineRule="exact"/>
        <w:tabs>
          <w:tab w:leader="none" w:pos="1200" w:val="left"/>
        </w:tabs>
        <w:numPr>
          <w:ilvl w:val="1"/>
          <w:numId w:val="26"/>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61" w:lineRule="exact"/>
        <w:rPr>
          <w:rFonts w:ascii="Arial" w:cs="Arial" w:eastAsia="Arial" w:hAnsi="Arial"/>
          <w:sz w:val="22"/>
          <w:szCs w:val="22"/>
          <w:color w:val="auto"/>
        </w:rPr>
      </w:pPr>
    </w:p>
    <w:p>
      <w:pPr>
        <w:ind w:left="1220" w:hanging="418"/>
        <w:spacing w:after="0" w:line="253" w:lineRule="exact"/>
        <w:tabs>
          <w:tab w:leader="none" w:pos="1220" w:val="left"/>
        </w:tabs>
        <w:numPr>
          <w:ilvl w:val="1"/>
          <w:numId w:val="26"/>
        </w:numPr>
        <w:rPr>
          <w:rFonts w:ascii="Arial" w:cs="Arial" w:eastAsia="Arial" w:hAnsi="Arial"/>
          <w:sz w:val="22"/>
          <w:szCs w:val="22"/>
          <w:b w:val="1"/>
          <w:bCs w:val="1"/>
          <w:color w:val="auto"/>
        </w:rPr>
      </w:pPr>
      <w:r>
        <w:rPr>
          <w:rFonts w:ascii="MS PGothic" w:cs="MS PGothic" w:eastAsia="MS PGothic" w:hAnsi="MS PGothic"/>
          <w:sz w:val="21"/>
          <w:szCs w:val="21"/>
          <w:color w:val="auto"/>
        </w:rPr>
        <w:t>☑</w:t>
      </w:r>
      <w:r>
        <w:rPr>
          <w:rFonts w:ascii="Arial" w:cs="Arial" w:eastAsia="Arial" w:hAnsi="Arial"/>
          <w:sz w:val="20"/>
          <w:szCs w:val="20"/>
          <w:b w:val="1"/>
          <w:bCs w:val="1"/>
          <w:color w:val="auto"/>
        </w:rPr>
        <w:t xml:space="preserve"> (1)</w:t>
      </w:r>
    </w:p>
    <w:p>
      <w:pPr>
        <w:spacing w:after="0" w:line="3" w:lineRule="exact"/>
        <w:rPr>
          <w:rFonts w:ascii="Arial" w:cs="Arial" w:eastAsia="Arial" w:hAnsi="Arial"/>
          <w:sz w:val="22"/>
          <w:szCs w:val="22"/>
          <w:b w:val="1"/>
          <w:bCs w:val="1"/>
          <w:color w:val="auto"/>
        </w:rPr>
      </w:pPr>
    </w:p>
    <w:p>
      <w:pPr>
        <w:ind w:left="800" w:hanging="795"/>
        <w:spacing w:after="0"/>
        <w:tabs>
          <w:tab w:leader="none" w:pos="8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 w:lineRule="exact"/>
        <w:rPr>
          <w:rFonts w:ascii="Arial" w:cs="Arial" w:eastAsia="Arial" w:hAnsi="Arial"/>
          <w:sz w:val="22"/>
          <w:szCs w:val="22"/>
          <w:color w:val="auto"/>
        </w:rPr>
      </w:pPr>
    </w:p>
    <w:p>
      <w:pPr>
        <w:ind w:left="800" w:hanging="795"/>
        <w:spacing w:after="0" w:line="233" w:lineRule="auto"/>
        <w:tabs>
          <w:tab w:leader="none" w:pos="8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-470535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-1422400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-1113790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791845</wp:posOffset>
            </wp:positionH>
            <wp:positionV relativeFrom="paragraph">
              <wp:posOffset>-610870</wp:posOffset>
            </wp:positionV>
            <wp:extent cx="104140" cy="1054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ectPr>
          <w:pgSz w:w="11900" w:h="16838" w:orient="portrait"/>
          <w:cols w:equalWidth="0" w:num="1">
            <w:col w:w="11140"/>
          </w:cols>
          <w:pgMar w:left="420" w:top="819" w:right="339" w:bottom="1440" w:gutter="0" w:footer="0" w:header="0"/>
          <w:type w:val="continuous"/>
        </w:sectPr>
      </w:pPr>
    </w:p>
    <w:p>
      <w:pPr>
        <w:spacing w:after="0" w:line="4"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Number of</w:t>
      </w:r>
    </w:p>
    <w:p>
      <w:pPr>
        <w:spacing w:after="0" w:line="86"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Shares</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Beneficially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Owned by</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Each</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22"/>
          <w:szCs w:val="22"/>
          <w:color w:val="auto"/>
        </w:rPr>
        <w:t>Reporting</w:t>
      </w:r>
    </w:p>
    <w:p>
      <w:pPr>
        <w:spacing w:after="0" w:line="98" w:lineRule="exact"/>
        <w:rPr>
          <w:sz w:val="20"/>
          <w:szCs w:val="20"/>
          <w:color w:val="auto"/>
        </w:rPr>
      </w:pPr>
    </w:p>
    <w:p>
      <w:pPr>
        <w:jc w:val="center"/>
        <w:ind w:left="539"/>
        <w:spacing w:after="0"/>
        <w:rPr>
          <w:sz w:val="20"/>
          <w:szCs w:val="20"/>
          <w:color w:val="auto"/>
        </w:rPr>
      </w:pPr>
      <w:r>
        <w:rPr>
          <w:rFonts w:ascii="Arial" w:cs="Arial" w:eastAsia="Arial" w:hAnsi="Arial"/>
          <w:sz w:val="19"/>
          <w:szCs w:val="19"/>
          <w:color w:val="auto"/>
        </w:rPr>
        <w:t>Person With:</w:t>
      </w:r>
    </w:p>
    <w:p>
      <w:pPr>
        <w:spacing w:after="0" w:line="20" w:lineRule="exact"/>
        <w:rPr>
          <w:sz w:val="20"/>
          <w:szCs w:val="20"/>
          <w:color w:val="auto"/>
        </w:rPr>
      </w:pPr>
      <w:r>
        <w:rPr>
          <w:sz w:val="20"/>
          <w:szCs w:val="20"/>
          <w:color w:val="auto"/>
        </w:rPr>
        <w:br w:type="column"/>
      </w:r>
    </w:p>
    <w:p>
      <w:pPr>
        <w:ind w:left="439" w:hanging="439"/>
        <w:spacing w:after="0"/>
        <w:tabs>
          <w:tab w:leader="none" w:pos="439" w:val="left"/>
        </w:tabs>
        <w:numPr>
          <w:ilvl w:val="0"/>
          <w:numId w:val="27"/>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356" w:lineRule="exact"/>
        <w:rPr>
          <w:rFonts w:ascii="Arial" w:cs="Arial" w:eastAsia="Arial" w:hAnsi="Arial"/>
          <w:sz w:val="22"/>
          <w:szCs w:val="22"/>
          <w:color w:val="auto"/>
        </w:rPr>
      </w:pPr>
    </w:p>
    <w:p>
      <w:pPr>
        <w:ind w:left="439" w:hanging="439"/>
        <w:spacing w:after="0"/>
        <w:tabs>
          <w:tab w:leader="none" w:pos="439" w:val="left"/>
        </w:tabs>
        <w:numPr>
          <w:ilvl w:val="0"/>
          <w:numId w:val="27"/>
        </w:numPr>
        <w:rPr>
          <w:rFonts w:ascii="Arial" w:cs="Arial" w:eastAsia="Arial" w:hAnsi="Arial"/>
          <w:sz w:val="22"/>
          <w:szCs w:val="22"/>
          <w:color w:val="auto"/>
        </w:rPr>
      </w:pPr>
      <w:r>
        <w:rPr>
          <w:rFonts w:ascii="Arial" w:cs="Arial" w:eastAsia="Arial" w:hAnsi="Arial"/>
          <w:sz w:val="22"/>
          <w:szCs w:val="22"/>
          <w:color w:val="auto"/>
        </w:rPr>
        <w:t>Shared Voting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159" w:lineRule="exact"/>
        <w:rPr>
          <w:rFonts w:ascii="Arial" w:cs="Arial" w:eastAsia="Arial" w:hAnsi="Arial"/>
          <w:sz w:val="22"/>
          <w:szCs w:val="22"/>
          <w:color w:val="auto"/>
        </w:rPr>
      </w:pPr>
    </w:p>
    <w:p>
      <w:pPr>
        <w:ind w:left="439" w:hanging="439"/>
        <w:spacing w:after="0"/>
        <w:tabs>
          <w:tab w:leader="none" w:pos="439" w:val="left"/>
        </w:tabs>
        <w:numPr>
          <w:ilvl w:val="0"/>
          <w:numId w:val="27"/>
        </w:numPr>
        <w:rPr>
          <w:rFonts w:ascii="Arial" w:cs="Arial" w:eastAsia="Arial" w:hAnsi="Arial"/>
          <w:sz w:val="22"/>
          <w:szCs w:val="22"/>
          <w:color w:val="auto"/>
        </w:rPr>
      </w:pPr>
      <w:r>
        <w:rPr>
          <w:rFonts w:ascii="Arial" w:cs="Arial" w:eastAsia="Arial" w:hAnsi="Arial"/>
          <w:sz w:val="22"/>
          <w:szCs w:val="22"/>
          <w:color w:val="auto"/>
        </w:rPr>
        <w:t>Sole Dispositive Power</w:t>
      </w:r>
    </w:p>
    <w:p>
      <w:pPr>
        <w:spacing w:after="0" w:line="368" w:lineRule="exact"/>
        <w:rPr>
          <w:rFonts w:ascii="Arial" w:cs="Arial" w:eastAsia="Arial" w:hAnsi="Arial"/>
          <w:sz w:val="22"/>
          <w:szCs w:val="22"/>
          <w:color w:val="auto"/>
        </w:rPr>
      </w:pPr>
    </w:p>
    <w:p>
      <w:pPr>
        <w:ind w:left="439" w:hanging="439"/>
        <w:spacing w:after="0"/>
        <w:tabs>
          <w:tab w:leader="none" w:pos="439" w:val="left"/>
        </w:tabs>
        <w:numPr>
          <w:ilvl w:val="0"/>
          <w:numId w:val="27"/>
        </w:numPr>
        <w:rPr>
          <w:rFonts w:ascii="Arial" w:cs="Arial" w:eastAsia="Arial" w:hAnsi="Arial"/>
          <w:sz w:val="22"/>
          <w:szCs w:val="22"/>
          <w:color w:val="auto"/>
        </w:rPr>
      </w:pPr>
      <w:r>
        <w:rPr>
          <w:rFonts w:ascii="Arial" w:cs="Arial" w:eastAsia="Arial" w:hAnsi="Arial"/>
          <w:sz w:val="22"/>
          <w:szCs w:val="22"/>
          <w:color w:val="auto"/>
        </w:rPr>
        <w:t>Shared Dispositive Power</w:t>
      </w:r>
    </w:p>
    <w:p>
      <w:pPr>
        <w:spacing w:after="0" w:line="10" w:lineRule="exact"/>
        <w:rPr>
          <w:rFonts w:ascii="Arial" w:cs="Arial" w:eastAsia="Arial" w:hAnsi="Arial"/>
          <w:sz w:val="22"/>
          <w:szCs w:val="22"/>
          <w:color w:val="auto"/>
        </w:rPr>
      </w:pPr>
    </w:p>
    <w:p>
      <w:pPr>
        <w:ind w:left="439"/>
        <w:spacing w:after="0"/>
        <w:rPr>
          <w:rFonts w:ascii="Arial" w:cs="Arial" w:eastAsia="Arial" w:hAnsi="Arial"/>
          <w:sz w:val="22"/>
          <w:szCs w:val="22"/>
          <w:color w:val="auto"/>
        </w:rPr>
      </w:pPr>
      <w:r>
        <w:rPr>
          <w:rFonts w:ascii="Arial" w:cs="Arial" w:eastAsia="Arial" w:hAnsi="Arial"/>
          <w:sz w:val="16"/>
          <w:szCs w:val="16"/>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-278765</wp:posOffset>
            </wp:positionV>
            <wp:extent cx="5623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-673100</wp:posOffset>
            </wp:positionV>
            <wp:extent cx="56235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-1058545</wp:posOffset>
            </wp:positionV>
            <wp:extent cx="5623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1661" w:space="720"/>
            <w:col w:w="8759"/>
          </w:cols>
          <w:pgMar w:left="420" w:top="819" w:right="339" w:bottom="1440" w:gutter="0" w:footer="0" w:header="0"/>
          <w:type w:val="continuous"/>
        </w:sectPr>
      </w:pPr>
    </w:p>
    <w:p>
      <w:pPr>
        <w:ind w:left="800" w:hanging="795"/>
        <w:spacing w:after="0"/>
        <w:tabs>
          <w:tab w:leader="none" w:pos="8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3,766,666 shares of Common Stock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-307975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7" w:lineRule="exact"/>
        <w:tabs>
          <w:tab w:leader="none" w:pos="780" w:val="left"/>
          <w:tab w:leader="none" w:pos="104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Check if the Aggregate Amount in Row (9) Excludes Certain Shares (see instructions)</w:t>
      </w:r>
      <w:r>
        <w:rPr>
          <w:sz w:val="20"/>
          <w:szCs w:val="20"/>
          <w:color w:val="auto"/>
        </w:rPr>
        <w:tab/>
      </w:r>
      <w:r>
        <w:rPr>
          <w:rFonts w:ascii="MS PGothic" w:cs="MS PGothic" w:eastAsia="MS PGothic" w:hAnsi="MS PGothic"/>
          <w:sz w:val="18"/>
          <w:szCs w:val="18"/>
          <w:color w:val="auto"/>
        </w:rPr>
        <w:t>☐</w:t>
      </w:r>
    </w:p>
    <w:p>
      <w:pPr>
        <w:spacing w:after="0" w:line="235" w:lineRule="exact"/>
        <w:rPr>
          <w:sz w:val="20"/>
          <w:szCs w:val="20"/>
          <w:color w:val="auto"/>
        </w:rPr>
      </w:pPr>
    </w:p>
    <w:p>
      <w:pPr>
        <w:ind w:left="800" w:hanging="795"/>
        <w:spacing w:after="0"/>
        <w:tabs>
          <w:tab w:leader="none" w:pos="8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10" w:lineRule="exact"/>
        <w:rPr>
          <w:rFonts w:ascii="Arial" w:cs="Arial" w:eastAsia="Arial" w:hAnsi="Arial"/>
          <w:sz w:val="22"/>
          <w:szCs w:val="22"/>
          <w:color w:val="auto"/>
        </w:rPr>
      </w:pPr>
    </w:p>
    <w:p>
      <w:pPr>
        <w:ind w:left="800"/>
        <w:spacing w:after="0"/>
        <w:rPr>
          <w:rFonts w:ascii="Arial" w:cs="Arial" w:eastAsia="Arial" w:hAnsi="Arial"/>
          <w:sz w:val="22"/>
          <w:szCs w:val="22"/>
          <w:color w:val="auto"/>
        </w:rPr>
      </w:pPr>
      <w:r>
        <w:rPr>
          <w:rFonts w:ascii="Arial" w:cs="Arial" w:eastAsia="Arial" w:hAnsi="Arial"/>
          <w:sz w:val="20"/>
          <w:szCs w:val="20"/>
          <w:b w:val="1"/>
          <w:bCs w:val="1"/>
          <w:color w:val="auto"/>
        </w:rPr>
        <w:t>5.5% (3)</w:t>
      </w:r>
    </w:p>
    <w:p>
      <w:pPr>
        <w:spacing w:after="0" w:line="4" w:lineRule="exact"/>
        <w:rPr>
          <w:rFonts w:ascii="Arial" w:cs="Arial" w:eastAsia="Arial" w:hAnsi="Arial"/>
          <w:sz w:val="22"/>
          <w:szCs w:val="22"/>
          <w:color w:val="auto"/>
        </w:rPr>
      </w:pPr>
    </w:p>
    <w:p>
      <w:pPr>
        <w:ind w:left="800" w:hanging="795"/>
        <w:spacing w:after="0" w:line="236" w:lineRule="auto"/>
        <w:tabs>
          <w:tab w:leader="none" w:pos="8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ind w:left="800"/>
        <w:spacing w:after="0"/>
        <w:rPr>
          <w:rFonts w:ascii="Arial" w:cs="Arial" w:eastAsia="Arial" w:hAnsi="Arial"/>
          <w:sz w:val="22"/>
          <w:szCs w:val="22"/>
          <w:color w:val="auto"/>
        </w:rPr>
      </w:pPr>
      <w:r>
        <w:rPr>
          <w:rFonts w:ascii="Arial" w:cs="Arial" w:eastAsia="Arial" w:hAnsi="Arial"/>
          <w:sz w:val="22"/>
          <w:szCs w:val="22"/>
          <w:b w:val="1"/>
          <w:bCs w:val="1"/>
          <w:color w:val="auto"/>
        </w:rPr>
        <w:t>IN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6" w:lineRule="exact"/>
        <w:rPr>
          <w:rFonts w:ascii="Arial" w:cs="Arial" w:eastAsia="Arial" w:hAnsi="Arial"/>
          <w:sz w:val="22"/>
          <w:szCs w:val="22"/>
          <w:color w:val="auto"/>
        </w:rPr>
      </w:pPr>
    </w:p>
    <w:p>
      <w:pPr>
        <w:ind w:left="560" w:hanging="247"/>
        <w:spacing w:after="0"/>
        <w:tabs>
          <w:tab w:leader="none" w:pos="560" w:val="left"/>
        </w:tabs>
        <w:numPr>
          <w:ilvl w:val="1"/>
          <w:numId w:val="29"/>
        </w:numPr>
        <w:rPr>
          <w:rFonts w:ascii="Arial" w:cs="Arial" w:eastAsia="Arial" w:hAnsi="Arial"/>
          <w:sz w:val="11"/>
          <w:szCs w:val="11"/>
          <w:color w:val="auto"/>
        </w:rPr>
      </w:pPr>
      <w:r>
        <w:rPr>
          <w:rFonts w:ascii="Arial" w:cs="Arial" w:eastAsia="Arial" w:hAnsi="Arial"/>
          <w:sz w:val="11"/>
          <w:szCs w:val="11"/>
          <w:color w:val="auto"/>
        </w:rPr>
        <w:t>This Amendment No. 1 to the statement on Schedule 13G is filed by the Reporting Persons. The Reporting Persons expressly disclaim status as a “group” for purposes of this Schedule 13G.</w:t>
      </w:r>
    </w:p>
    <w:p>
      <w:pPr>
        <w:spacing w:after="0" w:line="3" w:lineRule="exact"/>
        <w:rPr>
          <w:rFonts w:ascii="Arial" w:cs="Arial" w:eastAsia="Arial" w:hAnsi="Arial"/>
          <w:sz w:val="11"/>
          <w:szCs w:val="11"/>
          <w:color w:val="auto"/>
        </w:rPr>
      </w:pPr>
    </w:p>
    <w:p>
      <w:pPr>
        <w:jc w:val="both"/>
        <w:ind w:left="560" w:hanging="247"/>
        <w:spacing w:after="0" w:line="230" w:lineRule="auto"/>
        <w:tabs>
          <w:tab w:leader="none" w:pos="560" w:val="left"/>
        </w:tabs>
        <w:numPr>
          <w:ilvl w:val="1"/>
          <w:numId w:val="29"/>
        </w:numPr>
        <w:rPr>
          <w:rFonts w:ascii="Arial" w:cs="Arial" w:eastAsia="Arial" w:hAnsi="Arial"/>
          <w:sz w:val="11"/>
          <w:szCs w:val="11"/>
          <w:color w:val="auto"/>
        </w:rPr>
      </w:pPr>
      <w:r>
        <w:rPr>
          <w:rFonts w:ascii="Arial" w:cs="Arial" w:eastAsia="Arial" w:hAnsi="Arial"/>
          <w:sz w:val="11"/>
          <w:szCs w:val="11"/>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1" w:lineRule="exact"/>
        <w:rPr>
          <w:rFonts w:ascii="Arial" w:cs="Arial" w:eastAsia="Arial" w:hAnsi="Arial"/>
          <w:sz w:val="11"/>
          <w:szCs w:val="11"/>
          <w:color w:val="auto"/>
        </w:rPr>
      </w:pPr>
    </w:p>
    <w:p>
      <w:pPr>
        <w:ind w:left="560" w:hanging="247"/>
        <w:spacing w:after="0" w:line="236" w:lineRule="auto"/>
        <w:tabs>
          <w:tab w:leader="none" w:pos="560" w:val="left"/>
        </w:tabs>
        <w:numPr>
          <w:ilvl w:val="1"/>
          <w:numId w:val="29"/>
        </w:numPr>
        <w:rPr>
          <w:rFonts w:ascii="Arial" w:cs="Arial" w:eastAsia="Arial" w:hAnsi="Arial"/>
          <w:sz w:val="11"/>
          <w:szCs w:val="11"/>
          <w:color w:val="auto"/>
        </w:rPr>
      </w:pPr>
      <w:r>
        <w:rPr>
          <w:rFonts w:ascii="Arial" w:cs="Arial" w:eastAsia="Arial" w:hAnsi="Arial"/>
          <w:sz w:val="11"/>
          <w:szCs w:val="11"/>
          <w:color w:val="auto"/>
        </w:rPr>
        <w:t>The percentages set forth on the cover sheets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-1013460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-1330960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-1639570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-593725</wp:posOffset>
            </wp:positionV>
            <wp:extent cx="17830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314325</wp:posOffset>
            </wp:positionV>
            <wp:extent cx="713232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140"/>
          </w:cols>
          <w:pgMar w:left="420" w:top="819" w:right="339" w:bottom="1440" w:gutter="0" w:footer="0" w:header="0"/>
          <w:type w:val="continuous"/>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Introductory Note: This Amendment No. 1 to the statement on Schedule 13G is filed by the Reporting Persons in respect of shares of Common Stock, par value $0.001 per share (“Common Stock”), of NGM Biopharmaceuticals, Inc. (the “Issuer”).</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1(a).  Name of Issuer:</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NGM Biopharmaceuticals, Inc.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1(b).  Address of Issuer’s Principal Executive Officers: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NGM Biopharmaceuticals, Inc., 333 Oyster Point Boulevard, South San Francisco, CA 94080</w:t>
      </w:r>
    </w:p>
    <w:p>
      <w:pPr>
        <w:spacing w:after="0" w:line="200" w:lineRule="exact"/>
        <w:rPr>
          <w:sz w:val="20"/>
          <w:szCs w:val="20"/>
          <w:color w:val="auto"/>
        </w:rPr>
      </w:pP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2(a).  Name of Person(s) Filing</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Rho Ventures V, L.P. (“RV V”)</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Rho Ventures V Affiliates, L.L.C. (“RV V Affiliates”)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Rho Capital Partners LLC (“RCP”)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RMV V, L.L.C. (“RMV V”)</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Joshua Ruch (“Ruch”)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 Leschly (“Leschly”)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Habib Kairouz (“Kairouz”)</w:t>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Item 2(b).  Address of Principal Business Office: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RV V, RV V Affiliates, RCP, RMV V, Ruch, Leschly and Kairouz:</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Rho Ventures, 152 W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23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New York 10019</w:t>
      </w:r>
    </w:p>
    <w:p>
      <w:pPr>
        <w:spacing w:after="0" w:line="131" w:lineRule="exact"/>
        <w:rPr>
          <w:sz w:val="20"/>
          <w:szCs w:val="20"/>
          <w:color w:val="auto"/>
        </w:rPr>
      </w:pPr>
    </w:p>
    <w:p>
      <w:pPr>
        <w:ind w:left="260"/>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ectPr>
          <w:pgSz w:w="11900" w:h="16838" w:orient="portrait"/>
          <w:cols w:equalWidth="0" w:num="1">
            <w:col w:w="11240"/>
          </w:cols>
          <w:pgMar w:left="320" w:top="692" w:right="33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RV V</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RV V Affiliates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RCP</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RMV V</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Leschly</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Kairouz</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Ruch</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Kingdom of Denmark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w:t>
      </w:r>
    </w:p>
    <w:p>
      <w:pPr>
        <w:spacing w:after="0" w:line="222" w:lineRule="exact"/>
        <w:rPr>
          <w:sz w:val="20"/>
          <w:szCs w:val="20"/>
          <w:color w:val="auto"/>
        </w:rPr>
      </w:pPr>
    </w:p>
    <w:p>
      <w:pPr>
        <w:sectPr>
          <w:pgSz w:w="11900" w:h="16838" w:orient="portrait"/>
          <w:cols w:equalWidth="0" w:num="2">
            <w:col w:w="2900" w:space="720"/>
            <w:col w:w="7620"/>
          </w:cols>
          <w:pgMar w:left="320" w:top="692" w:right="339"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Item 2(d).  Title of Class of Securities:</w:t>
      </w:r>
    </w:p>
    <w:p>
      <w:pPr>
        <w:sectPr>
          <w:pgSz w:w="11900" w:h="16838" w:orient="portrait"/>
          <w:cols w:equalWidth="0" w:num="1">
            <w:col w:w="11240"/>
          </w:cols>
          <w:pgMar w:left="320" w:top="692"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ind w:left="260"/>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62921N 105</w:t>
      </w:r>
    </w:p>
    <w:p>
      <w:pPr>
        <w:spacing w:after="0" w:line="221" w:lineRule="exact"/>
        <w:rPr>
          <w:sz w:val="20"/>
          <w:szCs w:val="20"/>
          <w:color w:val="auto"/>
        </w:rPr>
      </w:pPr>
    </w:p>
    <w:p>
      <w:pPr>
        <w:ind w:left="26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9" w:name="page10"/>
    <w:bookmarkEnd w:id="9"/>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Amount Beneficially Owned:</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persons have: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with respect to the ownership of the Common Stock by the Reporting Persons filing this Amendment No. 1 to the statement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13G is provided as of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2"/>
              </w:rPr>
              <w:t>Sole</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Shared</w:t>
            </w:r>
          </w:p>
        </w:tc>
        <w:tc>
          <w:tcPr>
            <w:tcW w:w="14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880" w:type="dxa"/>
            <w:vAlign w:val="bottom"/>
          </w:tcPr>
          <w:p>
            <w:pPr>
              <w:spacing w:after="0"/>
              <w:rPr>
                <w:sz w:val="17"/>
                <w:szCs w:val="17"/>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Shares Held</w:t>
            </w: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Sole Voting</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Shared Voting</w:t>
            </w:r>
          </w:p>
        </w:tc>
        <w:tc>
          <w:tcPr>
            <w:tcW w:w="124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Dispositive</w:t>
            </w: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Dispositive</w:t>
            </w:r>
          </w:p>
        </w:tc>
        <w:tc>
          <w:tcPr>
            <w:tcW w:w="1440" w:type="dxa"/>
            <w:vAlign w:val="bottom"/>
          </w:tcPr>
          <w:p>
            <w:pPr>
              <w:jc w:val="right"/>
              <w:ind w:right="359"/>
              <w:spacing w:after="0"/>
              <w:rPr>
                <w:sz w:val="20"/>
                <w:szCs w:val="20"/>
                <w:color w:val="auto"/>
              </w:rPr>
            </w:pPr>
            <w:r>
              <w:rPr>
                <w:rFonts w:ascii="Arial" w:cs="Arial" w:eastAsia="Arial" w:hAnsi="Arial"/>
                <w:sz w:val="16"/>
                <w:szCs w:val="16"/>
                <w:b w:val="1"/>
                <w:bCs w:val="1"/>
                <w:color w:val="auto"/>
              </w:rPr>
              <w:t>Beneficial</w:t>
            </w: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Percentage of</w:t>
            </w:r>
          </w:p>
        </w:tc>
      </w:tr>
      <w:tr>
        <w:trPr>
          <w:trHeight w:val="213"/>
        </w:trPr>
        <w:tc>
          <w:tcPr>
            <w:tcW w:w="1880" w:type="dxa"/>
            <w:vAlign w:val="bottom"/>
          </w:tcPr>
          <w:p>
            <w:pPr>
              <w:ind w:left="100"/>
              <w:spacing w:after="0"/>
              <w:rPr>
                <w:sz w:val="20"/>
                <w:szCs w:val="20"/>
                <w:color w:val="auto"/>
              </w:rPr>
            </w:pPr>
            <w:r>
              <w:rPr>
                <w:rFonts w:ascii="Arial" w:cs="Arial" w:eastAsia="Arial" w:hAnsi="Arial"/>
                <w:sz w:val="16"/>
                <w:szCs w:val="16"/>
                <w:b w:val="1"/>
                <w:bCs w:val="1"/>
                <w:color w:val="auto"/>
              </w:rPr>
              <w:t>Reporting Persons</w:t>
            </w: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rPr>
              <w:t>Directly (1)</w:t>
            </w: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Power (1)</w:t>
            </w: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Power (1)</w:t>
            </w: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Power (1)</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Power (1)</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Ownership (1)</w:t>
            </w: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Class (1, 5)</w:t>
            </w:r>
          </w:p>
        </w:tc>
      </w:tr>
      <w:tr>
        <w:trPr>
          <w:trHeight w:val="205"/>
        </w:trPr>
        <w:tc>
          <w:tcPr>
            <w:tcW w:w="1880" w:type="dxa"/>
            <w:vAlign w:val="bottom"/>
            <w:shd w:val="clear" w:color="auto" w:fill="E6EFFF"/>
          </w:tcPr>
          <w:p>
            <w:pPr>
              <w:ind w:left="100"/>
              <w:spacing w:after="0"/>
              <w:rPr>
                <w:sz w:val="20"/>
                <w:szCs w:val="20"/>
                <w:color w:val="auto"/>
              </w:rPr>
            </w:pPr>
            <w:r>
              <w:rPr>
                <w:rFonts w:ascii="Arial" w:cs="Arial" w:eastAsia="Arial" w:hAnsi="Arial"/>
                <w:sz w:val="16"/>
                <w:szCs w:val="16"/>
                <w:color w:val="auto"/>
              </w:rPr>
              <w:t>RV V (2)</w:t>
            </w:r>
          </w:p>
        </w:tc>
        <w:tc>
          <w:tcPr>
            <w:tcW w:w="158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3,462,648</w:t>
            </w:r>
          </w:p>
        </w:tc>
        <w:tc>
          <w:tcPr>
            <w:tcW w:w="120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shd w:val="clear" w:color="auto" w:fill="E6EFFF"/>
          </w:tcPr>
          <w:p>
            <w:pPr>
              <w:jc w:val="right"/>
              <w:ind w:right="19"/>
              <w:spacing w:after="0"/>
              <w:rPr>
                <w:sz w:val="20"/>
                <w:szCs w:val="20"/>
                <w:color w:val="auto"/>
              </w:rPr>
            </w:pPr>
            <w:r>
              <w:rPr>
                <w:rFonts w:ascii="Arial" w:cs="Arial" w:eastAsia="Arial" w:hAnsi="Arial"/>
                <w:sz w:val="16"/>
                <w:szCs w:val="16"/>
                <w:color w:val="auto"/>
              </w:rPr>
              <w:t>5.5%</w:t>
            </w:r>
          </w:p>
        </w:tc>
      </w:tr>
      <w:tr>
        <w:trPr>
          <w:trHeight w:val="203"/>
        </w:trPr>
        <w:tc>
          <w:tcPr>
            <w:tcW w:w="1880" w:type="dxa"/>
            <w:vAlign w:val="bottom"/>
          </w:tcPr>
          <w:p>
            <w:pPr>
              <w:ind w:left="100"/>
              <w:spacing w:after="0"/>
              <w:rPr>
                <w:sz w:val="20"/>
                <w:szCs w:val="20"/>
                <w:color w:val="auto"/>
              </w:rPr>
            </w:pPr>
            <w:r>
              <w:rPr>
                <w:rFonts w:ascii="Arial" w:cs="Arial" w:eastAsia="Arial" w:hAnsi="Arial"/>
                <w:sz w:val="16"/>
                <w:szCs w:val="16"/>
                <w:color w:val="auto"/>
              </w:rPr>
              <w:t>RV Affiliates (2)</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304,018</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02"/>
        </w:trPr>
        <w:tc>
          <w:tcPr>
            <w:tcW w:w="1880" w:type="dxa"/>
            <w:vAlign w:val="bottom"/>
            <w:shd w:val="clear" w:color="auto" w:fill="E6EFFF"/>
          </w:tcPr>
          <w:p>
            <w:pPr>
              <w:ind w:left="100"/>
              <w:spacing w:after="0"/>
              <w:rPr>
                <w:sz w:val="20"/>
                <w:szCs w:val="20"/>
                <w:color w:val="auto"/>
              </w:rPr>
            </w:pPr>
            <w:r>
              <w:rPr>
                <w:rFonts w:ascii="Arial" w:cs="Arial" w:eastAsia="Arial" w:hAnsi="Arial"/>
                <w:sz w:val="16"/>
                <w:szCs w:val="16"/>
                <w:color w:val="auto"/>
              </w:rPr>
              <w:t>RMV V (2)</w:t>
            </w:r>
          </w:p>
        </w:tc>
        <w:tc>
          <w:tcPr>
            <w:tcW w:w="158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shd w:val="clear" w:color="auto" w:fill="E6EFFF"/>
          </w:tcPr>
          <w:p>
            <w:pPr>
              <w:jc w:val="right"/>
              <w:ind w:right="19"/>
              <w:spacing w:after="0"/>
              <w:rPr>
                <w:sz w:val="20"/>
                <w:szCs w:val="20"/>
                <w:color w:val="auto"/>
              </w:rPr>
            </w:pPr>
            <w:r>
              <w:rPr>
                <w:rFonts w:ascii="Arial" w:cs="Arial" w:eastAsia="Arial" w:hAnsi="Arial"/>
                <w:sz w:val="16"/>
                <w:szCs w:val="16"/>
                <w:color w:val="auto"/>
              </w:rPr>
              <w:t>5.5%</w:t>
            </w:r>
          </w:p>
        </w:tc>
      </w:tr>
      <w:tr>
        <w:trPr>
          <w:trHeight w:val="203"/>
        </w:trPr>
        <w:tc>
          <w:tcPr>
            <w:tcW w:w="1880" w:type="dxa"/>
            <w:vAlign w:val="bottom"/>
          </w:tcPr>
          <w:p>
            <w:pPr>
              <w:ind w:left="100"/>
              <w:spacing w:after="0"/>
              <w:rPr>
                <w:sz w:val="20"/>
                <w:szCs w:val="20"/>
                <w:color w:val="auto"/>
              </w:rPr>
            </w:pPr>
            <w:r>
              <w:rPr>
                <w:rFonts w:ascii="Arial" w:cs="Arial" w:eastAsia="Arial" w:hAnsi="Arial"/>
                <w:sz w:val="16"/>
                <w:szCs w:val="16"/>
                <w:color w:val="auto"/>
              </w:rPr>
              <w:t>RCP (2)</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03"/>
        </w:trPr>
        <w:tc>
          <w:tcPr>
            <w:tcW w:w="1880" w:type="dxa"/>
            <w:vAlign w:val="bottom"/>
            <w:shd w:val="clear" w:color="auto" w:fill="E6EFFF"/>
          </w:tcPr>
          <w:p>
            <w:pPr>
              <w:ind w:left="100"/>
              <w:spacing w:after="0"/>
              <w:rPr>
                <w:sz w:val="20"/>
                <w:szCs w:val="20"/>
                <w:color w:val="auto"/>
              </w:rPr>
            </w:pPr>
            <w:r>
              <w:rPr>
                <w:rFonts w:ascii="Arial" w:cs="Arial" w:eastAsia="Arial" w:hAnsi="Arial"/>
                <w:sz w:val="16"/>
                <w:szCs w:val="16"/>
                <w:color w:val="auto"/>
              </w:rPr>
              <w:t>Ruch (2)</w:t>
            </w:r>
          </w:p>
        </w:tc>
        <w:tc>
          <w:tcPr>
            <w:tcW w:w="158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shd w:val="clear" w:color="auto" w:fill="E6EFFF"/>
          </w:tcPr>
          <w:p>
            <w:pPr>
              <w:jc w:val="right"/>
              <w:ind w:right="19"/>
              <w:spacing w:after="0"/>
              <w:rPr>
                <w:sz w:val="20"/>
                <w:szCs w:val="20"/>
                <w:color w:val="auto"/>
              </w:rPr>
            </w:pPr>
            <w:r>
              <w:rPr>
                <w:rFonts w:ascii="Arial" w:cs="Arial" w:eastAsia="Arial" w:hAnsi="Arial"/>
                <w:sz w:val="16"/>
                <w:szCs w:val="16"/>
                <w:color w:val="auto"/>
              </w:rPr>
              <w:t>5.5%</w:t>
            </w:r>
          </w:p>
        </w:tc>
      </w:tr>
      <w:tr>
        <w:trPr>
          <w:trHeight w:val="203"/>
        </w:trPr>
        <w:tc>
          <w:tcPr>
            <w:tcW w:w="1880" w:type="dxa"/>
            <w:vAlign w:val="bottom"/>
          </w:tcPr>
          <w:p>
            <w:pPr>
              <w:ind w:left="100"/>
              <w:spacing w:after="0"/>
              <w:rPr>
                <w:sz w:val="20"/>
                <w:szCs w:val="20"/>
                <w:color w:val="auto"/>
              </w:rPr>
            </w:pPr>
            <w:r>
              <w:rPr>
                <w:rFonts w:ascii="Arial" w:cs="Arial" w:eastAsia="Arial" w:hAnsi="Arial"/>
                <w:sz w:val="16"/>
                <w:szCs w:val="16"/>
                <w:color w:val="auto"/>
              </w:rPr>
              <w:t>Leschly (2)(3)</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24,000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24,000</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tcPr>
          <w:p>
            <w:pPr>
              <w:jc w:val="right"/>
              <w:ind w:right="99"/>
              <w:spacing w:after="0"/>
              <w:rPr>
                <w:sz w:val="20"/>
                <w:szCs w:val="20"/>
                <w:color w:val="auto"/>
              </w:rPr>
            </w:pPr>
            <w:r>
              <w:rPr>
                <w:rFonts w:ascii="Arial" w:cs="Arial" w:eastAsia="Arial" w:hAnsi="Arial"/>
                <w:sz w:val="16"/>
                <w:szCs w:val="16"/>
                <w:color w:val="auto"/>
              </w:rPr>
              <w:t>24,000</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3,790,666</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203"/>
        </w:trPr>
        <w:tc>
          <w:tcPr>
            <w:tcW w:w="1880" w:type="dxa"/>
            <w:vAlign w:val="bottom"/>
            <w:shd w:val="clear" w:color="auto" w:fill="E6EFFF"/>
          </w:tcPr>
          <w:p>
            <w:pPr>
              <w:ind w:left="100"/>
              <w:spacing w:after="0"/>
              <w:rPr>
                <w:sz w:val="20"/>
                <w:szCs w:val="20"/>
                <w:color w:val="auto"/>
              </w:rPr>
            </w:pPr>
            <w:r>
              <w:rPr>
                <w:rFonts w:ascii="Arial" w:cs="Arial" w:eastAsia="Arial" w:hAnsi="Arial"/>
                <w:sz w:val="16"/>
                <w:szCs w:val="16"/>
                <w:color w:val="auto"/>
              </w:rPr>
              <w:t>Kairouz (2)</w:t>
            </w:r>
          </w:p>
        </w:tc>
        <w:tc>
          <w:tcPr>
            <w:tcW w:w="158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0</w:t>
            </w:r>
          </w:p>
        </w:tc>
        <w:tc>
          <w:tcPr>
            <w:tcW w:w="1200" w:type="dxa"/>
            <w:vAlign w:val="bottom"/>
            <w:shd w:val="clear" w:color="auto" w:fill="E6EFFF"/>
          </w:tcPr>
          <w:p>
            <w:pPr>
              <w:jc w:val="right"/>
              <w:ind w:right="39"/>
              <w:spacing w:after="0"/>
              <w:rPr>
                <w:sz w:val="20"/>
                <w:szCs w:val="20"/>
                <w:color w:val="auto"/>
              </w:rPr>
            </w:pPr>
            <w:r>
              <w:rPr>
                <w:rFonts w:ascii="Arial" w:cs="Arial" w:eastAsia="Arial" w:hAnsi="Arial"/>
                <w:sz w:val="16"/>
                <w:szCs w:val="16"/>
                <w:color w:val="auto"/>
              </w:rPr>
              <w:t>0</w:t>
            </w:r>
          </w:p>
        </w:tc>
        <w:tc>
          <w:tcPr>
            <w:tcW w:w="130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24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E6EFFF"/>
          </w:tcPr>
          <w:p>
            <w:pPr>
              <w:jc w:val="right"/>
              <w:ind w:right="99"/>
              <w:spacing w:after="0"/>
              <w:rPr>
                <w:sz w:val="20"/>
                <w:szCs w:val="20"/>
                <w:color w:val="auto"/>
              </w:rPr>
            </w:pPr>
            <w:r>
              <w:rPr>
                <w:rFonts w:ascii="Arial" w:cs="Arial" w:eastAsia="Arial" w:hAnsi="Arial"/>
                <w:sz w:val="16"/>
                <w:szCs w:val="16"/>
                <w:color w:val="auto"/>
              </w:rPr>
              <w:t>3,766,666</w:t>
            </w:r>
          </w:p>
        </w:tc>
        <w:tc>
          <w:tcPr>
            <w:tcW w:w="1440" w:type="dxa"/>
            <w:vAlign w:val="bottom"/>
            <w:shd w:val="clear" w:color="auto" w:fill="E6EFFF"/>
          </w:tcPr>
          <w:p>
            <w:pPr>
              <w:jc w:val="right"/>
              <w:ind w:right="79"/>
              <w:spacing w:after="0"/>
              <w:rPr>
                <w:sz w:val="20"/>
                <w:szCs w:val="20"/>
                <w:color w:val="auto"/>
              </w:rPr>
            </w:pPr>
            <w:r>
              <w:rPr>
                <w:rFonts w:ascii="Arial" w:cs="Arial" w:eastAsia="Arial" w:hAnsi="Arial"/>
                <w:sz w:val="16"/>
                <w:szCs w:val="16"/>
                <w:color w:val="auto"/>
              </w:rPr>
              <w:t>3,766,666</w:t>
            </w:r>
          </w:p>
        </w:tc>
        <w:tc>
          <w:tcPr>
            <w:tcW w:w="1280" w:type="dxa"/>
            <w:vAlign w:val="bottom"/>
            <w:shd w:val="clear" w:color="auto" w:fill="E6EFFF"/>
          </w:tcPr>
          <w:p>
            <w:pPr>
              <w:jc w:val="right"/>
              <w:ind w:right="19"/>
              <w:spacing w:after="0"/>
              <w:rPr>
                <w:sz w:val="20"/>
                <w:szCs w:val="20"/>
                <w:color w:val="auto"/>
              </w:rPr>
            </w:pPr>
            <w:r>
              <w:rPr>
                <w:rFonts w:ascii="Arial" w:cs="Arial" w:eastAsia="Arial" w:hAnsi="Arial"/>
                <w:sz w:val="16"/>
                <w:szCs w:val="16"/>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17830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number of shares of Common Stock currently underlying all securities held by the Reporting Persons.</w:t>
      </w:r>
    </w:p>
    <w:p>
      <w:pPr>
        <w:spacing w:after="0" w:line="126" w:lineRule="exact"/>
        <w:rPr>
          <w:rFonts w:ascii="Arial" w:cs="Arial" w:eastAsia="Arial" w:hAnsi="Arial"/>
          <w:sz w:val="16"/>
          <w:szCs w:val="16"/>
          <w:color w:val="auto"/>
        </w:rPr>
      </w:pPr>
    </w:p>
    <w:p>
      <w:pPr>
        <w:jc w:val="both"/>
        <w:ind w:left="260" w:right="20" w:hanging="252"/>
        <w:spacing w:after="0" w:line="293" w:lineRule="auto"/>
        <w:tabs>
          <w:tab w:leader="none" w:pos="2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(i) 3,462,648 shares held by RV V and (ii) 304,018 shares held by RV V Affiliates. RMV V is the general partner of RV V and the managing member of RV V Affiliates and RCP is the managing member of RMV V. As such, RMV V and RCP possess power to direct the voting and disposition of the shares owned by RV V and RV V Affiliates and may be deemed to have indirect beneficial ownership of the shares held by RV V and RV V Affiliates. RMV V and RCP hold no shares of the Issuer directly. Ruch, Kairouz and Leschly are managing members of RCP and as such possess power to direct the voting and disposition of the shares owned by RV V and RV V Affiliates and may be deemed to have indirect beneficial ownership of the shares held by RV V and RV V Affiliates.</w:t>
      </w:r>
    </w:p>
    <w:p>
      <w:pPr>
        <w:spacing w:after="0" w:line="67" w:lineRule="exact"/>
        <w:rPr>
          <w:rFonts w:ascii="Arial" w:cs="Arial" w:eastAsia="Arial" w:hAnsi="Arial"/>
          <w:sz w:val="15"/>
          <w:szCs w:val="15"/>
          <w:color w:val="auto"/>
        </w:rPr>
      </w:pPr>
    </w:p>
    <w:p>
      <w:pPr>
        <w:ind w:left="260" w:hanging="252"/>
        <w:spacing w:after="0" w:line="293" w:lineRule="auto"/>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options held directly by Mark Leschly to purchase 24,000 shares of Common Stock which are presently exercisable or exercisable within sixty days of February 12, 2021.</w:t>
      </w:r>
    </w:p>
    <w:p>
      <w:pPr>
        <w:spacing w:after="0" w:line="10" w:lineRule="exact"/>
        <w:rPr>
          <w:sz w:val="20"/>
          <w:szCs w:val="20"/>
          <w:color w:val="auto"/>
        </w:rPr>
      </w:pPr>
    </w:p>
    <w:p>
      <w:pPr>
        <w:ind w:left="260" w:right="20" w:hanging="252"/>
        <w:spacing w:after="0" w:line="328" w:lineRule="auto"/>
        <w:tabs>
          <w:tab w:leader="none" w:pos="2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percentages set forth above are calculated based on 69,019,269 shares of Common Stock reported to be outstanding as of November 9, 2020 as set forth in the Issuer’s Form 10-Q for the period ended September 30, 2020 as filed with the Securities and Exchange Commission (“SEC”) on November 12, 2020.</w:t>
      </w:r>
    </w:p>
    <w:p>
      <w:pPr>
        <w:spacing w:after="0" w:line="1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00" w:lineRule="exact"/>
        <w:rPr>
          <w:sz w:val="20"/>
          <w:szCs w:val="20"/>
          <w:color w:val="auto"/>
        </w:rPr>
      </w:pPr>
    </w:p>
    <w:p>
      <w:pPr>
        <w:spacing w:after="0" w:line="2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100"/>
        <w:spacing w:after="0"/>
        <w:tabs>
          <w:tab w:leader="none" w:pos="5500" w:val="left"/>
          <w:tab w:leader="none" w:pos="10420" w:val="left"/>
        </w:tabs>
        <w:rPr>
          <w:sz w:val="20"/>
          <w:szCs w:val="20"/>
          <w:color w:val="auto"/>
        </w:rPr>
      </w:pPr>
      <w:r>
        <w:rPr>
          <w:rFonts w:ascii="Arial" w:cs="Arial" w:eastAsia="Arial" w:hAnsi="Arial"/>
          <w:sz w:val="18"/>
          <w:szCs w:val="18"/>
          <w:b w:val="1"/>
          <w:bCs w:val="1"/>
          <w:color w:val="auto"/>
        </w:rPr>
        <w:t>CUSIP No. 62921N 105</w:t>
      </w:r>
      <w:r>
        <w:rPr>
          <w:sz w:val="20"/>
          <w:szCs w:val="20"/>
          <w:color w:val="auto"/>
        </w:rPr>
        <w:tab/>
      </w:r>
      <w:r>
        <w:rPr>
          <w:rFonts w:ascii="Arial" w:cs="Arial" w:eastAsia="Arial" w:hAnsi="Arial"/>
          <w:sz w:val="50"/>
          <w:szCs w:val="50"/>
          <w:b w:val="1"/>
          <w:bCs w:val="1"/>
          <w:color w:val="auto"/>
          <w:vertAlign w:val="subscript"/>
        </w:rPr>
        <w:t>13G</w:t>
      </w:r>
      <w:r>
        <w:rPr>
          <w:sz w:val="20"/>
          <w:szCs w:val="20"/>
          <w:color w:val="auto"/>
        </w:rPr>
        <w:tab/>
      </w:r>
      <w:r>
        <w:rPr>
          <w:rFonts w:ascii="Arial" w:cs="Arial" w:eastAsia="Arial" w:hAnsi="Arial"/>
          <w:sz w:val="16"/>
          <w:szCs w:val="16"/>
          <w:b w:val="1"/>
          <w:bCs w:val="1"/>
          <w:color w:val="auto"/>
        </w:rPr>
        <w:t>Exhibit 1</w:t>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SIGNATURES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12, 2021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AFFILIATES,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RMV V,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JOSHUA RUCH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HABIB KAIROUZ</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MARK LESCHLY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r>
        <w:rPr>
          <w:rFonts w:ascii="Arial" w:cs="Arial" w:eastAsia="Arial" w:hAnsi="Arial"/>
          <w:sz w:val="20"/>
          <w:szCs w:val="20"/>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Exhibit 1: Joint Filing Statement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Exhibit 2: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140"/>
          </w:cols>
          <w:pgMar w:left="320" w:top="347" w:right="439" w:bottom="1440" w:gutter="0" w:footer="0" w:header="0"/>
        </w:sectPr>
      </w:pPr>
    </w:p>
    <w:bookmarkStart w:id="11" w:name="page12"/>
    <w:bookmarkEnd w:id="11"/>
    <w:p>
      <w:pPr>
        <w:spacing w:after="0" w:line="2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1</w:t>
      </w:r>
    </w:p>
    <w:p>
      <w:pPr>
        <w:spacing w:after="0" w:line="415" w:lineRule="exact"/>
        <w:rPr>
          <w:sz w:val="20"/>
          <w:szCs w:val="20"/>
          <w:color w:val="auto"/>
        </w:rPr>
      </w:pPr>
    </w:p>
    <w:p>
      <w:pPr>
        <w:sectPr>
          <w:pgSz w:w="11900" w:h="16838" w:orient="portrait"/>
          <w:cols w:equalWidth="0" w:num="3">
            <w:col w:w="4800" w:space="720"/>
            <w:col w:w="4200" w:space="720"/>
            <w:col w:w="800"/>
          </w:cols>
          <w:pgMar w:left="320" w:top="684"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Rule 13d-1(k)(1) under the Securities Exchange Act of 1934, as amended, the undersigned hereby agree that only one statement containing the information required by Schedule 13G need be filed with respect to the ownership by each of the undersigned of the shares of Common Stock of NGM Biopharmaceuticals,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GENERAL PARTNER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RHO VENTURES V AFFILIATES, L.L.C.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BY: RMV V, L.L.C.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ITS: MANAGING MEMBER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RHO CAPITAL PARTNERS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RMV V,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JOSHUA RUCH</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HABIB KAIROUZ</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MARK LESCHLY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Peter Kalkanis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Peter Kalkanis, Authorized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 w:name="page13"/>
    <w:bookmarkEnd w:id="12"/>
    <w:p>
      <w:pPr>
        <w:spacing w:after="0" w:line="2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2</w:t>
      </w:r>
    </w:p>
    <w:p>
      <w:pPr>
        <w:spacing w:after="0" w:line="415" w:lineRule="exact"/>
        <w:rPr>
          <w:sz w:val="20"/>
          <w:szCs w:val="20"/>
          <w:color w:val="auto"/>
        </w:rPr>
      </w:pPr>
    </w:p>
    <w:p>
      <w:pPr>
        <w:sectPr>
          <w:pgSz w:w="11900" w:h="16838" w:orient="portrait"/>
          <w:cols w:equalWidth="0" w:num="3">
            <w:col w:w="4800" w:space="720"/>
            <w:col w:w="4200" w:space="720"/>
            <w:col w:w="800"/>
          </w:cols>
          <w:pgMar w:left="320" w:top="684" w:right="3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POWER OF ATTORNEY</w:t>
      </w:r>
    </w:p>
    <w:p>
      <w:pPr>
        <w:spacing w:after="0" w:line="229"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The undersigned hereby constitutes and appoints Peter Kalkanis, with full power of substitution, as the undersigned's true and lawful attorney-in-fact to:</w:t>
      </w:r>
    </w:p>
    <w:p>
      <w:pPr>
        <w:spacing w:after="0" w:line="177" w:lineRule="exact"/>
        <w:rPr>
          <w:sz w:val="20"/>
          <w:szCs w:val="20"/>
          <w:color w:val="auto"/>
        </w:rPr>
      </w:pPr>
    </w:p>
    <w:p>
      <w:pPr>
        <w:ind w:right="40" w:firstLine="8"/>
        <w:spacing w:after="0" w:line="246" w:lineRule="auto"/>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91" w:lineRule="exact"/>
        <w:rPr>
          <w:rFonts w:ascii="Arial" w:cs="Arial" w:eastAsia="Arial" w:hAnsi="Arial"/>
          <w:sz w:val="20"/>
          <w:szCs w:val="20"/>
          <w:color w:val="auto"/>
        </w:rPr>
      </w:pPr>
    </w:p>
    <w:p>
      <w:pPr>
        <w:ind w:right="40" w:firstLine="8"/>
        <w:spacing w:after="0" w:line="291"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NGM Biopharmaceuticals, Inc. (the "Company") and/or 5% or 10% holder of the Company's capital stock, Forms 3, 4, and 5 as well as any Section 13D or 13G filings and any amendments thereto in accordance with Sections 13 and 16(a) of the Securities Exchange Act of 1934 and the rules thereunder;</w:t>
      </w:r>
    </w:p>
    <w:p>
      <w:pPr>
        <w:spacing w:after="0" w:line="151" w:lineRule="exact"/>
        <w:rPr>
          <w:rFonts w:ascii="Arial" w:cs="Arial" w:eastAsia="Arial" w:hAnsi="Arial"/>
          <w:sz w:val="18"/>
          <w:szCs w:val="18"/>
          <w:color w:val="auto"/>
        </w:rPr>
      </w:pPr>
    </w:p>
    <w:p>
      <w:pPr>
        <w:ind w:right="60" w:firstLine="8"/>
        <w:spacing w:after="0" w:line="250" w:lineRule="auto"/>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13D or 13G, complete and execute any amendment or amendments thereto, and timely file such form with the SEC and any stock exchange or similar authority; and</w:t>
      </w:r>
    </w:p>
    <w:p>
      <w:pPr>
        <w:spacing w:after="0" w:line="185" w:lineRule="exact"/>
        <w:rPr>
          <w:rFonts w:ascii="Arial" w:cs="Arial" w:eastAsia="Arial" w:hAnsi="Arial"/>
          <w:sz w:val="20"/>
          <w:szCs w:val="20"/>
          <w:color w:val="auto"/>
        </w:rPr>
      </w:pPr>
    </w:p>
    <w:p>
      <w:pPr>
        <w:ind w:firstLine="8"/>
        <w:spacing w:after="0" w:line="246" w:lineRule="auto"/>
        <w:tabs>
          <w:tab w:leader="none" w:pos="2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1"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or 16 of the Securities Exchange Act of 1934.</w:t>
      </w:r>
    </w:p>
    <w:p>
      <w:pPr>
        <w:spacing w:after="0" w:line="185"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13D or 13G with respect to the undersigned's holdings of and transactions in securities issued by the Company,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3" w:name="page14"/>
    <w:bookmarkEnd w:id="13"/>
    <w:p>
      <w:pPr>
        <w:spacing w:after="0" w:line="2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CUSIP No. 62921N 105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Exhibit 2</w:t>
      </w:r>
    </w:p>
    <w:p>
      <w:pPr>
        <w:spacing w:after="0" w:line="415" w:lineRule="exact"/>
        <w:rPr>
          <w:sz w:val="20"/>
          <w:szCs w:val="20"/>
          <w:color w:val="auto"/>
        </w:rPr>
      </w:pPr>
    </w:p>
    <w:p>
      <w:pPr>
        <w:sectPr>
          <w:pgSz w:w="11900" w:h="16838" w:orient="portrait"/>
          <w:cols w:equalWidth="0" w:num="3">
            <w:col w:w="4800" w:space="720"/>
            <w:col w:w="4200" w:space="720"/>
            <w:col w:w="700"/>
          </w:cols>
          <w:pgMar w:left="320" w:top="684" w:right="4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caused this Power of Attorney to be executed as of this 12th day of February, 2021.</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RHO VENTURES V,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RMV V, L.L.C., its General Partner</w:t>
      </w: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RMV V,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RHO CAPITAL PARTNERS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RHO VENTURES V AFFILIATES,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RMV V, L.L.C., its Managing Member</w:t>
      </w:r>
    </w:p>
    <w:p>
      <w:pPr>
        <w:spacing w:after="0"/>
        <w:rPr>
          <w:sz w:val="20"/>
          <w:szCs w:val="20"/>
          <w:color w:val="auto"/>
        </w:rPr>
      </w:pPr>
      <w:r>
        <w:rPr>
          <w:rFonts w:ascii="Arial" w:cs="Arial" w:eastAsia="Arial" w:hAnsi="Arial"/>
          <w:sz w:val="20"/>
          <w:szCs w:val="20"/>
          <w:color w:val="auto"/>
        </w:rPr>
        <w:t>By: Rho Capital Partners LLC, 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/s/Habib Kairouz</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Habib Kairouz</w:t>
      </w:r>
    </w:p>
    <w:p>
      <w:pPr>
        <w:ind w:left="34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/s/Habib Kairouz</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Habib Kairouz</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Joshua Ruch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Joshua Ruch</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Mark Leschly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Mark Leschly</w:t>
      </w:r>
    </w:p>
    <w:sectPr>
      <w:pgSz w:w="11900" w:h="16838" w:orient="portrait"/>
      <w:cols w:equalWidth="0" w:num="1">
        <w:col w:w="11140"/>
      </w:cols>
      <w:pgMar w:left="320" w:top="68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lvl w:ilvl="1">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abstractNum>
  <w:abstractNum w:abstractNumId="2">
    <w:nsid w:val="519B500D"/>
    <w:multiLevelType w:val="hybridMultilevel"/>
    <w:lvl w:ilvl="0">
      <w:lvlJc w:val="left"/>
      <w:lvlText w:val="%1."/>
      <w:numFmt w:val="decimal"/>
      <w:start w:val="5"/>
    </w:lvl>
  </w:abstractNum>
  <w:abstractNum w:abstractNumId="3">
    <w:nsid w:val="431BD7B7"/>
    <w:multiLevelType w:val="hybridMultilevel"/>
    <w:lvl w:ilvl="0">
      <w:lvlJc w:val="left"/>
      <w:lvlText w:val="%1."/>
      <w:numFmt w:val="decimal"/>
      <w:start w:val="9"/>
    </w:lvl>
  </w:abstractNum>
  <w:abstractNum w:abstractNumId="4">
    <w:nsid w:val="3F2DBA31"/>
    <w:multiLevelType w:val="hybridMultilevel"/>
    <w:lvl w:ilvl="0">
      <w:lvlJc w:val="left"/>
      <w:lvlText w:val="%1."/>
      <w:numFmt w:val="decimal"/>
      <w:start w:val="11"/>
    </w:lvl>
    <w:lvl w:ilvl="1">
      <w:lvlJc w:val="left"/>
      <w:lvlText w:val="(%2)"/>
      <w:numFmt w:val="decimal"/>
      <w:start w:val="1"/>
    </w:lvl>
  </w:abstractNum>
  <w:abstractNum w:abstractNumId="5">
    <w:nsid w:val="7C83E458"/>
    <w:multiLevelType w:val="hybridMultilevel"/>
    <w:lvl w:ilvl="0">
      <w:lvlJc w:val="left"/>
      <w:lvlText w:val="%1."/>
      <w:numFmt w:val="decimal"/>
      <w:start w:val="1"/>
    </w:lvl>
    <w:lvl w:ilvl="1">
      <w:lvlJc w:val="left"/>
      <w:lvlText w:val="(%2)"/>
      <w:numFmt w:val="lowerLetter"/>
      <w:start w:val="1"/>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9"/>
    </w:lvl>
  </w:abstractNum>
  <w:abstractNum w:abstractNumId="8">
    <w:nsid w:val="436C6125"/>
    <w:multiLevelType w:val="hybridMultilevel"/>
    <w:lvl w:ilvl="0">
      <w:lvlJc w:val="left"/>
      <w:lvlText w:val="%1."/>
      <w:numFmt w:val="decimal"/>
      <w:start w:val="11"/>
    </w:lvl>
    <w:lvl w:ilvl="1">
      <w:lvlJc w:val="left"/>
      <w:lvlText w:val="(%2)"/>
      <w:numFmt w:val="decimal"/>
      <w:start w:val="1"/>
    </w:lvl>
  </w:abstractNum>
  <w:abstractNum w:abstractNumId="9">
    <w:nsid w:val="628C895D"/>
    <w:multiLevelType w:val="hybridMultilevel"/>
    <w:lvl w:ilvl="0">
      <w:lvlJc w:val="left"/>
      <w:lvlText w:val="%1."/>
      <w:numFmt w:val="decimal"/>
      <w:start w:val="1"/>
    </w:lvl>
    <w:lvl w:ilvl="1">
      <w:lvlJc w:val="left"/>
      <w:lvlText w:val="(%2)"/>
      <w:numFmt w:val="lowerLetter"/>
      <w:start w:val="1"/>
    </w:lvl>
  </w:abstractNum>
  <w:abstractNum w:abstractNumId="10">
    <w:nsid w:val="333AB105"/>
    <w:multiLevelType w:val="hybridMultilevel"/>
    <w:lvl w:ilvl="0">
      <w:lvlJc w:val="left"/>
      <w:lvlText w:val="%1."/>
      <w:numFmt w:val="decimal"/>
      <w:start w:val="5"/>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decimal"/>
      <w:start w:val="11"/>
    </w:lvl>
    <w:lvl w:ilvl="1">
      <w:lvlJc w:val="left"/>
      <w:lvlText w:val="(%2)"/>
      <w:numFmt w:val="decimal"/>
      <w:start w:val="1"/>
    </w:lvl>
  </w:abstractNum>
  <w:abstractNum w:abstractNumId="13">
    <w:nsid w:val="2D1D5AE9"/>
    <w:multiLevelType w:val="hybridMultilevel"/>
    <w:lvl w:ilvl="0">
      <w:lvlJc w:val="left"/>
      <w:lvlText w:val="%1."/>
      <w:numFmt w:val="decimal"/>
      <w:start w:val="1"/>
    </w:lvl>
    <w:lvl w:ilvl="1">
      <w:lvlJc w:val="left"/>
      <w:lvlText w:val="(%2)"/>
      <w:numFmt w:val="lowerLetter"/>
      <w:start w:val="1"/>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1"/>
    </w:lvl>
    <w:lvl w:ilvl="1">
      <w:lvlJc w:val="left"/>
      <w:lvlText w:val="(%2)"/>
      <w:numFmt w:val="decimal"/>
      <w:start w:val="1"/>
    </w:lvl>
  </w:abstractNum>
  <w:abstractNum w:abstractNumId="17">
    <w:nsid w:val="79838CB2"/>
    <w:multiLevelType w:val="hybridMultilevel"/>
    <w:lvl w:ilvl="0">
      <w:lvlJc w:val="left"/>
      <w:lvlText w:val="%1."/>
      <w:numFmt w:val="decimal"/>
      <w:start w:val="1"/>
    </w:lvl>
    <w:lvl w:ilvl="1">
      <w:lvlJc w:val="left"/>
      <w:lvlText w:val="(%2)"/>
      <w:numFmt w:val="lowerLetter"/>
      <w:start w:val="1"/>
    </w:lvl>
  </w:abstractNum>
  <w:abstractNum w:abstractNumId="18">
    <w:nsid w:val="4353D0CD"/>
    <w:multiLevelType w:val="hybridMultilevel"/>
    <w:lvl w:ilvl="0">
      <w:lvlJc w:val="left"/>
      <w:lvlText w:val="%1."/>
      <w:numFmt w:val="decimal"/>
      <w:start w:val="5"/>
    </w:lvl>
  </w:abstractNum>
  <w:abstractNum w:abstractNumId="19">
    <w:nsid w:val="B03E0C6"/>
    <w:multiLevelType w:val="hybridMultilevel"/>
    <w:lvl w:ilvl="0">
      <w:lvlJc w:val="left"/>
      <w:lvlText w:val="%1."/>
      <w:numFmt w:val="decimal"/>
      <w:start w:val="9"/>
    </w:lvl>
  </w:abstractNum>
  <w:abstractNum w:abstractNumId="20">
    <w:nsid w:val="189A769B"/>
    <w:multiLevelType w:val="hybridMultilevel"/>
    <w:lvl w:ilvl="0">
      <w:lvlJc w:val="left"/>
      <w:lvlText w:val="%1."/>
      <w:numFmt w:val="decimal"/>
      <w:start w:val="11"/>
    </w:lvl>
    <w:lvl w:ilvl="1">
      <w:lvlJc w:val="left"/>
      <w:lvlText w:val="(%2)"/>
      <w:numFmt w:val="decimal"/>
      <w:start w:val="1"/>
    </w:lvl>
  </w:abstractNum>
  <w:abstractNum w:abstractNumId="21">
    <w:nsid w:val="54E49EB4"/>
    <w:multiLevelType w:val="hybridMultilevel"/>
    <w:lvl w:ilvl="0">
      <w:lvlJc w:val="left"/>
      <w:lvlText w:val="%1."/>
      <w:numFmt w:val="decimal"/>
      <w:start w:val="1"/>
    </w:lvl>
    <w:lvl w:ilvl="1">
      <w:lvlJc w:val="left"/>
      <w:lvlText w:val="(%2)"/>
      <w:numFmt w:val="lowerLetter"/>
      <w:start w:val="1"/>
    </w:lvl>
  </w:abstractNum>
  <w:abstractNum w:abstractNumId="22">
    <w:nsid w:val="71F32454"/>
    <w:multiLevelType w:val="hybridMultilevel"/>
    <w:lvl w:ilvl="0">
      <w:lvlJc w:val="left"/>
      <w:lvlText w:val="%1."/>
      <w:numFmt w:val="decimal"/>
      <w:start w:val="5"/>
    </w:lvl>
  </w:abstractNum>
  <w:abstractNum w:abstractNumId="23">
    <w:nsid w:val="2CA88611"/>
    <w:multiLevelType w:val="hybridMultilevel"/>
    <w:lvl w:ilvl="0">
      <w:lvlJc w:val="left"/>
      <w:lvlText w:val="%1."/>
      <w:numFmt w:val="decimal"/>
      <w:start w:val="9"/>
    </w:lvl>
  </w:abstractNum>
  <w:abstractNum w:abstractNumId="24">
    <w:nsid w:val="836C40E"/>
    <w:multiLevelType w:val="hybridMultilevel"/>
    <w:lvl w:ilvl="0">
      <w:lvlJc w:val="left"/>
      <w:lvlText w:val="%1."/>
      <w:numFmt w:val="decimal"/>
      <w:start w:val="11"/>
    </w:lvl>
    <w:lvl w:ilvl="1">
      <w:lvlJc w:val="left"/>
      <w:lvlText w:val="(%2)"/>
      <w:numFmt w:val="decimal"/>
      <w:start w:val="1"/>
    </w:lvl>
  </w:abstractNum>
  <w:abstractNum w:abstractNumId="25">
    <w:nsid w:val="2901D82"/>
    <w:multiLevelType w:val="hybridMultilevel"/>
    <w:lvl w:ilvl="0">
      <w:lvlJc w:val="left"/>
      <w:lvlText w:val="%1."/>
      <w:numFmt w:val="decimal"/>
      <w:start w:val="1"/>
    </w:lvl>
    <w:lvl w:ilvl="1">
      <w:lvlJc w:val="left"/>
      <w:lvlText w:val="(%2)"/>
      <w:numFmt w:val="lowerLetter"/>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decimal"/>
      <w:start w:val="9"/>
    </w:lvl>
  </w:abstractNum>
  <w:abstractNum w:abstractNumId="28">
    <w:nsid w:val="1E7FF521"/>
    <w:multiLevelType w:val="hybridMultilevel"/>
    <w:lvl w:ilvl="0">
      <w:lvlJc w:val="left"/>
      <w:lvlText w:val="%1."/>
      <w:numFmt w:val="decimal"/>
      <w:start w:val="11"/>
    </w:lvl>
    <w:lvl w:ilvl="1">
      <w:lvlJc w:val="left"/>
      <w:lvlText w:val="(%2)"/>
      <w:numFmt w:val="decimal"/>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3"/>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2021-02-12T16:30:05Z</dcterms:created>
  <dcterms:modified xsi:type="dcterms:W3CDTF">2021-02-12T16:30:05Z</dcterms:modified>
</cp:coreProperties>
</file>