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264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40" w:type="dxa"/>
            <w:vAlign w:val="bottom"/>
          </w:tcPr>
          <w:p>
            <w:pPr>
              <w:ind w:left="194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of Incorporation)</w:t>
            </w:r>
          </w:p>
        </w:tc>
        <w:tc>
          <w:tcPr>
            <w:tcW w:w="484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333 Oyster Point Boulevard</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South San Francisco, California</w:t>
            </w:r>
          </w:p>
        </w:tc>
        <w:tc>
          <w:tcPr>
            <w:tcW w:w="484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13"/>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161925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January 4, 2021,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filed a preliminary prospectus supplement (the “</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Supplement</w:t>
      </w:r>
      <w:r>
        <w:rPr>
          <w:rFonts w:ascii="Arial" w:cs="Arial" w:eastAsia="Arial" w:hAnsi="Arial"/>
          <w:sz w:val="18"/>
          <w:szCs w:val="18"/>
          <w:color w:val="auto"/>
        </w:rPr>
        <w:t>”) to its effective shelf registration statement on Form S-3 (File No. 333-238991)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pursuant to Rule 424(b)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relating to an underwritten public offering of its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The Company included the following disclosure under the heading “Prospectus Supplement Summary—Financial Update” in the Preliminary Prospectus Supplement:</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consolidated financial statements for the year ended December 31, 2020 will not be available until after this offering is completed and consequently will not be available to you prior to investing in this offering. Based upon preliminary estimates and information available to us as of the date of this prospectus supplement, we expect to report that we had approximately $295 million of cash, cash equivalents and short-term marketable securities as of December 31, 2020. We have not yet completed our financial close process for the quarter and year ended December 31, 2020. This estimate of our cash, cash equivalents and short-term marketable securities as of December 31, 2020 is preliminary, has not been audited and is subject to change upon completion of our financial statement closing procedures and the audit of our consolidated financial statements. Additional information and disclosures would be required for a more complete understanding of our financial position and results of operations as of December 31, 2020.”</w:t>
      </w:r>
    </w:p>
    <w:p>
      <w:pPr>
        <w:spacing w:after="0" w:line="16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information set forth in Item 2.02 of this Current Report on Form 8-K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incorporated by reference in any filing under the Securities Act or the Exchange Act, except as shall be expressly set forth by specific reference in such a filing.</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January 5, 2021, the Company entered into an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with Goldman Sachs &amp; Co. LLC, Citigroup Global Markets Inc. and Cowen and Company, LLC, as representatives of the several underwriters named therein (collectively,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relating to the public offering, issuance and sale of 4,629,630 shares of its common stock, par value $0.001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The price to the public in the offering is $27.00 per share of Common Stock. Under the terms of the Underwriting Agreement, the Company also granted the Underwriters an option exercisable for 30 days to purchase up to an additional 694,444 shares of Common Stock at the public offering price, less underwriting discounts and commissions. The gross proceeds to the Company from the offering are expected to be approximately $125.0 million, before deducting underwriting discounts and commissions and other estimated offering expenses payable by the Company, or approximately $143.7 million if the Underwriters exercise in full their option to purchase additional shares. The offering is expected to close on January 8, 2021, subject to customary closing conditions.</w:t>
      </w:r>
    </w:p>
    <w:p>
      <w:pPr>
        <w:spacing w:after="0" w:line="16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offering is being made pursuant to the Registration Statement and an accompanying prospectus previously filed with the SEC and a preliminary and final prospectus supplement thereunder. The Underwriting Agreement is filed as Exhibit 1.1 hereto, and the description of the material terms of the Underwriting Agreement is qualified in its entirety by reference to such exhibit. A copy of the opinion of Cooley LLP relating to the legality of the issuance and sale of the shares in the offering is attached as Exhibit 5.1 hereto.</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Updated Company Disclosure</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is filing information for the purpose of updating the risk factor disclosure contained in its prior public filings, including those discussed under the heading “Item 1A. Risk Factors” in its Quarterly Report on Form 10-Q for the quarter ended September 30, 2020, filed with the SEC on November 12, 2020. The Company is also supplementing and updating certain aspects of the description of its business from that described under the heading “Item 1. Business” in its Annual Report on Form 10-K for the year ended December 31, 2019, filed with the SEC on March 17, 2020. The updated Company disclosures are filed herewith as Exhibit 99.1 and are incorporated herein by reference.</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7" w:lineRule="exact"/>
        <w:rPr>
          <w:sz w:val="20"/>
          <w:szCs w:val="20"/>
          <w:color w:val="auto"/>
        </w:rPr>
      </w:pPr>
    </w:p>
    <w:p>
      <w:pPr>
        <w:ind w:left="880" w:right="700" w:hanging="78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as of January 5, 2021, by and among NGM Biopharmaceuticals, Inc., Goldman Sachs &amp; Co. LLC,</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Citigroup Global Markets Inc. and Cowen and Company, LLC.</w:t>
        </w:r>
      </w:hyperlink>
    </w:p>
    <w:p>
      <w:pPr>
        <w:spacing w:after="0" w:line="62"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0">
        <w:r>
          <w:rPr>
            <w:rFonts w:ascii="Arial" w:cs="Arial" w:eastAsia="Arial" w:hAnsi="Arial"/>
            <w:sz w:val="16"/>
            <w:szCs w:val="16"/>
            <w:u w:val="single" w:color="auto"/>
            <w:color w:val="0000EE"/>
          </w:rPr>
          <w:t>Opinion of Cooley LLP.</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0">
        <w:r>
          <w:rPr>
            <w:rFonts w:ascii="Arial" w:cs="Arial" w:eastAsia="Arial" w:hAnsi="Arial"/>
            <w:sz w:val="16"/>
            <w:szCs w:val="16"/>
            <w:u w:val="single" w:color="auto"/>
            <w:color w:val="0000EE"/>
          </w:rPr>
          <w:t>Consent of Cooley LLP (contained in Exhibit 5.1).</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2">
        <w:r>
          <w:rPr>
            <w:rFonts w:ascii="Arial" w:cs="Arial" w:eastAsia="Arial" w:hAnsi="Arial"/>
            <w:sz w:val="16"/>
            <w:szCs w:val="16"/>
            <w:u w:val="single" w:color="auto"/>
            <w:color w:val="0000EE"/>
          </w:rPr>
          <w:t>Updated Company Disclosure.</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Current Report on Form 8-K contains forward-looking statements, including, without limitation, statements relating to the Company’s cash, cash equivalents and short-term marketable securities as of December 31, 2020, and the size, timing and completion of the public offering. These forward-looking statements are based upon the Company’s current expectations. Actual results could differ materially from these forward-looking statements as a result of certain factors, including, without limitation, risks related to changes in the Company’s reported cash, cash equivalents and short-term marketable securities as of December 31, 2020 due to the completion of financial closing procedures and the audit of the Company’s financial statements, and risks related to market conditions and the satisfaction of customary closing conditions related to the public offering. There can be no assurance that the Company will be able to complete the public offering on the anticipated terms, or at all. For a discussion of other risks and uncertainties, and other important factors, any of which could cause the Company’s actual results to differ from those contained in the forward-looking statements, see the section titled “Risk Factors” in Exhibit 99.1 hereto. Except as required by law, the Company assumes no obligation to update these forward-looking statements, or to update the reasons if actual results differ materially from those anticipated in the forward-looking statements.</w:t>
      </w:r>
    </w:p>
    <w:p>
      <w:pPr>
        <w:sectPr>
          <w:pgSz w:w="11900" w:h="16838" w:orient="portrait"/>
          <w:cols w:equalWidth="0" w:num="1">
            <w:col w:w="11000"/>
          </w:cols>
          <w:pgMar w:left="440"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70"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January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Siobhan Nolan Mangini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0"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(the “Representatives”) of the several Underwriters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NGM Biopharmaceuticals, Inc., a Delaware corporation (the “Company”), proposes, subject to the terms and conditions stated in this agreement (this “Agreement”), to issue and sell to the Underwriters named in Schedule I hereto (the “Underwriters”) an aggregate of 4,629,630 shares (the “Firm Shares”) and, at the election of the Underwriters, up to 694,444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188"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108" w:val="left"/>
        </w:tabs>
        <w:numPr>
          <w:ilvl w:val="1"/>
          <w:numId w:val="2"/>
        </w:numPr>
        <w:rPr>
          <w:rFonts w:ascii="Arial" w:cs="Arial" w:eastAsia="Arial" w:hAnsi="Arial"/>
          <w:sz w:val="18"/>
          <w:szCs w:val="18"/>
          <w:color w:val="auto"/>
        </w:rPr>
      </w:pPr>
      <w:r>
        <w:rPr>
          <w:rFonts w:ascii="Arial" w:cs="Arial" w:eastAsia="Arial" w:hAnsi="Arial"/>
          <w:sz w:val="18"/>
          <w:szCs w:val="18"/>
          <w:color w:val="auto"/>
        </w:rPr>
        <w:t>A registration statement on Form S-3 (File No 333-238991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w:t>
      </w:r>
    </w:p>
    <w:p>
      <w:pPr>
        <w:sectPr>
          <w:pgSz w:w="11900" w:h="16838" w:orient="portrait"/>
          <w:cols w:equalWidth="0" w:num="1">
            <w:col w:w="11020"/>
          </w:cols>
          <w:pgMar w:left="440" w:top="121" w:right="43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 with respect to the Initial Registration Statement or document incorporated by reference therein has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any part thereof or the Rule 462(b) Registration Statement, if any, has been issued and no proceeding for that purpose or pursuant to Section 8A of the Act has been initiated or, to the Company’s knowledge, threatened by the Commission (the base prospectus filed as part of the Initial Registration Statement, in the form in which it has most recently been filed with the Commission on or prior to the date of this Agreement relating to the Shares, is hereinafter called the “Base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 including all exhibits thereto and including any prospectus supplement relating to the Shares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Base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Base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Base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Base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62" w:lineRule="exact"/>
        <w:rPr>
          <w:sz w:val="20"/>
          <w:szCs w:val="20"/>
          <w:color w:val="auto"/>
        </w:rPr>
      </w:pPr>
    </w:p>
    <w:p>
      <w:pPr>
        <w:jc w:val="both"/>
        <w:ind w:right="160" w:firstLine="419"/>
        <w:spacing w:after="0" w:line="259" w:lineRule="auto"/>
        <w:tabs>
          <w:tab w:leader="none" w:pos="678"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6" w:name="page7"/>
    <w:bookmarkEnd w:id="6"/>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p>
    <w:p>
      <w:pPr>
        <w:spacing w:after="0" w:line="76" w:lineRule="exact"/>
        <w:rPr>
          <w:sz w:val="20"/>
          <w:szCs w:val="20"/>
          <w:color w:val="auto"/>
        </w:rPr>
      </w:pPr>
    </w:p>
    <w:p>
      <w:pPr>
        <w:ind w:right="60" w:firstLine="419"/>
        <w:spacing w:after="0" w:line="269" w:lineRule="auto"/>
        <w:tabs>
          <w:tab w:leader="none" w:pos="668"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8:00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73" w:lineRule="exact"/>
        <w:rPr>
          <w:rFonts w:ascii="Arial" w:cs="Arial" w:eastAsia="Arial" w:hAnsi="Arial"/>
          <w:sz w:val="17"/>
          <w:szCs w:val="17"/>
          <w:color w:val="auto"/>
        </w:rPr>
      </w:pPr>
    </w:p>
    <w:p>
      <w:pPr>
        <w:ind w:right="80" w:firstLine="419"/>
        <w:spacing w:after="0" w:line="288"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and no such or any other documents were filed with the Commission since the Commission’s close of business on the business day immediately prior to the date of this Agreement and prior to the execution of this Agreement, except as set forth on Schedule II(b) hereto;</w:t>
      </w:r>
    </w:p>
    <w:p>
      <w:pPr>
        <w:spacing w:after="0" w:line="60" w:lineRule="exact"/>
        <w:rPr>
          <w:rFonts w:ascii="Arial" w:cs="Arial" w:eastAsia="Arial" w:hAnsi="Arial"/>
          <w:sz w:val="16"/>
          <w:szCs w:val="16"/>
          <w:color w:val="auto"/>
        </w:rPr>
      </w:pPr>
    </w:p>
    <w:p>
      <w:pPr>
        <w:ind w:firstLine="419"/>
        <w:spacing w:after="0" w:line="293" w:lineRule="auto"/>
        <w:tabs>
          <w:tab w:leader="none" w:pos="66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7" w:name="page8"/>
    <w:bookmarkEnd w:id="7"/>
    <w:p>
      <w:pPr>
        <w:ind w:right="160" w:firstLine="419"/>
        <w:spacing w:after="0" w:line="27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time of filing of the Initial Registration Statement through the date hereof, the Company has been and is an “emerging growth company” as defined in Section 2(a)(19) of the Act (an “Emerging Growth Company”);</w:t>
      </w:r>
    </w:p>
    <w:p>
      <w:pPr>
        <w:spacing w:after="0" w:line="62" w:lineRule="exact"/>
        <w:rPr>
          <w:rFonts w:ascii="Arial" w:cs="Arial" w:eastAsia="Arial" w:hAnsi="Arial"/>
          <w:sz w:val="18"/>
          <w:szCs w:val="18"/>
          <w:color w:val="auto"/>
        </w:rPr>
      </w:pPr>
    </w:p>
    <w:p>
      <w:pPr>
        <w:ind w:firstLine="419"/>
        <w:spacing w:after="0" w:line="268"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since the date of the latest audited financial statements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filed as exhibits to the Registration Statement or (ii) the issuance, if any, of stock upon conversion of Company securities as described in the Pricing Prospectus and the Prospectus) or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71" w:lineRule="exact"/>
        <w:rPr>
          <w:rFonts w:ascii="Arial" w:cs="Arial" w:eastAsia="Arial" w:hAnsi="Arial"/>
          <w:sz w:val="17"/>
          <w:szCs w:val="17"/>
          <w:color w:val="auto"/>
        </w:rPr>
      </w:pPr>
    </w:p>
    <w:p>
      <w:pPr>
        <w:ind w:firstLine="419"/>
        <w:spacing w:after="0" w:line="269"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and good and marketable title to all personal property owned by them (other than with respect to Intellectual Property Rights (as defined below), which are addressed in Section 1(gg) below),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to the Company’s knowledge,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8" w:name="page9"/>
    <w:bookmarkEnd w:id="8"/>
    <w:p>
      <w:pPr>
        <w:ind w:firstLine="419"/>
        <w:spacing w:after="0" w:line="254"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significant subsidiary, as such term is defined in Rule 1-02(w) of Regulation S-X, of the Company has been listed in the Registration Statement;</w:t>
      </w:r>
    </w:p>
    <w:p>
      <w:pPr>
        <w:spacing w:after="0" w:line="86" w:lineRule="exact"/>
        <w:rPr>
          <w:rFonts w:ascii="Arial" w:cs="Arial" w:eastAsia="Arial" w:hAnsi="Arial"/>
          <w:sz w:val="18"/>
          <w:szCs w:val="18"/>
          <w:color w:val="auto"/>
        </w:rPr>
      </w:pPr>
    </w:p>
    <w:p>
      <w:pPr>
        <w:ind w:right="260" w:firstLine="419"/>
        <w:spacing w:after="0" w:line="296" w:lineRule="auto"/>
        <w:tabs>
          <w:tab w:leader="none" w:pos="6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w:t>
      </w:r>
    </w:p>
    <w:p>
      <w:pPr>
        <w:spacing w:after="0" w:line="53" w:lineRule="exact"/>
        <w:rPr>
          <w:rFonts w:ascii="Arial" w:cs="Arial" w:eastAsia="Arial" w:hAnsi="Arial"/>
          <w:sz w:val="16"/>
          <w:szCs w:val="16"/>
          <w:color w:val="auto"/>
        </w:rPr>
      </w:pPr>
    </w:p>
    <w:p>
      <w:pPr>
        <w:ind w:left="680" w:hanging="26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60" w:firstLine="419"/>
        <w:spacing w:after="0" w:line="259"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w:t>
      </w:r>
    </w:p>
    <w:p>
      <w:pPr>
        <w:spacing w:after="0" w:line="78" w:lineRule="exact"/>
        <w:rPr>
          <w:rFonts w:ascii="Arial" w:cs="Arial" w:eastAsia="Arial" w:hAnsi="Arial"/>
          <w:sz w:val="18"/>
          <w:szCs w:val="18"/>
          <w:color w:val="auto"/>
        </w:rPr>
      </w:pPr>
    </w:p>
    <w:p>
      <w:pPr>
        <w:ind w:firstLine="419"/>
        <w:spacing w:after="0" w:line="286" w:lineRule="auto"/>
        <w:tabs>
          <w:tab w:leader="none" w:pos="72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have a Material Adverse Effect, (B) the certificate of incorporation or by-laws (or other applicable similar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and for such consents, approvals, authorizations, orders, registrations or qualifications as may be required under state securities or Blue Sky laws in connection with the purchase and distribution of the Shares by the Underwriters;</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9" w:name="page10"/>
    <w:bookmarkEnd w:id="9"/>
    <w:p>
      <w:pPr>
        <w:ind w:firstLine="419"/>
        <w:spacing w:after="0" w:line="273" w:lineRule="auto"/>
        <w:tabs>
          <w:tab w:leader="none" w:pos="678"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is (i) in violation of its certificate of incorporation or by-laws (or other applicable similar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have a Material Adverse Effect;</w:t>
      </w:r>
    </w:p>
    <w:p>
      <w:pPr>
        <w:spacing w:after="0" w:line="69" w:lineRule="exact"/>
        <w:rPr>
          <w:rFonts w:ascii="Arial" w:cs="Arial" w:eastAsia="Arial" w:hAnsi="Arial"/>
          <w:sz w:val="17"/>
          <w:szCs w:val="17"/>
          <w:color w:val="auto"/>
        </w:rPr>
      </w:pPr>
    </w:p>
    <w:p>
      <w:pPr>
        <w:ind w:right="100" w:firstLine="419"/>
        <w:spacing w:after="0" w:line="259" w:lineRule="auto"/>
        <w:tabs>
          <w:tab w:leader="none" w:pos="6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Stock</w:t>
      </w:r>
      <w:r>
        <w:rPr>
          <w:rFonts w:ascii="Arial" w:cs="Arial" w:eastAsia="Arial" w:hAnsi="Arial"/>
          <w:sz w:val="18"/>
          <w:szCs w:val="18"/>
          <w:b w:val="1"/>
          <w:bCs w:val="1"/>
          <w:color w:val="auto"/>
        </w:rPr>
        <w:t>,</w:t>
      </w:r>
      <w:r>
        <w:rPr>
          <w:rFonts w:ascii="Arial" w:cs="Arial" w:eastAsia="Arial" w:hAnsi="Arial"/>
          <w:sz w:val="18"/>
          <w:szCs w:val="18"/>
          <w:color w:val="auto"/>
        </w:rPr>
        <w:t xml:space="preserve"> and under the caption “Material U.S. Federal Income Tax Considerations for Non-U.S. Holders of Common Stock,” insofar as they purport to describe the provisions of the laws and documents referred to therein, are accurate, complete and fair, in all material respects;</w:t>
      </w:r>
    </w:p>
    <w:p>
      <w:pPr>
        <w:spacing w:after="0" w:line="78" w:lineRule="exact"/>
        <w:rPr>
          <w:rFonts w:ascii="Arial" w:cs="Arial" w:eastAsia="Arial" w:hAnsi="Arial"/>
          <w:sz w:val="18"/>
          <w:szCs w:val="18"/>
          <w:color w:val="auto"/>
        </w:rPr>
      </w:pPr>
    </w:p>
    <w:p>
      <w:pPr>
        <w:ind w:right="80" w:firstLine="419"/>
        <w:spacing w:after="0" w:line="255" w:lineRule="auto"/>
        <w:tabs>
          <w:tab w:leader="none" w:pos="6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no legal, governmental or regulatory investigations, actions, demands, claims, suits, arbitrations, inquiries or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threatened by others;</w:t>
      </w:r>
    </w:p>
    <w:p>
      <w:pPr>
        <w:spacing w:after="0" w:line="84" w:lineRule="exact"/>
        <w:rPr>
          <w:rFonts w:ascii="Arial" w:cs="Arial" w:eastAsia="Arial" w:hAnsi="Arial"/>
          <w:sz w:val="18"/>
          <w:szCs w:val="18"/>
          <w:color w:val="auto"/>
        </w:rPr>
      </w:pPr>
    </w:p>
    <w:p>
      <w:pPr>
        <w:ind w:firstLine="419"/>
        <w:spacing w:after="0" w:line="293" w:lineRule="auto"/>
        <w:tabs>
          <w:tab w:leader="none" w:pos="67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and have paid all taxes required to be paid thereon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56" w:lineRule="exact"/>
        <w:rPr>
          <w:rFonts w:ascii="Arial" w:cs="Arial" w:eastAsia="Arial" w:hAnsi="Arial"/>
          <w:sz w:val="16"/>
          <w:szCs w:val="16"/>
          <w:color w:val="auto"/>
        </w:rPr>
      </w:pPr>
    </w:p>
    <w:p>
      <w:pPr>
        <w:jc w:val="both"/>
        <w:ind w:firstLine="419"/>
        <w:spacing w:after="0" w:line="263"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Prospectus, will not be an “investment company”, as such term is defined in the Investment Company Act of 1940, as amended (the “Investment Company Act”);</w:t>
      </w:r>
    </w:p>
    <w:p>
      <w:pPr>
        <w:spacing w:after="0" w:line="75" w:lineRule="exact"/>
        <w:rPr>
          <w:rFonts w:ascii="Arial" w:cs="Arial" w:eastAsia="Arial" w:hAnsi="Arial"/>
          <w:sz w:val="18"/>
          <w:szCs w:val="18"/>
          <w:color w:val="auto"/>
        </w:rPr>
      </w:pPr>
    </w:p>
    <w:p>
      <w:pPr>
        <w:jc w:val="both"/>
        <w:ind w:right="240" w:firstLine="419"/>
        <w:spacing w:after="0" w:line="286" w:lineRule="auto"/>
        <w:tabs>
          <w:tab w:leader="none" w:pos="658"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57" w:lineRule="exact"/>
        <w:rPr>
          <w:rFonts w:ascii="Arial" w:cs="Arial" w:eastAsia="Arial" w:hAnsi="Arial"/>
          <w:sz w:val="17"/>
          <w:szCs w:val="17"/>
          <w:color w:val="auto"/>
        </w:rPr>
      </w:pPr>
    </w:p>
    <w:p>
      <w:pPr>
        <w:ind w:right="700" w:firstLine="419"/>
        <w:spacing w:after="0" w:line="277" w:lineRule="auto"/>
        <w:tabs>
          <w:tab w:leader="none" w:pos="638" w:val="left"/>
        </w:tabs>
        <w:numPr>
          <w:ilvl w:val="0"/>
          <w:numId w:val="7"/>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subsidiaries, are independent public accountants as required by the Act and the rules and regulations of the Commission thereunder;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0" w:name="page11"/>
    <w:bookmarkEnd w:id="10"/>
    <w:p>
      <w:pPr>
        <w:ind w:firstLine="419"/>
        <w:spacing w:after="0" w:line="269" w:lineRule="auto"/>
        <w:tabs>
          <w:tab w:leader="none" w:pos="678"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and in accordance with GAAP the information required to be stated therein. The selected consolidated financial data and the summary consolidated financial data included in the Registration Statement, the Pricing Prospectus and the Prospectus present fairly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77" w:lineRule="exact"/>
        <w:rPr>
          <w:rFonts w:ascii="Arial" w:cs="Arial" w:eastAsia="Arial" w:hAnsi="Arial"/>
          <w:sz w:val="17"/>
          <w:szCs w:val="17"/>
          <w:color w:val="auto"/>
        </w:rPr>
      </w:pPr>
    </w:p>
    <w:p>
      <w:pPr>
        <w:ind w:right="20" w:firstLine="419"/>
        <w:spacing w:after="0" w:line="287" w:lineRule="auto"/>
        <w:tabs>
          <w:tab w:leader="none" w:pos="67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do so under applicable law);</w:t>
      </w:r>
    </w:p>
    <w:p>
      <w:pPr>
        <w:spacing w:after="0" w:line="59" w:lineRule="exact"/>
        <w:rPr>
          <w:rFonts w:ascii="Arial" w:cs="Arial" w:eastAsia="Arial" w:hAnsi="Arial"/>
          <w:sz w:val="16"/>
          <w:szCs w:val="16"/>
          <w:color w:val="auto"/>
        </w:rPr>
      </w:pPr>
    </w:p>
    <w:p>
      <w:pPr>
        <w:ind w:right="120" w:firstLine="419"/>
        <w:spacing w:after="0" w:line="263" w:lineRule="auto"/>
        <w:tabs>
          <w:tab w:leader="none" w:pos="718"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Prospectus, there has been no change in the Company’s internal control over financial reporting that has materially affected, or is reasonably likely to materially and adversely affect, the Company’s internal control over financial reporting;</w:t>
      </w:r>
    </w:p>
    <w:p>
      <w:pPr>
        <w:spacing w:after="0" w:line="75" w:lineRule="exact"/>
        <w:rPr>
          <w:rFonts w:ascii="Arial" w:cs="Arial" w:eastAsia="Arial" w:hAnsi="Arial"/>
          <w:sz w:val="18"/>
          <w:szCs w:val="18"/>
          <w:color w:val="auto"/>
        </w:rPr>
      </w:pPr>
    </w:p>
    <w:p>
      <w:pPr>
        <w:jc w:val="both"/>
        <w:ind w:right="280" w:firstLine="419"/>
        <w:spacing w:after="0" w:line="301" w:lineRule="auto"/>
        <w:tabs>
          <w:tab w:leader="none" w:pos="67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11" w:name="page12"/>
    <w:bookmarkEnd w:id="11"/>
    <w:p>
      <w:pPr>
        <w:ind w:firstLine="419"/>
        <w:spacing w:after="0" w:line="285"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Company nor any of its subsidiaries nor, to the knowledge of the Company, any director, officer, agent, employee, affiliate or other person associated with or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person acting in an official capacity for or on behalf of any of the foregoing, or any political party, party official, or candidate for political office; (iii) violated or is in violation of any provision of the U.S. Foreign Corrupt Practices Act of 1977, as amended (the “FCPA”), and the rules and regulations thereunder, including, without limitation, by making use of the mails or any means or instrumentality of U.S.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(iv) violated or is in violation of any provision of the U.K. Bribery Act 2010; (v) violated or is in violation of any provision of any applicable law or regulation implementing the OECD Convention on Combating Bribery of Foreign Public Officials in International Business Transactions, or any other applicable anti-bribery or anti-corruption law; or (vi)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the Company has instituted and maintains policies and procedures under its code of conduct designed to ensure, and which are reasonably expected to continue to ensure, continued compliance with the FCPA. No part of the proceeds of the offering will be used, directly or indirectly, in violation of the FCPA or the U.K. Bribery Act 2010, each as may be amended, or similar law of any other relevant jurisdiction, or the rules or regulations thereunder;</w:t>
      </w:r>
    </w:p>
    <w:p>
      <w:pPr>
        <w:spacing w:after="0" w:line="60" w:lineRule="exact"/>
        <w:rPr>
          <w:rFonts w:ascii="Arial" w:cs="Arial" w:eastAsia="Arial" w:hAnsi="Arial"/>
          <w:sz w:val="16"/>
          <w:szCs w:val="16"/>
          <w:color w:val="auto"/>
        </w:rPr>
      </w:pPr>
    </w:p>
    <w:p>
      <w:pPr>
        <w:ind w:right="160" w:firstLine="419"/>
        <w:spacing w:after="0" w:line="254" w:lineRule="auto"/>
        <w:tabs>
          <w:tab w:leader="none" w:pos="6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regulations or guidelines issued, administered or enforced by any governmental agency having jurisdiction over the Company or any of its subsidiaries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84" w:lineRule="exact"/>
        <w:rPr>
          <w:sz w:val="20"/>
          <w:szCs w:val="20"/>
          <w:color w:val="auto"/>
        </w:rPr>
      </w:pPr>
    </w:p>
    <w:p>
      <w:pPr>
        <w:ind w:firstLine="419"/>
        <w:spacing w:after="0" w:line="255" w:lineRule="auto"/>
        <w:tabs>
          <w:tab w:leader="none" w:pos="7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2" w:name="page13"/>
    <w:bookmarkEnd w:id="12"/>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United Nations Security Council, or other relevant sanctions authority (collectively, “Sanctions” and such persons “Sanctioned Persons”), or (ii) is located, organized or resident in a country or territory that is, or whose government is, the subject or the target of Sanctions that broadly prohibit dealings with that country or territory (collectively, “Sanctioned Countries” and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Sanctioned Country or (ii) in any other manner that will result in a violation by any person (including any person participating in the transaction, whether as underwriter, advisor, investor or otherwise) of Sanctions. Neither the Company nor any of its subsidiaries has knowingly engaged in any dealings or transactions with or for the benefit of a Sanctioned Person, or with or in a Sanctioned Country, in the preceding three years, nor does the Company or any of its subsidiaries have any plans to engage in dealings or transactions with or for the benefit of a Sanctioned Person, or with or in a Sanctioned Country;</w:t>
      </w:r>
    </w:p>
    <w:p>
      <w:pPr>
        <w:spacing w:after="0" w:line="77" w:lineRule="exact"/>
        <w:rPr>
          <w:sz w:val="20"/>
          <w:szCs w:val="20"/>
          <w:color w:val="auto"/>
        </w:rPr>
      </w:pPr>
    </w:p>
    <w:p>
      <w:pPr>
        <w:ind w:left="4" w:firstLine="419"/>
        <w:spacing w:after="0" w:line="284" w:lineRule="auto"/>
        <w:tabs>
          <w:tab w:leader="none" w:pos="771" w:val="left"/>
        </w:tabs>
        <w:numPr>
          <w:ilvl w:val="1"/>
          <w:numId w:val="11"/>
        </w:numPr>
        <w:rPr>
          <w:rFonts w:ascii="Arial" w:cs="Arial" w:eastAsia="Arial" w:hAnsi="Arial"/>
          <w:sz w:val="16"/>
          <w:szCs w:val="16"/>
          <w:color w:val="auto"/>
        </w:rPr>
      </w:pPr>
      <w:r>
        <w:rPr>
          <w:rFonts w:ascii="Arial" w:cs="Arial" w:eastAsia="Arial" w:hAnsi="Arial"/>
          <w:sz w:val="16"/>
          <w:szCs w:val="16"/>
          <w:color w:val="auto"/>
        </w:rPr>
        <w:t>(i) The Company and each of its subsidiaries (x) is in material compliance with all, and has not violated any, applicable material federal, state or local laws, rules, regulations, requirements, decisions, judgments, decrees and orders relating to pollution, hazardous or toxic substances, wastes, pollutants, contaminants or the protection of human health or safety, the environment or natural resources (collectively, “Environmental Laws”); (y) has received and is in material compliance with all, and has not violated any, material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w:t>
      </w:r>
    </w:p>
    <w:p>
      <w:pPr>
        <w:ind w:left="4" w:right="380" w:hanging="4"/>
        <w:spacing w:after="0" w:line="281" w:lineRule="auto"/>
        <w:tabs>
          <w:tab w:leader="none" w:pos="2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are no costs or liabilities associated with Environmental Laws of or relating to the Company, except in the case of each of (i) and (ii) above, for any such matter as would not, individually or in the aggregate, reasonably be expected to have a Material Adverse Effect; and</w:t>
      </w:r>
    </w:p>
    <w:p>
      <w:pPr>
        <w:spacing w:after="0" w:line="1" w:lineRule="exact"/>
        <w:rPr>
          <w:rFonts w:ascii="Arial" w:cs="Arial" w:eastAsia="Arial" w:hAnsi="Arial"/>
          <w:sz w:val="16"/>
          <w:szCs w:val="16"/>
          <w:color w:val="auto"/>
        </w:rPr>
      </w:pPr>
    </w:p>
    <w:p>
      <w:pPr>
        <w:ind w:left="4" w:right="120" w:hanging="4"/>
        <w:spacing w:after="0" w:line="270" w:lineRule="auto"/>
        <w:tabs>
          <w:tab w:leader="none" w:pos="318"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described in each of the Pricing Disclosure Package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spacing w:after="0" w:line="70" w:lineRule="exact"/>
        <w:rPr>
          <w:rFonts w:ascii="Arial" w:cs="Arial" w:eastAsia="Arial" w:hAnsi="Arial"/>
          <w:sz w:val="17"/>
          <w:szCs w:val="17"/>
          <w:color w:val="auto"/>
        </w:rPr>
      </w:pPr>
    </w:p>
    <w:p>
      <w:pPr>
        <w:ind w:left="4" w:right="40" w:firstLine="419"/>
        <w:spacing w:after="0" w:line="255" w:lineRule="auto"/>
        <w:tabs>
          <w:tab w:leader="none" w:pos="7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possesses all material licenses, sub-licenses, certificates, authorizations and permits issued by the appropriate federal, state or foreign regulatory authorities necessary to conduct its business, as described in the Registration Statement, the Pricing Disclosure Package and the Prospectus, including, without limitation, from the U.S. Food and Drug Administration (“FDA”) and equivalent foreign regulatory authorities; and the Company has not received any notice of proceedings relating to the revocation or modification of any such material license, sub-license, certificate, authorization or permit, except as described in the Registration Statement, the Pricing Disclosure Package and the Prospectus;</w:t>
      </w:r>
    </w:p>
    <w:p>
      <w:pPr>
        <w:spacing w:after="0" w:line="125"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876" w:top="274" w:right="439" w:bottom="1440" w:gutter="0" w:footer="0" w:header="0"/>
        </w:sectPr>
      </w:pPr>
    </w:p>
    <w:bookmarkStart w:id="13" w:name="page14"/>
    <w:bookmarkEnd w:id="13"/>
    <w:p>
      <w:pPr>
        <w:ind w:left="760" w:hanging="341"/>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operated and currently is in material compliance with all applicable rules, regulations and policies of the FDA;</w:t>
      </w:r>
    </w:p>
    <w:p>
      <w:pPr>
        <w:spacing w:after="0" w:line="128" w:lineRule="exact"/>
        <w:rPr>
          <w:rFonts w:ascii="Arial" w:cs="Arial" w:eastAsia="Arial" w:hAnsi="Arial"/>
          <w:sz w:val="17"/>
          <w:szCs w:val="17"/>
          <w:color w:val="auto"/>
        </w:rPr>
      </w:pPr>
    </w:p>
    <w:p>
      <w:pPr>
        <w:ind w:firstLine="419"/>
        <w:spacing w:after="0" w:line="286" w:lineRule="auto"/>
        <w:tabs>
          <w:tab w:leader="none" w:pos="7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studies, tests and preclinical and clinical trials conducted by the Company and, to the knowledge of the Company,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reasonably be expected to have a Material Adverse Effect; the descriptions of the results of such studies, tests and trials contained in the Registration Statement, the Pricing Prospectus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the Pricing Prospectus and the Prospectus when viewed in the context in which such results are described and the clinical state of development; and, except to the extent disclosed in the Registration Statement, the Pricing Prospectus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spacing w:after="0" w:line="62" w:lineRule="exact"/>
        <w:rPr>
          <w:rFonts w:ascii="Arial" w:cs="Arial" w:eastAsia="Arial" w:hAnsi="Arial"/>
          <w:sz w:val="16"/>
          <w:szCs w:val="16"/>
          <w:color w:val="auto"/>
        </w:rPr>
      </w:pPr>
    </w:p>
    <w:p>
      <w:pPr>
        <w:ind w:right="60" w:firstLine="419"/>
        <w:spacing w:after="0" w:line="263" w:lineRule="auto"/>
        <w:tabs>
          <w:tab w:leader="none" w:pos="7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Company’s knowledge, the manufacturing facilities and operations of its suppliers and manufacturers are operated in compliance in all respects with all applicable statutes, rules, regulations and policies of the FDA and comparable regulatory agencies outside of the United States to which the Company is subject;</w:t>
      </w:r>
    </w:p>
    <w:p>
      <w:pPr>
        <w:spacing w:after="0" w:line="75" w:lineRule="exact"/>
        <w:rPr>
          <w:rFonts w:ascii="Arial" w:cs="Arial" w:eastAsia="Arial" w:hAnsi="Arial"/>
          <w:sz w:val="18"/>
          <w:szCs w:val="18"/>
          <w:color w:val="auto"/>
        </w:rPr>
      </w:pPr>
    </w:p>
    <w:p>
      <w:pPr>
        <w:ind w:right="60" w:firstLine="419"/>
        <w:spacing w:after="0" w:line="289" w:lineRule="auto"/>
        <w:tabs>
          <w:tab w:leader="none" w:pos="7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Disclosure Package and the Prospectus, the Company and its subsidiaries own, possess or license adequate rights to use all trademarks, service marks, trade names, domain names and other source identifiers, all goodwill associated with the foregoing, inventions, technology, patents, copyrights, know-how, trade secrets and other unpatented and/or unpatentable proprietary or confidential information, systems or procedures, and other intellectual property rights (including all registrations and applications for registration of the foregoing, as applicable) (collectively, “Intellectual Property Rights”) used or held for use in the conduct of their respective businesses as currently conducted and as proposed in the Registration Statement, the Pricing Disclosure Package and the Prospectus to be conducted, except where the failure to own, possess or license such Intellectual Property Rights would not, individually or in the aggregate, reasonably be expected to have a Material Adverse Effect. Neither the Company nor any of its subsidiaries has materially infringed, misappropriated or otherwise violated the Intellectual Property Rights of any third party, and neither the manufacture of, nor the use or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4" w:name="page15"/>
    <w:bookmarkEnd w:id="14"/>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sale of, any of the product candidates described in the Registration Statement, the Pricing Disclosure Package and the Prospectus will materially infringe, misappropriate or otherwise violate the Intellectual Property Rights of any third party. Except as disclosed in the Registration Statement, the Pricing Disclosure Package and the Prospectus, there are no rights of third parties (including any liens or encumbrances) to any of the Intellectual Property Rights owned or purported to be owned by, or exclusively licensed to, the Company or any of its subsidiaries. Except as would not, individually or in aggregate, if determined adversely to the Company or any of its subsidiaries, reasonably be expected to have a Material Adverse Effect, there is no pending or, to the Company’s knowledge, threatened action, suit, proceeding or claim by any third party</w:t>
      </w:r>
    </w:p>
    <w:p>
      <w:pPr>
        <w:spacing w:after="0" w:line="4" w:lineRule="exact"/>
        <w:rPr>
          <w:sz w:val="20"/>
          <w:szCs w:val="20"/>
          <w:color w:val="auto"/>
        </w:rPr>
      </w:pPr>
    </w:p>
    <w:p>
      <w:pPr>
        <w:ind w:left="4" w:hanging="4"/>
        <w:spacing w:after="0" w:line="266" w:lineRule="auto"/>
        <w:tabs>
          <w:tab w:leader="none" w:pos="2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challenging the Company’s or any subsidiary of the Company’s rights in or to, or alleging a violation of any of the terms of, any of their owned or licensed Intellectual Property Rights; (ii) alleging that the Company or any of its subsidiaries has infringed, misappropriated or otherwise violated any Intellectual Property Rights of any third party; or (iii) challenging the validity, scope or enforceability of any Intellectual Property Rights owned by or exclusively licensed to the Company or any of its subsidiaries, and in the case of each of (i), (ii) and (iii), the Company is unaware of any facts that would form a reasonable basis for any such action, suit, proceeding or claim. To the Company’s knowledge, there is no infringement, misappropriation, breach or default, or other violation by others of any Intellectual Property Rights owned by or exclusively licensed to the Company or any of its subsidiaries, and all Intellectual Property Rights owned by or licensed to the Company or any of its subsidiaries are valid and enforceable, except in each case as would not reasonably be expected, individually or in the aggregate, to have a Material Adverse Effect. The Company and its subsidiaries have at all times taken reasonable steps in accordance with normal industry practice to maintain the confidentiality of all Intellectual Property Rights owned by the Company, the value of which to the Company or any Company subsidiary is contingent upon maintaining the confidentiality thereof. All founders, current and former employees, consultants and other parties involved in the development of Intellectual Property Rights for the Company or any of its subsidiaries have signed confidentiality and invention assignment agreements with the Company or any of its subsidiaries pursuant to which the Company or any of its subsidiaries either (x) has obtained ownership of and is the exclusive owner of such Intellectual Property Rights, or (y) has obtained a valid and unrestricted right to exploit such Intellectual Property Rights, sufficient for the conduct of the business as currently conducted and as proposed in the Registration Statement, the Pricing Disclosure Package and the Prospectus to be conducted;</w:t>
      </w:r>
    </w:p>
    <w:p>
      <w:pPr>
        <w:spacing w:after="0" w:line="83" w:lineRule="exact"/>
        <w:rPr>
          <w:rFonts w:ascii="Arial" w:cs="Arial" w:eastAsia="Arial" w:hAnsi="Arial"/>
          <w:sz w:val="17"/>
          <w:szCs w:val="17"/>
          <w:color w:val="auto"/>
        </w:rPr>
      </w:pPr>
    </w:p>
    <w:p>
      <w:pPr>
        <w:ind w:left="4" w:firstLine="419"/>
        <w:spacing w:after="0" w:line="269" w:lineRule="auto"/>
        <w:tabs>
          <w:tab w:leader="none" w:pos="7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(i) Except as disclosed in the Registration Statement, the Pricing Disclosure Package and the Prospectus, (x) to the Company’s knowledge, there has been no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and its subsidiaries have not been notified of, and have no knowledge of any event or condition that would reasonably be expected to result in, any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clauses (i) and (ii), individually or in the aggregate, have a Material Adverse Effect; and (iii) the Company and its subsidiaries have implemented backup and disaster recovery technology consistent with industry standards and practices;</w:t>
      </w:r>
    </w:p>
    <w:p>
      <w:pPr>
        <w:spacing w:after="0" w:line="11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4"/>
          </w:cols>
          <w:pgMar w:left="876" w:top="274" w:right="499" w:bottom="1440" w:gutter="0" w:footer="0" w:header="0"/>
        </w:sectPr>
      </w:pPr>
    </w:p>
    <w:bookmarkStart w:id="15" w:name="page16"/>
    <w:bookmarkEnd w:id="15"/>
    <w:p>
      <w:pPr>
        <w:ind w:left="440" w:right="260" w:firstLine="419"/>
        <w:spacing w:after="0" w:line="263" w:lineRule="auto"/>
        <w:tabs>
          <w:tab w:leader="none" w:pos="1128"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1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75" w:lineRule="exact"/>
        <w:rPr>
          <w:rFonts w:ascii="Arial" w:cs="Arial" w:eastAsia="Arial" w:hAnsi="Arial"/>
          <w:sz w:val="18"/>
          <w:szCs w:val="18"/>
          <w:color w:val="auto"/>
        </w:rPr>
      </w:pPr>
    </w:p>
    <w:p>
      <w:pPr>
        <w:ind w:left="440" w:right="20" w:firstLine="419"/>
        <w:spacing w:after="0" w:line="263" w:lineRule="auto"/>
        <w:tabs>
          <w:tab w:leader="none" w:pos="12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or any of the Company’s directors or officers, in their capacities as such, to comply in all material respects with any provision of the Sarbanes-Oxley Act, including Section 402 related to loans and Sections 302 and 906 related to certifications;</w:t>
      </w:r>
    </w:p>
    <w:p>
      <w:pPr>
        <w:spacing w:after="0" w:line="75" w:lineRule="exact"/>
        <w:rPr>
          <w:rFonts w:ascii="Arial" w:cs="Arial" w:eastAsia="Arial" w:hAnsi="Arial"/>
          <w:sz w:val="18"/>
          <w:szCs w:val="18"/>
          <w:color w:val="auto"/>
        </w:rPr>
      </w:pPr>
    </w:p>
    <w:p>
      <w:pPr>
        <w:ind w:left="440" w:right="20" w:firstLine="419"/>
        <w:spacing w:after="0" w:line="263" w:lineRule="auto"/>
        <w:tabs>
          <w:tab w:leader="none" w:pos="11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 and</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3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and as required by law.</w:t>
      </w:r>
    </w:p>
    <w:p>
      <w:pPr>
        <w:spacing w:after="0" w:line="62" w:lineRule="exact"/>
        <w:rPr>
          <w:rFonts w:ascii="Arial" w:cs="Arial" w:eastAsia="Arial" w:hAnsi="Arial"/>
          <w:sz w:val="18"/>
          <w:szCs w:val="18"/>
          <w:color w:val="auto"/>
        </w:rPr>
      </w:pPr>
    </w:p>
    <w:p>
      <w:pPr>
        <w:ind w:firstLine="436"/>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$25.38,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Company hereby grants to the Underwriters the right to purchase at their election up to 694,444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6" w:name="page17"/>
    <w:bookmarkEnd w:id="16"/>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49" w:lineRule="exact"/>
        <w:rPr>
          <w:sz w:val="20"/>
          <w:szCs w:val="20"/>
          <w:color w:val="auto"/>
        </w:rPr>
      </w:pPr>
    </w:p>
    <w:p>
      <w:pPr>
        <w:ind w:right="360" w:firstLine="436"/>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Shares, the several Underwriters propose to offer the Shares for sale upon the terms and conditions set forth in the Pricing Disclosure Package and the Prospectus.</w:t>
      </w:r>
    </w:p>
    <w:p>
      <w:pPr>
        <w:spacing w:after="0" w:line="62" w:lineRule="exact"/>
        <w:rPr>
          <w:rFonts w:ascii="Arial" w:cs="Arial" w:eastAsia="Arial" w:hAnsi="Arial"/>
          <w:sz w:val="18"/>
          <w:szCs w:val="18"/>
          <w:color w:val="auto"/>
        </w:rPr>
      </w:pPr>
    </w:p>
    <w:p>
      <w:pPr>
        <w:ind w:left="440" w:right="20" w:hanging="4"/>
        <w:spacing w:after="0" w:line="286" w:lineRule="auto"/>
        <w:tabs>
          <w:tab w:leader="none" w:pos="8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January 8, 2021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65" w:lineRule="exact"/>
        <w:rPr>
          <w:rFonts w:ascii="Arial" w:cs="Arial" w:eastAsia="Arial" w:hAnsi="Arial"/>
          <w:sz w:val="16"/>
          <w:szCs w:val="16"/>
          <w:color w:val="auto"/>
        </w:rPr>
      </w:pPr>
    </w:p>
    <w:p>
      <w:pPr>
        <w:ind w:left="440" w:right="40" w:firstLine="419"/>
        <w:spacing w:after="0" w:line="271" w:lineRule="auto"/>
        <w:tabs>
          <w:tab w:leader="none" w:pos="1118"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Davis Polk &amp; Wardwell LLP, counsel for the Underwriters, at 1600 El Camino Real, Menlo Park, California 94025 (the “Closing Location”), and the Shares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70" w:lineRule="exact"/>
        <w:rPr>
          <w:rFonts w:ascii="Arial" w:cs="Arial" w:eastAsia="Arial" w:hAnsi="Arial"/>
          <w:sz w:val="17"/>
          <w:szCs w:val="17"/>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117" w:lineRule="exact"/>
        <w:rPr>
          <w:rFonts w:ascii="Arial" w:cs="Arial" w:eastAsia="Arial" w:hAnsi="Arial"/>
          <w:sz w:val="18"/>
          <w:szCs w:val="18"/>
          <w:color w:val="auto"/>
        </w:rPr>
      </w:pPr>
    </w:p>
    <w:p>
      <w:pPr>
        <w:ind w:left="440" w:firstLine="419"/>
        <w:spacing w:after="0" w:line="301" w:lineRule="auto"/>
        <w:tabs>
          <w:tab w:leader="none" w:pos="11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under the Act; to make no further amendment or any supplement to the Registration Statement, the Base Prospectus or the Prospectus prior to the last Time of Delivery which shall be disapproved by you promptly after reasonable notice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60" w:lineRule="exact"/>
        <w:rPr>
          <w:sz w:val="20"/>
          <w:szCs w:val="20"/>
          <w:color w:val="auto"/>
        </w:rPr>
      </w:pPr>
    </w:p>
    <w:p>
      <w:pPr>
        <w:ind w:right="20" w:firstLine="419"/>
        <w:spacing w:after="0" w:line="275" w:lineRule="auto"/>
        <w:tabs>
          <w:tab w:leader="none" w:pos="6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for doing business in any jurisdiction in which it is not otherwise subject to taxation;</w:t>
      </w:r>
    </w:p>
    <w:p>
      <w:pPr>
        <w:spacing w:after="0" w:line="68" w:lineRule="exact"/>
        <w:rPr>
          <w:rFonts w:ascii="Arial" w:cs="Arial" w:eastAsia="Arial" w:hAnsi="Arial"/>
          <w:sz w:val="17"/>
          <w:szCs w:val="17"/>
          <w:color w:val="auto"/>
        </w:rPr>
      </w:pPr>
    </w:p>
    <w:p>
      <w:pPr>
        <w:jc w:val="both"/>
        <w:ind w:firstLine="419"/>
        <w:spacing w:after="0" w:line="293" w:lineRule="auto"/>
        <w:tabs>
          <w:tab w:leader="none" w:pos="6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by the third anniversary (the “Renewal Deadline”) of the initial effective date of the Registration Statement, any of the Shares remain unsold by the Underwriters, the Company will file, if it has not already done so and is eligible to do so,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56" w:lineRule="exact"/>
        <w:rPr>
          <w:rFonts w:ascii="Arial" w:cs="Arial" w:eastAsia="Arial" w:hAnsi="Arial"/>
          <w:sz w:val="16"/>
          <w:szCs w:val="16"/>
          <w:color w:val="auto"/>
        </w:rPr>
      </w:pPr>
    </w:p>
    <w:p>
      <w:pPr>
        <w:ind w:right="20" w:firstLine="419"/>
        <w:spacing w:after="0" w:line="254" w:lineRule="auto"/>
        <w:tabs>
          <w:tab w:leader="none" w:pos="6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(whose name and address the Underwriters shall furnish to the Company in connection with such request)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73" w:lineRule="exact"/>
        <w:rPr>
          <w:sz w:val="20"/>
          <w:szCs w:val="20"/>
          <w:color w:val="auto"/>
        </w:rPr>
      </w:pPr>
    </w:p>
    <w:p>
      <w:pPr>
        <w:ind w:right="40" w:firstLine="419"/>
        <w:spacing w:after="0" w:line="259" w:lineRule="auto"/>
        <w:tabs>
          <w:tab w:leader="none" w:pos="6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78" w:lineRule="exact"/>
        <w:rPr>
          <w:rFonts w:ascii="Arial" w:cs="Arial" w:eastAsia="Arial" w:hAnsi="Arial"/>
          <w:sz w:val="18"/>
          <w:szCs w:val="18"/>
          <w:color w:val="auto"/>
        </w:rPr>
      </w:pPr>
    </w:p>
    <w:p>
      <w:pPr>
        <w:ind w:right="40" w:firstLine="419"/>
        <w:spacing w:after="0" w:line="267" w:lineRule="auto"/>
        <w:tabs>
          <w:tab w:leader="none" w:pos="6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the period beginning from the date hereof and continuing to and including the date 90 days after the date of the Prospectus (the “Clear Market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the Representatives; provided, however, that the foregoing restrictions shall not apply to (A) the Shares sold hereunder, (B) the issuance by the Company of shares of Stock upon the exercise of an option or warrant or the conversion of a security outstanding on the date hereof, (C) the issuance by the Company of Stock or other securities convertible or exercisable into Stock, in each case pursuant to the Company’s and its subsidiaries stock plans that are described in the Pricing Prospectus, (D) the filing of any registration statement (including amendments or prospectuses thereto) (1) on Form S-8 or any successor form thereto with respect to the registration of securities to be offered under any employee benefit or equity incentive plans of the Company or its subsidiaries or (2) that the Company may be required to file pursuant to that certain Amended and Restated Investor Rights Agreement, dated as of March 20, 2015, by and between the Company and the investor parties thereto, (E) the issuance of shares of Stock to Merck Sharp &amp; Dohme Corp. (“Merck”) and/or its designate affiliate(s) and the entry into by the Company of a purchase agreement related thereto, in each case pursuant to the exercise by</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Merck of its option to acquire shares of Stock from the Company pursuant to that certain Letter Agreement, dated as of March 20, 2015, by and between the Company and Merck, or (F) the issuance of shares of Stock or any security convertible into or exercisable for shares of Stock in connection with transactions that include a commercial relationship (including without limitation, joint ventures, marketing or distribution arrangements, collaboration agreements or intellectual property license agreements) or any acquisition by the Company or any of its subsidiaries of the securities, business, property or other assets of another person or entity or pursuant to any employee benefit plan assumed by the Company in connection with such acquisition, and the issuance of any such securities pursuant to any such agreement; provided further, that, in the case of clause (F), the aggregate number of shares of Stock that the Company may sell or issue or agree to sell or issue pursuant to clause (F) shall not exceed 5% of the total number of shares of Stock issued and outstanding immediately following the completion of the transactions contemplated by this Agreement, and provided further that the Company shall cause each recipient of such securities pursuant to clause (F) to execute and deliver to you, on or prior to the issuance of such securities, a lock-up letter as described in Section 8(j) hereof (and with a date of expiration 30 days earlier than the date of expiration for the lock-up applicable to the Company), and enter stop transfer instructions with the Company’s transfer agent and registrar of such securities, which the Company agrees it will not waive or amend without the prior written consent of the representatives. Notwithstanding anything to the contrary contained in this Section 5(f), the Company shall be permitted to keep in effect the Open Market Sale Agreement</w:t>
      </w:r>
      <w:r>
        <w:rPr>
          <w:rFonts w:ascii="Arial" w:cs="Arial" w:eastAsia="Arial" w:hAnsi="Arial"/>
          <w:sz w:val="14"/>
          <w:szCs w:val="14"/>
          <w:color w:val="auto"/>
        </w:rPr>
        <w:t>SM</w:t>
      </w:r>
      <w:r>
        <w:rPr>
          <w:rFonts w:ascii="Arial" w:cs="Arial" w:eastAsia="Arial" w:hAnsi="Arial"/>
          <w:sz w:val="17"/>
          <w:szCs w:val="17"/>
          <w:color w:val="auto"/>
        </w:rPr>
        <w:t>, dated as of June 5, 2020, as amended, by and between the Company and Jefferies LLC (the “Jefferies Agreement”), and the prospectus supplement related thereto provided that pursuant to the terms of this Section 5(g), no sales under the Jefferies Agreement may be made during the Clear Market Period.</w:t>
      </w:r>
    </w:p>
    <w:p>
      <w:pPr>
        <w:spacing w:after="0" w:line="72" w:lineRule="exact"/>
        <w:rPr>
          <w:sz w:val="20"/>
          <w:szCs w:val="20"/>
          <w:color w:val="auto"/>
        </w:rPr>
      </w:pPr>
    </w:p>
    <w:p>
      <w:pPr>
        <w:jc w:val="both"/>
        <w:ind w:right="60" w:firstLine="419"/>
        <w:spacing w:after="0" w:line="259"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78" w:lineRule="exact"/>
        <w:rPr>
          <w:rFonts w:ascii="Arial" w:cs="Arial" w:eastAsia="Arial" w:hAnsi="Arial"/>
          <w:sz w:val="18"/>
          <w:szCs w:val="18"/>
          <w:color w:val="auto"/>
        </w:rPr>
      </w:pPr>
    </w:p>
    <w:p>
      <w:pPr>
        <w:ind w:right="60" w:firstLine="419"/>
        <w:spacing w:after="0" w:line="277"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62" w:lineRule="exact"/>
        <w:rPr>
          <w:rFonts w:ascii="Arial" w:cs="Arial" w:eastAsia="Arial" w:hAnsi="Arial"/>
          <w:sz w:val="18"/>
          <w:szCs w:val="18"/>
          <w:color w:val="auto"/>
        </w:rPr>
      </w:pPr>
    </w:p>
    <w:p>
      <w:pPr>
        <w:ind w:firstLine="419"/>
        <w:spacing w:after="0" w:line="259" w:lineRule="auto"/>
        <w:tabs>
          <w:tab w:leader="none" w:pos="6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78" w:lineRule="exact"/>
        <w:rPr>
          <w:rFonts w:ascii="Arial" w:cs="Arial" w:eastAsia="Arial" w:hAnsi="Arial"/>
          <w:sz w:val="18"/>
          <w:szCs w:val="18"/>
          <w:color w:val="auto"/>
        </w:rPr>
      </w:pPr>
    </w:p>
    <w:p>
      <w:pPr>
        <w:ind w:right="380" w:firstLine="419"/>
        <w:spacing w:after="0" w:line="277" w:lineRule="auto"/>
        <w:tabs>
          <w:tab w:leader="none" w:pos="6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in the manner specified in the Pricing Prospectus under the caption “Use of Proceeds”; and</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use its reasonable best efforts to list for quotation the Shares on The Nasdaq Global Select Market.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0" w:name="page21"/>
    <w:bookmarkEnd w:id="20"/>
    <w:p>
      <w:pPr>
        <w:ind w:left="440" w:firstLine="419"/>
        <w:spacing w:after="0" w:line="296" w:lineRule="auto"/>
        <w:tabs>
          <w:tab w:leader="none" w:pos="1268"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53" w:lineRule="exact"/>
        <w:rPr>
          <w:sz w:val="20"/>
          <w:szCs w:val="20"/>
          <w:color w:val="auto"/>
        </w:rPr>
      </w:pPr>
    </w:p>
    <w:p>
      <w:pPr>
        <w:ind w:left="440" w:right="80" w:firstLine="419"/>
        <w:spacing w:after="0" w:line="254" w:lineRule="auto"/>
        <w:tabs>
          <w:tab w:leader="none" w:pos="11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Rule 501(a)(1), (a)(2), (a)(3), (a)(7) 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w:t>
      </w:r>
    </w:p>
    <w:p>
      <w:pPr>
        <w:spacing w:after="0" w:line="86" w:lineRule="exact"/>
        <w:rPr>
          <w:rFonts w:ascii="Arial" w:cs="Arial" w:eastAsia="Arial" w:hAnsi="Arial"/>
          <w:sz w:val="18"/>
          <w:szCs w:val="18"/>
          <w:color w:val="auto"/>
        </w:rPr>
      </w:pPr>
    </w:p>
    <w:p>
      <w:pPr>
        <w:ind w:left="440" w:right="440" w:firstLine="419"/>
        <w:spacing w:after="0" w:line="277" w:lineRule="auto"/>
        <w:tabs>
          <w:tab w:leader="none" w:pos="11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62" w:lineRule="exact"/>
        <w:rPr>
          <w:rFonts w:ascii="Arial" w:cs="Arial" w:eastAsia="Arial" w:hAnsi="Arial"/>
          <w:sz w:val="18"/>
          <w:szCs w:val="18"/>
          <w:color w:val="auto"/>
        </w:rPr>
      </w:pPr>
    </w:p>
    <w:p>
      <w:pPr>
        <w:ind w:left="440" w:right="100" w:firstLine="419"/>
        <w:spacing w:after="0" w:line="270" w:lineRule="auto"/>
        <w:tabs>
          <w:tab w:leader="none" w:pos="1118"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or Written Testing-the-Waters Communication made in reliance upon and in conformity with the Underwriter Information; and</w:t>
      </w:r>
    </w:p>
    <w:p>
      <w:pPr>
        <w:spacing w:after="0" w:line="72" w:lineRule="exact"/>
        <w:rPr>
          <w:rFonts w:ascii="Arial" w:cs="Arial" w:eastAsia="Arial" w:hAnsi="Arial"/>
          <w:sz w:val="17"/>
          <w:szCs w:val="17"/>
          <w:color w:val="auto"/>
        </w:rPr>
      </w:pPr>
    </w:p>
    <w:p>
      <w:pPr>
        <w:ind w:left="440" w:right="40" w:firstLine="419"/>
        <w:spacing w:after="0" w:line="291" w:lineRule="auto"/>
        <w:tabs>
          <w:tab w:leader="none" w:pos="1108"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Underwriter represents and agrees that any Written Testing-the-Waters Communications undertaken by it were with entities that are qualified institutional buyers as defined in Rule 144A under the Act or institutions that are accredited investors as defined in Rule 501(a)(1), (a)</w:t>
      </w:r>
    </w:p>
    <w:p>
      <w:pPr>
        <w:ind w:left="440"/>
        <w:spacing w:after="0"/>
        <w:rPr>
          <w:rFonts w:ascii="Arial" w:cs="Arial" w:eastAsia="Arial" w:hAnsi="Arial"/>
          <w:sz w:val="16"/>
          <w:szCs w:val="16"/>
          <w:color w:val="auto"/>
        </w:rPr>
      </w:pPr>
      <w:r>
        <w:rPr>
          <w:rFonts w:ascii="Arial" w:cs="Arial" w:eastAsia="Arial" w:hAnsi="Arial"/>
          <w:sz w:val="18"/>
          <w:szCs w:val="18"/>
          <w:color w:val="auto"/>
        </w:rPr>
        <w:t>(2), (a)(3), (a)(7) or (a)(8) under the Act.</w:t>
      </w:r>
    </w:p>
    <w:p>
      <w:pPr>
        <w:spacing w:after="0" w:line="102" w:lineRule="exact"/>
        <w:rPr>
          <w:rFonts w:ascii="Arial" w:cs="Arial" w:eastAsia="Arial" w:hAnsi="Arial"/>
          <w:sz w:val="16"/>
          <w:szCs w:val="16"/>
          <w:color w:val="auto"/>
        </w:rPr>
      </w:pPr>
    </w:p>
    <w:p>
      <w:pPr>
        <w:ind w:right="180" w:firstLine="436"/>
        <w:spacing w:after="0" w:line="293"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Base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 w:name="page22"/>
    <w:bookmarkEnd w:id="21"/>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survey(s), up to a maximum of $2,500; (iv) any filing fees incident to, and the fees and disbursements of counsel for the Underwriters in connection with, any required reviews by FINRA of the terms of the sale of the Shares (provided that the maximum aggregate amount payable by the Company pursuant to clause (iii) and this clause (iv) for fees and disbursements of counsel to the Underwriters shall not together exceed $15,000); (v) the cost of preparing certificates for the Shares, if applicable; (vi) the cost and charges of any transfer agent or registrar or dividend disbursing agent; (vii) all fees and expenses in connection with listing the Shares on the Exchange; and (viii) all other costs and expenses incident to the performance of its obligations hereunder which are not otherwise specifically provided for in this Section, provided, however, that with respect to costs associated with the “road show” undertaken in connection with the marketing of the Shares,</w:t>
      </w:r>
    </w:p>
    <w:p>
      <w:pPr>
        <w:spacing w:after="0" w:line="6" w:lineRule="exact"/>
        <w:rPr>
          <w:sz w:val="20"/>
          <w:szCs w:val="20"/>
          <w:color w:val="auto"/>
        </w:rPr>
      </w:pPr>
    </w:p>
    <w:p>
      <w:pPr>
        <w:ind w:left="4" w:right="40" w:hanging="4"/>
        <w:spacing w:after="0" w:line="251" w:lineRule="auto"/>
        <w:tabs>
          <w:tab w:leader="none" w:pos="2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pay the costs relating to investor presentations, including, without limitation, expenses associated with the production of road show slides and graphics and fees and expenses of any consultants engaged in connection with the road show presentations, (B) the Company and the Underwriters shall each pay their respective lodging expenses in connection with attending such presentations or meetings and (C) the Company and the Underwriters shall each pay their respective travel expenses in connection with attending such presentations, except that ground transportation costs and the cost of any aircraft chartered in connection with the road show shall each be paid 50% by the Company and 50% by the Underwriters. It is understood, however, that, except as provided in this Section, and Sections 9 and 12 hereof, the Underwriters will pay all of their own costs and expenses, including the fees of their counsel, transfer taxes on resale of any of the Shares by them, and any advertising expenses connected with any offers they may make.</w:t>
      </w:r>
    </w:p>
    <w:p>
      <w:pPr>
        <w:spacing w:after="0" w:line="89" w:lineRule="exact"/>
        <w:rPr>
          <w:rFonts w:ascii="Arial" w:cs="Arial" w:eastAsia="Arial" w:hAnsi="Arial"/>
          <w:sz w:val="18"/>
          <w:szCs w:val="18"/>
          <w:color w:val="auto"/>
        </w:rPr>
      </w:pPr>
    </w:p>
    <w:p>
      <w:pPr>
        <w:jc w:val="both"/>
        <w:ind w:left="4" w:right="100" w:firstLine="436"/>
        <w:spacing w:after="0" w:line="259" w:lineRule="auto"/>
        <w:tabs>
          <w:tab w:leader="none" w:pos="6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8" w:lineRule="exact"/>
        <w:rPr>
          <w:rFonts w:ascii="Arial" w:cs="Arial" w:eastAsia="Arial" w:hAnsi="Arial"/>
          <w:sz w:val="18"/>
          <w:szCs w:val="18"/>
          <w:color w:val="auto"/>
        </w:rPr>
      </w:pPr>
    </w:p>
    <w:p>
      <w:pPr>
        <w:ind w:left="444" w:firstLine="419"/>
        <w:spacing w:after="0" w:line="270" w:lineRule="auto"/>
        <w:tabs>
          <w:tab w:leader="none" w:pos="1112" w:val="left"/>
        </w:tabs>
        <w:numPr>
          <w:ilvl w:val="2"/>
          <w:numId w:val="25"/>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72" w:lineRule="exact"/>
        <w:rPr>
          <w:rFonts w:ascii="Arial" w:cs="Arial" w:eastAsia="Arial" w:hAnsi="Arial"/>
          <w:sz w:val="17"/>
          <w:szCs w:val="17"/>
          <w:color w:val="auto"/>
        </w:rPr>
      </w:pPr>
    </w:p>
    <w:p>
      <w:pPr>
        <w:ind w:left="444" w:right="280" w:firstLine="419"/>
        <w:spacing w:after="0" w:line="286" w:lineRule="auto"/>
        <w:tabs>
          <w:tab w:leader="none" w:pos="1122" w:val="left"/>
        </w:tabs>
        <w:numPr>
          <w:ilvl w:val="2"/>
          <w:numId w:val="25"/>
        </w:numPr>
        <w:rPr>
          <w:rFonts w:ascii="Arial" w:cs="Arial" w:eastAsia="Arial" w:hAnsi="Arial"/>
          <w:sz w:val="17"/>
          <w:szCs w:val="17"/>
          <w:color w:val="auto"/>
        </w:rPr>
      </w:pPr>
      <w:r>
        <w:rPr>
          <w:rFonts w:ascii="Arial" w:cs="Arial" w:eastAsia="Arial" w:hAnsi="Arial"/>
          <w:sz w:val="17"/>
          <w:szCs w:val="17"/>
          <w:color w:val="auto"/>
        </w:rPr>
        <w:t>Davis Polk &amp; Wardwell LLP, counsel for the Underwriters, shall have furnished to you such written opinion or opinions, dated such Time of Delivery in form and substance satisfactory to you, with respect to such matters as you may reasonably request, and such counsel shall have received such papers and information as they may reasonably request to enable them to pass upon such matters;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22" w:name="page23"/>
    <w:bookmarkEnd w:id="22"/>
    <w:p>
      <w:pPr>
        <w:ind w:firstLine="419"/>
        <w:spacing w:after="0" w:line="277" w:lineRule="auto"/>
        <w:tabs>
          <w:tab w:leader="none" w:pos="668"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Cooley LLP, counsel for the Company, shall have furnished to you their written opinion and negative assurance letter, dated such Time of Delivery, in form and substance reasonably satisfactory to you;</w:t>
      </w:r>
    </w:p>
    <w:p>
      <w:pPr>
        <w:spacing w:after="0" w:line="62" w:lineRule="exact"/>
        <w:rPr>
          <w:rFonts w:ascii="Arial" w:cs="Arial" w:eastAsia="Arial" w:hAnsi="Arial"/>
          <w:sz w:val="18"/>
          <w:szCs w:val="18"/>
          <w:color w:val="auto"/>
        </w:rPr>
      </w:pPr>
    </w:p>
    <w:p>
      <w:pPr>
        <w:ind w:right="140" w:firstLine="419"/>
        <w:spacing w:after="0" w:line="342" w:lineRule="auto"/>
        <w:tabs>
          <w:tab w:leader="none" w:pos="6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of Jones Day and Fish &amp; Richardson P.C., intellectual property counsel for the Company, shall have furnished to you their written opinion with respect to certain intellectual property matters, dated such Time of Delivery, in form and substance reasonably satisfactory to you;</w:t>
      </w:r>
    </w:p>
    <w:p>
      <w:pPr>
        <w:spacing w:after="0" w:line="15" w:lineRule="exact"/>
        <w:rPr>
          <w:rFonts w:ascii="Arial" w:cs="Arial" w:eastAsia="Arial" w:hAnsi="Arial"/>
          <w:sz w:val="16"/>
          <w:szCs w:val="16"/>
          <w:color w:val="auto"/>
        </w:rPr>
      </w:pPr>
    </w:p>
    <w:p>
      <w:pPr>
        <w:jc w:val="both"/>
        <w:ind w:right="40" w:firstLine="419"/>
        <w:spacing w:after="0" w:line="259" w:lineRule="auto"/>
        <w:tabs>
          <w:tab w:leader="none" w:pos="6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78" w:lineRule="exact"/>
        <w:rPr>
          <w:rFonts w:ascii="Arial" w:cs="Arial" w:eastAsia="Arial" w:hAnsi="Arial"/>
          <w:sz w:val="18"/>
          <w:szCs w:val="18"/>
          <w:color w:val="auto"/>
        </w:rPr>
      </w:pPr>
    </w:p>
    <w:p>
      <w:pPr>
        <w:ind w:firstLine="419"/>
        <w:spacing w:after="0" w:line="286"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exercise or settlement (including any “net” or “cashless” exercise or settlements) of outstanding stock options or warrants, (B) the award of stock options in the ordinary course of business pursuant to the Company’s equity incentive plans that are described in the Pricing Prospectus or (C) the repurchase of stock from employees or consultants terminating their service to the Company)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62" w:lineRule="exact"/>
        <w:rPr>
          <w:rFonts w:ascii="Arial" w:cs="Arial" w:eastAsia="Arial" w:hAnsi="Arial"/>
          <w:sz w:val="16"/>
          <w:szCs w:val="16"/>
          <w:color w:val="auto"/>
        </w:rPr>
      </w:pPr>
    </w:p>
    <w:p>
      <w:pPr>
        <w:ind w:right="420" w:firstLine="419"/>
        <w:spacing w:after="0" w:line="279" w:lineRule="auto"/>
        <w:tabs>
          <w:tab w:leader="none" w:pos="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or after the Applicable Time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3" w:name="page24"/>
    <w:bookmarkEnd w:id="23"/>
    <w:p>
      <w:pPr>
        <w:ind w:left="4" w:firstLine="419"/>
        <w:spacing w:after="0" w:line="270" w:lineRule="auto"/>
        <w:tabs>
          <w:tab w:leader="none" w:pos="681" w:val="left"/>
        </w:tabs>
        <w:numPr>
          <w:ilvl w:val="1"/>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after the Applicable Time there shall not have occurred any of the following: (i) a suspension or material limitation in trading in securities generally on the New York Stock Exchange or on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sole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72" w:lineRule="exact"/>
        <w:rPr>
          <w:rFonts w:ascii="Arial" w:cs="Arial" w:eastAsia="Arial" w:hAnsi="Arial"/>
          <w:sz w:val="17"/>
          <w:szCs w:val="17"/>
          <w:color w:val="auto"/>
        </w:rPr>
      </w:pPr>
    </w:p>
    <w:p>
      <w:pPr>
        <w:ind w:left="4" w:right="280" w:firstLine="419"/>
        <w:spacing w:after="0" w:line="277"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Shares to be sold at each Time of Delivery shall have been duly listed for quotation on The Nasdaq Global Select Market, subject only to official notice of issuance;</w:t>
      </w:r>
    </w:p>
    <w:p>
      <w:pPr>
        <w:spacing w:after="0" w:line="62" w:lineRule="exact"/>
        <w:rPr>
          <w:rFonts w:ascii="Arial" w:cs="Arial" w:eastAsia="Arial" w:hAnsi="Arial"/>
          <w:sz w:val="18"/>
          <w:szCs w:val="18"/>
          <w:color w:val="auto"/>
        </w:rPr>
      </w:pPr>
    </w:p>
    <w:p>
      <w:pPr>
        <w:ind w:left="4" w:right="520" w:firstLine="419"/>
        <w:spacing w:after="0" w:line="263"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each of the Company’s directors and executive officers listed on Schedule III hereto, substantially to the effect set forth in Annex I hereto in form and substance satisfactory to you;</w:t>
      </w:r>
    </w:p>
    <w:p>
      <w:pPr>
        <w:spacing w:after="0" w:line="75" w:lineRule="exact"/>
        <w:rPr>
          <w:rFonts w:ascii="Arial" w:cs="Arial" w:eastAsia="Arial" w:hAnsi="Arial"/>
          <w:sz w:val="18"/>
          <w:szCs w:val="18"/>
          <w:color w:val="auto"/>
        </w:rPr>
      </w:pPr>
    </w:p>
    <w:p>
      <w:pPr>
        <w:ind w:left="4" w:right="140" w:firstLine="419"/>
        <w:spacing w:after="0" w:line="277" w:lineRule="auto"/>
        <w:tabs>
          <w:tab w:leader="none" w:pos="6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62" w:lineRule="exact"/>
        <w:rPr>
          <w:rFonts w:ascii="Arial" w:cs="Arial" w:eastAsia="Arial" w:hAnsi="Arial"/>
          <w:sz w:val="18"/>
          <w:szCs w:val="18"/>
          <w:color w:val="auto"/>
        </w:rPr>
      </w:pPr>
    </w:p>
    <w:p>
      <w:pPr>
        <w:ind w:left="4" w:right="100" w:firstLine="419"/>
        <w:spacing w:after="0" w:line="279" w:lineRule="auto"/>
        <w:tabs>
          <w:tab w:leader="none" w:pos="641"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63" w:lineRule="exact"/>
        <w:rPr>
          <w:rFonts w:ascii="Arial" w:cs="Arial" w:eastAsia="Arial" w:hAnsi="Arial"/>
          <w:sz w:val="17"/>
          <w:szCs w:val="17"/>
          <w:color w:val="auto"/>
        </w:rPr>
      </w:pPr>
    </w:p>
    <w:p>
      <w:pPr>
        <w:ind w:left="4" w:right="80" w:hanging="4"/>
        <w:spacing w:after="0" w:line="286" w:lineRule="auto"/>
        <w:tabs>
          <w:tab w:leader="none" w:pos="4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Base Prospectus,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0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24" w:name="page25"/>
    <w:bookmarkEnd w:id="24"/>
    <w:p>
      <w:pPr>
        <w:ind w:firstLine="419"/>
        <w:spacing w:after="0" w:line="285" w:lineRule="auto"/>
        <w:tabs>
          <w:tab w:leader="none" w:pos="678"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tenth, eleventh and twelfth paragraphs under the caption “Underwriting” beginning with the words “In connection with the offering . . . .”</w:t>
      </w:r>
    </w:p>
    <w:p>
      <w:pPr>
        <w:spacing w:after="0" w:line="68" w:lineRule="exact"/>
        <w:rPr>
          <w:rFonts w:ascii="Arial" w:cs="Arial" w:eastAsia="Arial" w:hAnsi="Arial"/>
          <w:sz w:val="16"/>
          <w:szCs w:val="16"/>
          <w:color w:val="auto"/>
        </w:rPr>
      </w:pPr>
    </w:p>
    <w:p>
      <w:pPr>
        <w:ind w:right="20" w:firstLine="419"/>
        <w:spacing w:after="0" w:line="267" w:lineRule="auto"/>
        <w:tabs>
          <w:tab w:leader="none" w:pos="6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24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5" w:name="page26"/>
    <w:bookmarkEnd w:id="25"/>
    <w:p>
      <w:pPr>
        <w:ind w:firstLine="419"/>
        <w:spacing w:after="0" w:line="284" w:lineRule="auto"/>
        <w:tabs>
          <w:tab w:leader="none" w:pos="678"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65" w:lineRule="exact"/>
        <w:rPr>
          <w:rFonts w:ascii="Arial" w:cs="Arial" w:eastAsia="Arial" w:hAnsi="Arial"/>
          <w:sz w:val="16"/>
          <w:szCs w:val="16"/>
          <w:color w:val="auto"/>
        </w:rPr>
      </w:pPr>
    </w:p>
    <w:p>
      <w:pPr>
        <w:ind w:right="60" w:firstLine="419"/>
        <w:spacing w:after="0" w:line="255" w:lineRule="auto"/>
        <w:tabs>
          <w:tab w:leader="none" w:pos="6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26" w:name="page27"/>
    <w:bookmarkEnd w:id="26"/>
    <w:p>
      <w:pPr>
        <w:ind w:left="420" w:hanging="4"/>
        <w:spacing w:after="0" w:line="269" w:lineRule="auto"/>
        <w:tabs>
          <w:tab w:leader="none" w:pos="825"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If any Underwriter shall default in its obligation to purchase the Shares which it has agreed to purchase hereunder,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73" w:lineRule="exact"/>
        <w:rPr>
          <w:rFonts w:ascii="Arial" w:cs="Arial" w:eastAsia="Arial" w:hAnsi="Arial"/>
          <w:sz w:val="17"/>
          <w:szCs w:val="17"/>
          <w:color w:val="auto"/>
        </w:rPr>
      </w:pPr>
    </w:p>
    <w:p>
      <w:pPr>
        <w:ind w:left="420" w:firstLine="419"/>
        <w:spacing w:after="0" w:line="272" w:lineRule="auto"/>
        <w:tabs>
          <w:tab w:leader="none" w:pos="109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of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69" w:lineRule="exact"/>
        <w:rPr>
          <w:rFonts w:ascii="Arial" w:cs="Arial" w:eastAsia="Arial" w:hAnsi="Arial"/>
          <w:sz w:val="17"/>
          <w:szCs w:val="17"/>
          <w:color w:val="auto"/>
        </w:rPr>
      </w:pPr>
    </w:p>
    <w:p>
      <w:pPr>
        <w:ind w:left="420" w:right="80" w:firstLine="419"/>
        <w:spacing w:after="0" w:line="271" w:lineRule="auto"/>
        <w:tabs>
          <w:tab w:leader="none" w:pos="1088"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70" w:lineRule="exact"/>
        <w:rPr>
          <w:rFonts w:ascii="Arial" w:cs="Arial" w:eastAsia="Arial" w:hAnsi="Arial"/>
          <w:sz w:val="17"/>
          <w:szCs w:val="17"/>
          <w:color w:val="auto"/>
        </w:rPr>
      </w:pPr>
    </w:p>
    <w:p>
      <w:pPr>
        <w:ind w:left="-20" w:right="60" w:firstLine="436"/>
        <w:spacing w:after="0" w:line="257" w:lineRule="auto"/>
        <w:tabs>
          <w:tab w:leader="none" w:pos="6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27" w:name="page28"/>
    <w:bookmarkEnd w:id="27"/>
    <w:p>
      <w:pPr>
        <w:ind w:right="80" w:firstLine="436"/>
        <w:spacing w:after="0" w:line="296" w:lineRule="auto"/>
        <w:tabs>
          <w:tab w:leader="none" w:pos="710"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reasonable and documented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53" w:lineRule="exact"/>
        <w:rPr>
          <w:rFonts w:ascii="Arial" w:cs="Arial" w:eastAsia="Arial" w:hAnsi="Arial"/>
          <w:sz w:val="16"/>
          <w:szCs w:val="16"/>
          <w:color w:val="auto"/>
        </w:rPr>
      </w:pPr>
    </w:p>
    <w:p>
      <w:pPr>
        <w:ind w:right="200" w:firstLine="436"/>
        <w:spacing w:after="0" w:line="277" w:lineRule="auto"/>
        <w:tabs>
          <w:tab w:leader="none" w:pos="7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w:t>
      </w:r>
    </w:p>
    <w:p>
      <w:pPr>
        <w:spacing w:after="0" w:line="62"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telex or facsimile transmission to the Representatives at Goldman Sachs &amp; Co. LLC, 200 West Street, New York, New York 10282-2198, Attention: Registration Department, Fax: 646-291-1469; at Citigroup Global Markets Inc., 388 Greenwich Street, New York, New York 10013, Attention: General Counsel; and at Cowen and Company, LLC, Attention: Head of Equity Capital Markets, Fax: 646-562-1249, with a copy to the General Counsel, Fax: 646-562-1124; and if to the Company shall be delivered or sent by mail, telex or facsimile transmission to the address of the Company set forth on the cover of the Registration Statement, Attention: Secretary; and if to any stockholder that has delivered a lock-up letter described in Section 8(j) hereof shall be delivered or sent by mail to his, her or its respective address as such stockholder provides in writing to the Company; provided, however, that any notice to an Underwriter pursuant to Section 9(c) hereof shall be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74"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41" w:lineRule="exact"/>
        <w:rPr>
          <w:sz w:val="20"/>
          <w:szCs w:val="20"/>
          <w:color w:val="auto"/>
        </w:rPr>
      </w:pPr>
    </w:p>
    <w:p>
      <w:pPr>
        <w:ind w:right="100" w:firstLine="436"/>
        <w:spacing w:after="0" w:line="257"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79" w:lineRule="exact"/>
        <w:rPr>
          <w:rFonts w:ascii="Arial" w:cs="Arial" w:eastAsia="Arial" w:hAnsi="Arial"/>
          <w:sz w:val="18"/>
          <w:szCs w:val="18"/>
          <w:color w:val="auto"/>
        </w:rPr>
      </w:pPr>
    </w:p>
    <w:p>
      <w:pPr>
        <w:ind w:right="120" w:firstLine="436"/>
        <w:spacing w:after="0" w:line="277"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62" w:lineRule="exact"/>
        <w:rPr>
          <w:rFonts w:ascii="Arial" w:cs="Arial" w:eastAsia="Arial" w:hAnsi="Arial"/>
          <w:sz w:val="18"/>
          <w:szCs w:val="18"/>
          <w:color w:val="auto"/>
        </w:rPr>
      </w:pPr>
    </w:p>
    <w:p>
      <w:pPr>
        <w:ind w:right="20" w:firstLine="436"/>
        <w:spacing w:after="0" w:line="301" w:lineRule="auto"/>
        <w:tabs>
          <w:tab w:leader="none" w:pos="7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8" w:name="page29"/>
    <w:bookmarkEnd w:id="2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84" w:lineRule="exact"/>
        <w:rPr>
          <w:sz w:val="20"/>
          <w:szCs w:val="20"/>
          <w:color w:val="auto"/>
        </w:rPr>
      </w:pPr>
    </w:p>
    <w:p>
      <w:pPr>
        <w:ind w:right="100" w:firstLine="436"/>
        <w:spacing w:after="0" w:line="277" w:lineRule="auto"/>
        <w:tabs>
          <w:tab w:leader="none" w:pos="7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62" w:lineRule="exact"/>
        <w:rPr>
          <w:rFonts w:ascii="Arial" w:cs="Arial" w:eastAsia="Arial" w:hAnsi="Arial"/>
          <w:sz w:val="18"/>
          <w:szCs w:val="18"/>
          <w:color w:val="auto"/>
        </w:rPr>
      </w:pPr>
    </w:p>
    <w:p>
      <w:pPr>
        <w:ind w:firstLine="436"/>
        <w:spacing w:after="0" w:line="296" w:lineRule="auto"/>
        <w:tabs>
          <w:tab w:leader="none" w:pos="7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53" w:lineRule="exact"/>
        <w:rPr>
          <w:rFonts w:ascii="Arial" w:cs="Arial" w:eastAsia="Arial" w:hAnsi="Arial"/>
          <w:sz w:val="16"/>
          <w:szCs w:val="16"/>
          <w:color w:val="auto"/>
        </w:rPr>
      </w:pPr>
    </w:p>
    <w:p>
      <w:pPr>
        <w:ind w:right="240" w:firstLine="436"/>
        <w:spacing w:after="0" w:line="277" w:lineRule="auto"/>
        <w:tabs>
          <w:tab w:leader="none" w:pos="7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62" w:lineRule="exact"/>
        <w:rPr>
          <w:rFonts w:ascii="Arial" w:cs="Arial" w:eastAsia="Arial" w:hAnsi="Arial"/>
          <w:sz w:val="18"/>
          <w:szCs w:val="18"/>
          <w:color w:val="auto"/>
        </w:rPr>
      </w:pPr>
    </w:p>
    <w:p>
      <w:pPr>
        <w:ind w:firstLine="436"/>
        <w:spacing w:after="0" w:line="275" w:lineRule="auto"/>
        <w:tabs>
          <w:tab w:leader="none" w:pos="71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U.S. federal and state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68" w:lineRule="exact"/>
        <w:rPr>
          <w:rFonts w:ascii="Arial" w:cs="Arial" w:eastAsia="Arial" w:hAnsi="Arial"/>
          <w:sz w:val="17"/>
          <w:szCs w:val="17"/>
          <w:color w:val="auto"/>
        </w:rPr>
      </w:pPr>
    </w:p>
    <w:p>
      <w:pPr>
        <w:ind w:right="40" w:firstLine="436"/>
        <w:spacing w:after="0" w:line="275" w:lineRule="auto"/>
        <w:tabs>
          <w:tab w:leader="none" w:pos="71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68" w:lineRule="exact"/>
        <w:rPr>
          <w:rFonts w:ascii="Arial" w:cs="Arial" w:eastAsia="Arial" w:hAnsi="Arial"/>
          <w:sz w:val="17"/>
          <w:szCs w:val="17"/>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117" w:lineRule="exact"/>
        <w:rPr>
          <w:rFonts w:ascii="Arial" w:cs="Arial" w:eastAsia="Arial" w:hAnsi="Arial"/>
          <w:sz w:val="18"/>
          <w:szCs w:val="18"/>
          <w:color w:val="auto"/>
        </w:rPr>
      </w:pPr>
    </w:p>
    <w:p>
      <w:pPr>
        <w:jc w:val="both"/>
        <w:ind w:left="440" w:right="80" w:firstLine="419"/>
        <w:spacing w:after="0" w:line="259" w:lineRule="auto"/>
        <w:tabs>
          <w:tab w:leader="none" w:pos="11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ind w:left="440" w:right="60" w:firstLine="419"/>
        <w:spacing w:after="0" w:line="259"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600" w:hanging="212"/>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to us six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NGM Biopharmaceuticals,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Siobhan Nolan Mangini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Wood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Bradley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Bradley Wolff</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Bill Follis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Optional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Firm Shares</w:t>
            </w: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Shares Which</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8260" w:type="dxa"/>
            <w:vAlign w:val="bottom"/>
            <w:vMerge w:val="restart"/>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 be</w:t>
            </w:r>
          </w:p>
        </w:tc>
        <w:tc>
          <w:tcPr>
            <w:tcW w:w="2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May be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826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5"/>
                <w:szCs w:val="15"/>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1,990,741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298,611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1,203,704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180,556</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925,926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138,889</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277,778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231,481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34,721</w:t>
            </w: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4,629,630</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2" w:name="page33"/>
    <w:bookmarkEnd w:id="32"/>
    <w:p>
      <w:pPr>
        <w:ind w:left="4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56" w:lineRule="exact"/>
        <w:rPr>
          <w:sz w:val="20"/>
          <w:szCs w:val="20"/>
          <w:color w:val="auto"/>
        </w:rPr>
      </w:pPr>
    </w:p>
    <w:p>
      <w:pPr>
        <w:ind w:left="444" w:right="3759" w:hanging="444"/>
        <w:spacing w:after="0" w:line="383" w:lineRule="auto"/>
        <w:tabs>
          <w:tab w:leader="none" w:pos="4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January 5, 2021</w:t>
      </w:r>
    </w:p>
    <w:p>
      <w:pPr>
        <w:ind w:left="444" w:right="5939" w:hanging="444"/>
        <w:spacing w:after="0" w:line="383" w:lineRule="auto"/>
        <w:tabs>
          <w:tab w:leader="none" w:pos="4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Documents Incorporated by Reference: None</w:t>
      </w:r>
    </w:p>
    <w:p>
      <w:pPr>
        <w:ind w:left="444" w:right="2959" w:hanging="444"/>
        <w:spacing w:after="0" w:line="375" w:lineRule="auto"/>
        <w:tabs>
          <w:tab w:leader="none" w:pos="4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initial public offering price per share for the Shares is $27.00</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number of Shares purchased by the Underwriters is 4,629,630.</w:t>
      </w:r>
    </w:p>
    <w:p>
      <w:pPr>
        <w:spacing w:after="0" w:line="130" w:lineRule="exact"/>
        <w:rPr>
          <w:rFonts w:ascii="Arial" w:cs="Arial" w:eastAsia="Arial" w:hAnsi="Arial"/>
          <w:sz w:val="18"/>
          <w:szCs w:val="18"/>
          <w:color w:val="auto"/>
        </w:rPr>
      </w:pPr>
    </w:p>
    <w:p>
      <w:pPr>
        <w:ind w:left="444" w:right="6319" w:hanging="444"/>
        <w:spacing w:after="0" w:line="402" w:lineRule="auto"/>
        <w:tabs>
          <w:tab w:leader="none" w:pos="4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Written Testing-the-Waters Communications: None</w:t>
      </w:r>
    </w:p>
    <w:p>
      <w:pPr>
        <w:sectPr>
          <w:pgSz w:w="11900" w:h="16838" w:orient="portrait"/>
          <w:cols w:equalWidth="0" w:num="1">
            <w:col w:w="10023"/>
          </w:cols>
          <w:pgMar w:left="436" w:top="270" w:right="1440" w:bottom="1440" w:gutter="0" w:footer="0" w:header="0"/>
        </w:sectPr>
      </w:pPr>
    </w:p>
    <w:bookmarkStart w:id="33" w:name="page34"/>
    <w:bookmarkEnd w:id="33"/>
    <w:p>
      <w:pPr>
        <w:jc w:val="right"/>
        <w:ind w:right="38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of Stockholder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David J. Woodhouse, Ph.D., Chief Executive Officer and Director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Jin-Long Chen, Ph.D., Chief Scientific Officer and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Carole Ho, M.D.,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J. Rieflin, Executive Chairman and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Schnell, M.D.,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V. Goeddel, Ph.D.,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Leschly,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McHenry T. Tichenor,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Shelly D. Guyer,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Suzanne Sawochka Hooper,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Siobhan Nolan Mangini,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Hsiao D. Lieu, M.D., Chief Medical Officer and Senior Vice President</w:t>
      </w:r>
    </w:p>
    <w:p>
      <w:pPr>
        <w:sectPr>
          <w:pgSz w:w="11900" w:h="16838" w:orient="portrait"/>
          <w:cols w:equalWidth="0" w:num="1">
            <w:col w:w="10019"/>
          </w:cols>
          <w:pgMar w:left="440" w:top="270"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 20__</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NGM Biopharmaceuticals, Inc.—Lock-Up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The undersigned understands that you, as representatives (the “Representatives”), propose to enter into an Underwriting Agreement (the “Underwriting Agreement”) on behalf of the several Underwriters to be named in Schedule I to such agreement (collectively, the “Underwriters”), with NGM Biopharmaceuticals, Inc., a Delaware corporation (the “Company”), providing for a public offering (the “Offering”) of the common stock, par value $0.001 per share, (the “Common Stock”) of the Company (the “Shares”) pursuant to a Registration Statement on Form S-3 (the “Registration Statement”) filed with the Securities and Exchange Commission (the “SEC”).</w:t>
      </w:r>
    </w:p>
    <w:p>
      <w:pPr>
        <w:spacing w:after="0" w:line="18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60 days after the date of the final prospectus covering the public offering of the Shares (the “Lock-Up Period”), the undersigned shall not, and shall not cause or direct any of its affiliates to, (i) offer, sell, contract to sell, pledge, grant any option to purchase, lend,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w:t>
      </w:r>
    </w:p>
    <w:p>
      <w:pPr>
        <w:sectPr>
          <w:pgSz w:w="11900" w:h="16838" w:orient="portrait"/>
          <w:cols w:equalWidth="0" w:num="1">
            <w:col w:w="11020"/>
          </w:cols>
          <w:pgMar w:left="440" w:top="270" w:right="439" w:bottom="1440" w:gutter="0" w:footer="0" w:header="0"/>
        </w:sectPr>
      </w:pPr>
    </w:p>
    <w:bookmarkStart w:id="35" w:name="page36"/>
    <w:bookmarkEnd w:id="35"/>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collectively, “Derivative Instruments”), including without limitation any such shares or Derivative Instruments, whether now owned or hereafter acquired, owned directly by the undersigned (including holding as a custodian) or with respect to which the undersigned has beneficial ownership within the rules and regulations of the SEC (collectively the “Undersigned’s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of the Company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w:t>
      </w:r>
    </w:p>
    <w:p>
      <w:pPr>
        <w:spacing w:after="0" w:line="5" w:lineRule="exact"/>
        <w:rPr>
          <w:sz w:val="20"/>
          <w:szCs w:val="20"/>
          <w:color w:val="auto"/>
        </w:rPr>
      </w:pPr>
    </w:p>
    <w:p>
      <w:pPr>
        <w:jc w:val="both"/>
        <w:ind w:left="4" w:right="80" w:hanging="4"/>
        <w:spacing w:after="0" w:line="253" w:lineRule="auto"/>
        <w:tabs>
          <w:tab w:leader="none" w:pos="2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offering.</w:t>
      </w:r>
    </w:p>
    <w:p>
      <w:pPr>
        <w:spacing w:after="0" w:line="193" w:lineRule="exact"/>
        <w:rPr>
          <w:sz w:val="20"/>
          <w:szCs w:val="20"/>
          <w:color w:val="auto"/>
        </w:rPr>
      </w:pPr>
    </w:p>
    <w:p>
      <w:pPr>
        <w:ind w:left="4" w:right="120" w:firstLine="991"/>
        <w:spacing w:after="0" w:line="279" w:lineRule="auto"/>
        <w:rPr>
          <w:sz w:val="20"/>
          <w:szCs w:val="20"/>
          <w:color w:val="auto"/>
        </w:rPr>
      </w:pPr>
      <w:r>
        <w:rPr>
          <w:rFonts w:ascii="Arial" w:cs="Arial" w:eastAsia="Arial" w:hAnsi="Arial"/>
          <w:sz w:val="17"/>
          <w:szCs w:val="17"/>
          <w:color w:val="auto"/>
        </w:rPr>
        <w:t>If the undersigned is not a natural person, the undersigned represents and warrants that no single natural person, entity or “group” (within the meaning of Section 13(d)(3) of the Securities Exchange Act of 1934, as amended),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Notwithstanding the foregoing, the undersigned may:</w:t>
      </w:r>
    </w:p>
    <w:p>
      <w:pPr>
        <w:spacing w:after="0" w:line="131"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the Undersigned’s Shares: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130" w:lineRule="exact"/>
        <w:rPr>
          <w:rFonts w:ascii="Arial" w:cs="Arial" w:eastAsia="Arial" w:hAnsi="Arial"/>
          <w:sz w:val="18"/>
          <w:szCs w:val="18"/>
          <w:color w:val="auto"/>
        </w:rPr>
      </w:pPr>
    </w:p>
    <w:p>
      <w:pPr>
        <w:jc w:val="both"/>
        <w:ind w:left="964" w:right="280" w:hanging="532"/>
        <w:spacing w:after="0" w:line="263" w:lineRule="auto"/>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to an immediate family member of the undersigned, or to any trust for the direct or indirect benefit of the undersigned or the immediate family of the undersigned, or if the undersigned is a trust, to any beneficiary (including such beneficiary’s estate) of the undersigned or otherwise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purposes,</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by will or under the laws of descent,</w:t>
      </w:r>
    </w:p>
    <w:p>
      <w:pPr>
        <w:spacing w:after="0" w:line="130" w:lineRule="exact"/>
        <w:rPr>
          <w:rFonts w:ascii="Arial" w:cs="Arial" w:eastAsia="Arial" w:hAnsi="Arial"/>
          <w:sz w:val="18"/>
          <w:szCs w:val="18"/>
          <w:color w:val="auto"/>
        </w:rPr>
      </w:pPr>
    </w:p>
    <w:p>
      <w:pPr>
        <w:ind w:left="964" w:hanging="532"/>
        <w:spacing w:after="0" w:line="311" w:lineRule="auto"/>
        <w:tabs>
          <w:tab w:leader="none" w:pos="9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affiliates (within the meaning set forth in Rule 405 promulgated by the SEC under the Securities Act of 1933, as amended, and including subsidiaries of the undersigned if the undersigned is a corporation), limited partners, general partners, limited liability company members or stockholders of the undersigned to the extent that the undersigned is a partnership, limited liability company or corporation,</w:t>
      </w:r>
    </w:p>
    <w:p>
      <w:pPr>
        <w:spacing w:after="0" w:line="54"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transfer pursuant to a bona fide third-party tender offer, merger, consolidation or other similar transaction made to all holders of the Shares involving a change in control of the Company,</w:t>
      </w:r>
    </w:p>
    <w:p>
      <w:pPr>
        <w:sectPr>
          <w:pgSz w:w="11900" w:h="16838" w:orient="portrait"/>
          <w:cols w:equalWidth="0" w:num="1">
            <w:col w:w="11004"/>
          </w:cols>
          <w:pgMar w:left="436" w:top="274" w:right="459" w:bottom="1440" w:gutter="0" w:footer="0" w:header="0"/>
        </w:sectPr>
      </w:pPr>
    </w:p>
    <w:bookmarkStart w:id="36" w:name="page37"/>
    <w:bookmarkEnd w:id="36"/>
    <w:p>
      <w:pPr>
        <w:ind w:left="964" w:hanging="532"/>
        <w:spacing w:after="0"/>
        <w:tabs>
          <w:tab w:leader="none" w:pos="964"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a sale of (a) any of the Undersigned’s Shares acquired in open market transactions after the Public Offering Date and,</w:t>
      </w:r>
    </w:p>
    <w:p>
      <w:pPr>
        <w:spacing w:after="0" w:line="46" w:lineRule="exact"/>
        <w:rPr>
          <w:rFonts w:ascii="Arial" w:cs="Arial" w:eastAsia="Arial" w:hAnsi="Arial"/>
          <w:sz w:val="16"/>
          <w:szCs w:val="16"/>
          <w:color w:val="auto"/>
        </w:rPr>
      </w:pPr>
    </w:p>
    <w:p>
      <w:pPr>
        <w:ind w:left="964" w:right="260"/>
        <w:spacing w:after="0" w:line="260" w:lineRule="auto"/>
        <w:rPr>
          <w:rFonts w:ascii="Arial" w:cs="Arial" w:eastAsia="Arial" w:hAnsi="Arial"/>
          <w:sz w:val="16"/>
          <w:szCs w:val="16"/>
          <w:color w:val="auto"/>
        </w:rPr>
      </w:pPr>
      <w:r>
        <w:rPr>
          <w:rFonts w:ascii="Arial" w:cs="Arial" w:eastAsia="Arial" w:hAnsi="Arial"/>
          <w:sz w:val="18"/>
          <w:szCs w:val="18"/>
          <w:color w:val="auto"/>
        </w:rPr>
        <w:t>(b) unless the undersigned is a director or officer of the Company, any Shares the undersigned may purchase in the Offering, whether or not issuer-directed,</w:t>
      </w:r>
    </w:p>
    <w:p>
      <w:pPr>
        <w:spacing w:after="0" w:line="90" w:lineRule="exact"/>
        <w:rPr>
          <w:rFonts w:ascii="Arial" w:cs="Arial" w:eastAsia="Arial" w:hAnsi="Arial"/>
          <w:sz w:val="16"/>
          <w:szCs w:val="16"/>
          <w:color w:val="auto"/>
        </w:rPr>
      </w:pPr>
    </w:p>
    <w:p>
      <w:pPr>
        <w:ind w:left="964" w:right="180" w:hanging="532"/>
        <w:spacing w:after="0" w:line="301" w:lineRule="auto"/>
        <w:tabs>
          <w:tab w:leader="none" w:pos="9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Company (a) as forfeitures to satisfy tax withholding and remittance obligations of the undersigned in connection with the vesting, settlement or exercise of equity awards granted pursuant to an employee benefit plan described in the Registration Statement, or (b) in connection with the repurchase of shares of Common Stock issued pursuant to an employee benefit plan described in the Registration Statement or pursuant to the agreements pursuant to which such shares were issued as disclosed in the Registration Statement,</w:t>
      </w:r>
    </w:p>
    <w:p>
      <w:pPr>
        <w:spacing w:after="0" w:line="62" w:lineRule="exact"/>
        <w:rPr>
          <w:rFonts w:ascii="Arial" w:cs="Arial" w:eastAsia="Arial" w:hAnsi="Arial"/>
          <w:sz w:val="16"/>
          <w:szCs w:val="16"/>
          <w:color w:val="auto"/>
        </w:rPr>
      </w:pPr>
    </w:p>
    <w:p>
      <w:pPr>
        <w:ind w:left="964" w:right="340" w:hanging="532"/>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pursuant to a trading plan established pursuant to Rule 10b5-1 under the Securities Exchange Act of 1934, as amended (the “Exchange Act”) that has been disclosed to the Representatives prior to the date hereof,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prior written consent of the Representatives on behalf of the Underwriters;</w:t>
      </w:r>
    </w:p>
    <w:p>
      <w:pPr>
        <w:spacing w:after="0" w:line="117" w:lineRule="exact"/>
        <w:rPr>
          <w:sz w:val="20"/>
          <w:szCs w:val="20"/>
          <w:color w:val="auto"/>
        </w:rPr>
      </w:pPr>
    </w:p>
    <w:p>
      <w:pPr>
        <w:jc w:val="both"/>
        <w:ind w:left="444" w:right="6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 (ii), (iii), (iv) and (v) above, it shall be a condition to the transfer that the donee, trustee, legatee, heir, distribute or other transferee, as the case may be, agrees to be bound in writing by the restrictions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(i), (ii),</w:t>
      </w:r>
    </w:p>
    <w:p>
      <w:pPr>
        <w:ind w:left="444" w:hanging="4"/>
        <w:spacing w:after="0" w:line="290" w:lineRule="auto"/>
        <w:tabs>
          <w:tab w:leader="none" w:pos="759"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and (iv) above, (a) no public announcement or filing under Section 16 of the Exchange Act shall be required or shall be voluntarily made during the Lock-up Period with respect to such transfers and (b) such transfers shall not involve a disposition for value; provided, further, that in the case of (vi) and (vii) above, no public announcement or filing under Section 16(a) of the Exchange Act) shall be required or shall be voluntarily made during the Lock-up Period with respect to such transfers;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(viii) above, that any public reports or filings, including filings under Sections 13 or 16 of the Exchange Act that shall be required to be made or voluntarily made shall clearly indicate in the footnotes that such sale was made pursuant to a trading plan established pursuant to Rule 10b5-1 under the Exchange Act; or</w:t>
      </w:r>
    </w:p>
    <w:p>
      <w:pPr>
        <w:spacing w:after="0" w:line="163" w:lineRule="exact"/>
        <w:rPr>
          <w:rFonts w:ascii="Arial" w:cs="Arial" w:eastAsia="Arial" w:hAnsi="Arial"/>
          <w:sz w:val="16"/>
          <w:szCs w:val="16"/>
          <w:color w:val="auto"/>
        </w:rPr>
      </w:pPr>
    </w:p>
    <w:p>
      <w:pPr>
        <w:ind w:left="4" w:right="40" w:hanging="4"/>
        <w:spacing w:after="0" w:line="287" w:lineRule="auto"/>
        <w:tabs>
          <w:tab w:leader="none" w:pos="25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exercise any stock options issued pursuant to the Company’s equity incentive plans or warrants (including, in each case, by way of net exercise, but for the avoidance of doubt, excluding all manners of exercise that would involve a sale of any securities relating to such options or warrants, whether to cover the applicable aggregate exercise price, withholding tax obligations or otherwise), which equity incentive plans and stock options or warrants are described in the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securities received upon such exercise will also be subject to this Lock-Up Agreement. For purposes of this Lock-Up Agreement, “immediate family” shall mean any relationship by blood, marriage or adoption, not more remote than first cousin. The undersigned now has, and, except as contemplated by clause (1) and (2)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 In addition, the undersigned agrees that, without the prior written consent of the Representatives on behalf of the Underwriters, it will not, during the Lock-Up Period, make any demand for or exercise any right with respect to, the registration of any shares of Common Stock or any security convertible into or exercisable or exchangeable for Common Stock.</w:t>
      </w:r>
    </w:p>
    <w:p>
      <w:pPr>
        <w:sectPr>
          <w:pgSz w:w="11900" w:h="16838" w:orient="portrait"/>
          <w:cols w:equalWidth="0" w:num="1">
            <w:col w:w="11004"/>
          </w:cols>
          <w:pgMar w:left="436" w:top="274" w:right="459" w:bottom="1440" w:gutter="0" w:footer="0" w:header="0"/>
        </w:sectPr>
      </w:pPr>
    </w:p>
    <w:bookmarkStart w:id="37" w:name="page38"/>
    <w:bookmarkEnd w:id="37"/>
    <w:p>
      <w:pPr>
        <w:ind w:right="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restrictions set forth in this Lock-Up Agreement shall not apply to the conversion of outstanding shares of preferred stock of the Company into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securities received upon such conversion will also be subject to this Lock-Up Agreement. In addition, nothing in this Lock-Up Agreement shall preclude the establishment of a new trading plan meeting the requirements of Rule 10b5-1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that (i) no public announcement or filing under Section 16(a) of the Exchange Act) regarding the establishment of such plan shall be required or shall be voluntarily made during the Lock-Up Period and (ii) no sales are made during the Lock-Up Period pursuant to such new plan.</w:t>
      </w:r>
    </w:p>
    <w:p>
      <w:pPr>
        <w:spacing w:after="0" w:line="192"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187"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It is understood that, if (i) the Company notifies the Representatives, in writing, prior to the execution of the Underwriting Agreement, that it does not intend to proceed with the proposed public offering of Common Stock, (ii) the Underwriting Agreement (other than the provisions thereof which survive termination) shall terminate or be terminated prior to payment for and delivery of the Shares to be sold thereunder, or (iii) the proposed public offering of Shares shall not have been completed by January 31, 2021, this Lock-Up Agreement shall immediately be terminated and the undersigned shall be released from all obligations under this Lock-Up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3686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2940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right"/>
        <w:ind w:right="1180"/>
        <w:spacing w:after="0"/>
        <w:rPr>
          <w:sz w:val="20"/>
          <w:szCs w:val="20"/>
          <w:color w:val="auto"/>
        </w:rPr>
      </w:pPr>
      <w:r>
        <w:rPr>
          <w:rFonts w:ascii="Arial" w:cs="Arial" w:eastAsia="Arial" w:hAnsi="Arial"/>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3686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368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580390</wp:posOffset>
            </wp:positionV>
            <wp:extent cx="33686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-504825</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291465</wp:posOffset>
            </wp:positionV>
            <wp:extent cx="3343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(please print complete name of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14605</wp:posOffset>
            </wp:positionV>
            <wp:extent cx="30003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(duly authorized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14605</wp:posOffset>
            </wp:positionV>
            <wp:extent cx="2863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(please print full name of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3343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3343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580390</wp:posOffset>
            </wp:positionV>
            <wp:extent cx="33432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ectPr>
          <w:pgSz w:w="11900" w:h="16838" w:orient="portrait"/>
          <w:cols w:equalWidth="0" w:num="2">
            <w:col w:w="5020" w:space="720"/>
            <w:col w:w="4320"/>
          </w:cols>
          <w:pgMar w:left="440" w:top="274" w:right="1399" w:bottom="1440" w:gutter="0" w:footer="0" w:header="0"/>
        </w:sectPr>
      </w:pPr>
    </w:p>
    <w:bookmarkStart w:id="39" w:name="page40"/>
    <w:bookmarkEnd w:id="39"/>
    <w:p>
      <w:pPr>
        <w:ind w:left="1006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1165860" cy="377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Carlton Fleming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+1 650 843 5865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cfleming@cooley.com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Oyster Point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have represented NGM Biopharmaceuticals,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offering by the Company of up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5,324,074 shares of the Company’s common stock, par value $0.001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694,444 Shares that may be sold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of an option to purchase additional shares, pursuant to a Registration Statement on Form S-3 (Registration Statement No.333-238991) (</w:t>
      </w:r>
      <w:r>
        <w:rPr>
          <w:rFonts w:ascii="Arial" w:cs="Arial" w:eastAsia="Arial" w:hAnsi="Arial"/>
          <w:sz w:val="16"/>
          <w:szCs w:val="16"/>
          <w:b w:val="1"/>
          <w:bCs w:val="1"/>
          <w:color w:val="auto"/>
        </w:rPr>
        <w:t>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b w:val="1"/>
          <w:bCs w:val="1"/>
          <w:color w:val="auto"/>
        </w:rPr>
        <w: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base prospectus included 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prospectus supplement relating to the Shares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Commission pursuant to Rule 424(b) under the Act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Amended and Restated Certificate of Incorporation and Amended and Restated Bylaws, each as currently in effect, and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in accordance with the Registration Statement and the Prospectus, will be validly issued, fully paid and nonassessable.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940"/>
          </w:cols>
          <w:pgMar w:left="440" w:top="121" w:right="5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337820</wp:posOffset>
            </wp:positionV>
            <wp:extent cx="116586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January 6,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Carlton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Carlton Fleming</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740"/>
          </w:cols>
          <w:pgMar w:left="440" w:top="1111" w:right="719" w:bottom="1440" w:gutter="0" w:footer="0" w:header="0"/>
        </w:sectPr>
      </w:pPr>
    </w:p>
    <w:bookmarkStart w:id="41" w:name="page42"/>
    <w:bookmarkEnd w:id="41"/>
    <w:p>
      <w:pPr>
        <w:ind w:left="100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Unless the context otherwise requires, the terms “NGM Biopharmaceuticals”, “NGM”, “we”, “us” and “our” in this Exhibit 99.1 refer to NGM Biopharmaceuticals, Inc. and its wholly-owned subsidiary, taken as a whole. This Exhibit 99.1 includes trademarks, service marks and trade names owned by us or other companies. All trademarks, service marks and trade names included in this Exhibit 99.1 are the property of their respective owners.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Exhibit 99.1 contains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82" w:lineRule="exact"/>
        <w:rPr>
          <w:sz w:val="20"/>
          <w:szCs w:val="20"/>
          <w:color w:val="auto"/>
        </w:rPr>
      </w:pPr>
    </w:p>
    <w:p>
      <w:pPr>
        <w:ind w:left="960" w:right="2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the initiation of, enrollment in, availability of data for and other events related to such trials;</w:t>
      </w:r>
    </w:p>
    <w:p>
      <w:pPr>
        <w:spacing w:after="0" w:line="75"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aldafermin (NGM282), MK-3655 (NGM313), NGM621, NGM120, NGM707, NGM438 and any of our future product candidates, and any related restrictions, limitations and/or warnings in the label of an approved product candidate;</w:t>
      </w:r>
    </w:p>
    <w:p>
      <w:pPr>
        <w:spacing w:after="0" w:line="89"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non-alcoholic steatohepatitis, or NASH, patients with moderate to advanced fibrosis;</w:t>
      </w:r>
    </w:p>
    <w:p>
      <w:pPr>
        <w:spacing w:after="0" w:line="75" w:lineRule="exact"/>
        <w:rPr>
          <w:rFonts w:ascii="Arial" w:cs="Arial" w:eastAsia="Arial" w:hAnsi="Arial"/>
          <w:sz w:val="18"/>
          <w:szCs w:val="18"/>
          <w:color w:val="auto"/>
        </w:rPr>
      </w:pPr>
    </w:p>
    <w:p>
      <w:pPr>
        <w:ind w:left="960" w:right="480" w:hanging="424"/>
        <w:spacing w:after="0" w:line="342" w:lineRule="auto"/>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potential roles of immunoglobulin-like transcript 2, or ILT2, immunoglobulin-like transcript 4, or ILT4, and leukocyte-associated immunoglobulin-like receptor 1, or LAIR1, in cancer and the potential consequences of ILT2, ILT4 and LAIR1 blockade;</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belief that MK-3655 (NGM313) may have the potential to be a treatment for NASH patients with early to moderate fibrosis;</w:t>
      </w:r>
    </w:p>
    <w:p>
      <w:pPr>
        <w:spacing w:after="0" w:line="130"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 our research collaboration, product development and license agreement, or the Collaboration Agreement, with Merck Sharp &amp; Dohme Corp., or Merck, and the possibility that Merck will decide to exercise its option to license certain programs upon our completion of a proof-of-concept study in humans;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potential commercialization of aldafermin, MK-3655 (NGM313), NGM621, NGM120, NGM707, NGM438 or any other future approved product;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as well as the reimbursement coverage for our product candidates;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ectPr>
          <w:pgSz w:w="11900" w:h="16838" w:orient="portrait"/>
          <w:cols w:equalWidth="0" w:num="1">
            <w:col w:w="11020"/>
          </w:cols>
          <w:pgMar w:left="440" w:top="121" w:right="439" w:bottom="1440" w:gutter="0" w:footer="0" w:header="0"/>
        </w:sectPr>
      </w:pPr>
    </w:p>
    <w:bookmarkStart w:id="42" w:name="page43"/>
    <w:bookmarkEnd w:id="42"/>
    <w:p>
      <w:pPr>
        <w:ind w:left="960" w:right="40" w:hanging="424"/>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expectations regarding the period during which we qualify as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protect and enforce intellectual property protection for our product candidates.</w:t>
      </w: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below. Also, these forward-looking statements represent our estimates and assumptions only as of the date of this Exhibit 99.1.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We qualify all of the forward-looking statements in this Exhibit 99.1 by these cautionary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following risks, as well as the other information contained in our most recent Annual Report on Form 10-K, our most recent Quarterly Report on Form 10-Q, and in our updated business overview summary provided below,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every year since our inception, expect to incur significant and increasing operating losses and may never be profitable.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is a highly speculative investment.</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For the three and nine months ended September 30, 2020, our net losses were $29.8 million and $74.5 million, respectively, compared to net losses of $10.9 million and $26.9 million for the three and nine months ended September 30, 2019, respectively. As of September 30, 2020, we had an accumulated deficit of $270.6 million.</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aldafermin program that is being conducted outside of the Merck collaboration,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If our research and development expenses for product candidates subject to the Merck collaboration exceed the funding caps provided in our Collaboration</w:t>
      </w:r>
    </w:p>
    <w:p>
      <w:pPr>
        <w:sectPr>
          <w:pgSz w:w="11900" w:h="16838" w:orient="portrait"/>
          <w:cols w:equalWidth="0" w:num="1">
            <w:col w:w="11000"/>
          </w:cols>
          <w:pgMar w:left="440" w:top="274" w:right="459" w:bottom="1440" w:gutter="0" w:footer="0" w:header="0"/>
        </w:sectPr>
      </w:pPr>
    </w:p>
    <w:bookmarkStart w:id="43" w:name="page44"/>
    <w:bookmarkEnd w:id="43"/>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which happened in the fiscal year ended December 31, 2020 and could potentially happen in the future, we will be required to devote our own financial resources toward the development of such product candidates or pause or suspend such development to remain within the funding caps. We expect to incur substantial and increasing operating losses over the next several years as our research, development, manufacturing, preclinical studies, clinical trial and related activities increase. As a result, our accumulated deficit will also increase significantly.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and our ability to continue to generate revenue under the Merck collaboration and to generate revenue outside of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Since 2017, all of our revenue has been from our collaboration partner, Merck. Under the collaboration, Merck initially committed to reimburse us for research and development activities up to $50.0 million per year for at least five years. If our research and development expenses exceed $50.0 million in a given year and we are conducting investigational new drug application-, or IND-, 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In March 2019, Merck exercised its option to extend the initial five-year research and early development program, which we refer to as the research phase of the collaboration, for an additional two years through March 16, 2022. In connection with this extension, Merck agreed to continue to fund our research and development efforts during the extension at the same levels as existed during the five-year initial term and, in lieu of a $20.0 million extension fee that would have otherwise been payable to us, Merck agreed to make additional payments totaling up to $20.0 million in support of our research and development program activities under the collaboration across 2021 and the first quarter of 2022. Accordingly, the total Merck reimbursement for our research and development activities could reach up to $75.0 million per year through the current two-year extension of the research phase of the collaboration, plus up to $20.0 million in support of our research and development activities across 2021 and the first quarter of 2022. During the fiscal years ended December 31, 2019 and 2020, the total Merck reimbursement reached $75.0 million per year. Merck has the right to extend the research phase of the collaboration again through March 16, 2024. If our research and development expenses for product candidates subject to the Merck collaboration exceed the funding caps provided in our Collaboration Agreement, which happened in the fiscal year ended December 31, 2020 and could potentially happen in the future, we will be required to devote our own financial resources toward the development of such product candidates or pause or suspend such development to remain within the funding caps. For example, in 2020 we decided to suspend activities related to NGM386, NGM395 and NGM217 to concentrate our resources on our other Merck collaboration product candidates and aldafermin. In addition, if Merck elects not to exercise its remaining option to extend the research phase of the collaboration beyond March 16, 2022, which Merck may unilaterally elect to do at its sole discretion at any time before March 16, 2021,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delay, scale back or discontinue development of such product candidates.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product candidates are in the early stages of development. To date, we have not generated any revenue from commercialization of our product candidates. We will not be able to generate product revenue unless and until one of our product candidates successfully completes clinical trials, receives</w:t>
      </w:r>
    </w:p>
    <w:p>
      <w:pPr>
        <w:sectPr>
          <w:pgSz w:w="11900" w:h="16838" w:orient="portrait"/>
          <w:cols w:equalWidth="0" w:num="1">
            <w:col w:w="11000"/>
          </w:cols>
          <w:pgMar w:left="440" w:top="274" w:right="45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regulatory approval and is successfully commercialized. As our product candidates are in Phase 2 trials or in earlier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ability to generate future product revenue from our current or future product candidates also depends on a number of additional factors, including our or our current collaborator’s and potential future collaborators’ ability to:</w:t>
      </w:r>
    </w:p>
    <w:p>
      <w:pPr>
        <w:spacing w:after="0" w:line="76" w:lineRule="exact"/>
        <w:rPr>
          <w:sz w:val="20"/>
          <w:szCs w:val="20"/>
          <w:color w:val="auto"/>
        </w:rPr>
      </w:pPr>
    </w:p>
    <w:p>
      <w:pPr>
        <w:ind w:left="960" w:hanging="42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75" w:lineRule="exact"/>
        <w:rPr>
          <w:rFonts w:ascii="Arial" w:cs="Arial" w:eastAsia="Arial" w:hAnsi="Arial"/>
          <w:sz w:val="18"/>
          <w:szCs w:val="18"/>
          <w:color w:val="auto"/>
        </w:rPr>
      </w:pPr>
    </w:p>
    <w:p>
      <w:pPr>
        <w:ind w:left="960" w:right="280" w:hanging="424"/>
        <w:spacing w:after="0" w:line="308" w:lineRule="auto"/>
        <w:tabs>
          <w:tab w:leader="none" w:pos="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51" w:lineRule="exact"/>
        <w:rPr>
          <w:rFonts w:ascii="Arial" w:cs="Arial" w:eastAsia="Arial" w:hAnsi="Arial"/>
          <w:sz w:val="17"/>
          <w:szCs w:val="17"/>
          <w:color w:val="auto"/>
        </w:rPr>
      </w:pPr>
    </w:p>
    <w:p>
      <w:pPr>
        <w:ind w:left="960" w:right="700" w:hanging="424"/>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obtain coverage and adequate product reimbursement from third-party payors, including government payors, for any approved products;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applicable endpoints in clinical trials, we are unable to predict if or when we will achieve or maintain profitability. Even if we successfully complete development and regulatory processes, we anticipate incurring significant costs associated with launching and commercializing these products.</w:t>
      </w:r>
    </w:p>
    <w:p>
      <w:pPr>
        <w:spacing w:after="0" w:line="18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we may be unable to continue our operations at planned levels and be forced to reduce or cease our operations.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current product candidates or develop new product candidates.</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inception and we will require additional capital to finance our operations and pursue our strategy, which may not be available to us on acceptable terms, or at all. We expect our research and development expenses to increase substantially in connection with our ongoing activities, particularly to the extent that product candidates whose costs are not included in the Merck collaboration, such as aldafermin, advance in clinical development. In addition, we may be required to develop and implement additional clinical study policies and procedures to mitigate the evolving effects of the COVID-19 pandemic, which could significantly increase our research and development expenses. We believe that our existing cash, cash equivalents and short-term marketable securities, together with the anticipated net proceeds from our recently-announced public offering of common stock, will be sufficient to fund our operations for at least the next twelve months. We plan to continue to fund our operations and pursue our strategy through the Sales Agreement or other public or private equity or debt financings, government or other third-party funding, collaborations, strategic alliances, licensing arrangements or a combination of these. However,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ectPr>
          <w:pgSz w:w="11900" w:h="16838" w:orient="portrait"/>
          <w:cols w:equalWidth="0" w:num="1">
            <w:col w:w="11000"/>
          </w:cols>
          <w:pgMar w:left="440" w:top="274" w:right="459" w:bottom="1440" w:gutter="0" w:footer="0" w:header="0"/>
        </w:sectPr>
      </w:pPr>
    </w:p>
    <w:bookmarkStart w:id="45" w:name="page46"/>
    <w:bookmarkEnd w:id="4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based this estimate on assumptions that may prove to be wrong, and we could utilize our available capital resources sooner than we currently expect.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960" w:right="10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product candidates and any future product candidates we may develop;</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75" w:lineRule="exact"/>
        <w:rPr>
          <w:rFonts w:ascii="Arial" w:cs="Arial" w:eastAsia="Arial" w:hAnsi="Arial"/>
          <w:sz w:val="18"/>
          <w:szCs w:val="18"/>
          <w:color w:val="auto"/>
        </w:rPr>
      </w:pPr>
    </w:p>
    <w:p>
      <w:pPr>
        <w:ind w:left="960" w:right="700" w:hanging="424"/>
        <w:spacing w:after="0" w:line="342" w:lineRule="auto"/>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Merck terminates the research phase of the collaboration under pre-specified circumstances set forth in the Collaboration Agreement or terminates a program that it has licensed (such as Merck’s termination of its license for NGM395 and NGM386);</w:t>
      </w:r>
    </w:p>
    <w:p>
      <w:pPr>
        <w:spacing w:after="0" w:line="29" w:lineRule="exact"/>
        <w:rPr>
          <w:rFonts w:ascii="Arial" w:cs="Arial" w:eastAsia="Arial" w:hAnsi="Arial"/>
          <w:sz w:val="16"/>
          <w:szCs w:val="16"/>
          <w:color w:val="auto"/>
        </w:rPr>
      </w:pPr>
    </w:p>
    <w:p>
      <w:pPr>
        <w:ind w:left="960" w:right="4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the collaboration, which would trigger an extension payment to us;</w:t>
      </w:r>
    </w:p>
    <w:p>
      <w:pPr>
        <w:spacing w:after="0" w:line="75" w:lineRule="exact"/>
        <w:rPr>
          <w:rFonts w:ascii="Arial" w:cs="Arial" w:eastAsia="Arial" w:hAnsi="Arial"/>
          <w:sz w:val="18"/>
          <w:szCs w:val="18"/>
          <w:color w:val="auto"/>
        </w:rPr>
      </w:pPr>
    </w:p>
    <w:p>
      <w:pPr>
        <w:ind w:left="960" w:right="100" w:hanging="424"/>
        <w:spacing w:after="0" w:line="25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we exceed the funding caps provided in our Collaboration Agreement, which happened in the fiscal year ended December 31, 2020 and could potentially happen in the future, which would require us to devote our own financial resources toward the development of programs and product candidates subject to the Merck collaboration during the current two-year extension of the research phase (and during a second extension should Merck unilaterally determine to trigger a second extension) or delay, scale back or discontinue such development to remain within the funding caps;</w:t>
      </w:r>
    </w:p>
    <w:p>
      <w:pPr>
        <w:spacing w:after="0" w:line="93" w:lineRule="exact"/>
        <w:rPr>
          <w:rFonts w:ascii="Arial" w:cs="Arial" w:eastAsia="Arial" w:hAnsi="Arial"/>
          <w:sz w:val="18"/>
          <w:szCs w:val="18"/>
          <w:color w:val="auto"/>
        </w:rPr>
      </w:pPr>
    </w:p>
    <w:p>
      <w:pPr>
        <w:ind w:left="960" w:right="220" w:hanging="424"/>
        <w:spacing w:after="0" w:line="286"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U.S. Food and Drug Administration, or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70" w:lineRule="exact"/>
        <w:rPr>
          <w:rFonts w:ascii="Arial" w:cs="Arial" w:eastAsia="Arial" w:hAnsi="Arial"/>
          <w:sz w:val="17"/>
          <w:szCs w:val="17"/>
          <w:color w:val="auto"/>
        </w:rPr>
      </w:pPr>
    </w:p>
    <w:p>
      <w:pPr>
        <w:ind w:left="960" w:hanging="424"/>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 including product pricing and product reimbursement by third-party payors;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unilaterally terminated by Merck under certain circumstances.</w:t>
      </w:r>
    </w:p>
    <w:p>
      <w:pPr>
        <w:sectPr>
          <w:pgSz w:w="11900" w:h="16838" w:orient="portrait"/>
          <w:cols w:equalWidth="0" w:num="1">
            <w:col w:w="11000"/>
          </w:cols>
          <w:pgMar w:left="440" w:top="274" w:right="459" w:bottom="1440" w:gutter="0" w:footer="0" w:header="0"/>
        </w:sectPr>
      </w:pPr>
    </w:p>
    <w:bookmarkStart w:id="46" w:name="page47"/>
    <w:bookmarkEnd w:id="4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plan to finance our future cash needs through the Sales Agreement or other public or private equity or debt offerings, government or other third-party funding, product collaborations, strategic alliances, licensing arrangements or a combination of these. Additional capital may not be available in sufficient amounts, on reasonable terms or when we need it, if at all, including pursuant to the Sales Agreement,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Our existing stockholders could suffer dilution or be negatively affected by fixed payment obligations we may incur if we raise additional funds through the issuance of additional equity securities or debt, including equity securities already sold and that may in the future be sold pursuant to the Sales Agreement as well as the equity securities to be sold in connection with our recently-announced public offering of common stock.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8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If we are unable to raise adequate additional capital, including pursuant to the Sales Agreement, we may not be able to expand our operations or otherwise capitalize on our business opportunities, our business and financial condition will be negatively impacted, and we may need to:</w:t>
      </w:r>
    </w:p>
    <w:p>
      <w:pPr>
        <w:spacing w:after="0" w:line="29" w:lineRule="exact"/>
        <w:rPr>
          <w:sz w:val="20"/>
          <w:szCs w:val="20"/>
          <w:color w:val="auto"/>
        </w:rPr>
      </w:pPr>
    </w:p>
    <w:p>
      <w:pPr>
        <w:ind w:left="960" w:right="380" w:hanging="424"/>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75"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at an earlier stage than we would otherwise desire or on terms less favorable than might otherwise be available; or</w:t>
      </w:r>
    </w:p>
    <w:p>
      <w:pPr>
        <w:spacing w:after="0" w:line="75"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seek to develop or commercialize ourselves, and we may not be able to enter into such agreements on acceptable terms, if at all.</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Accordingly, if we are unable to raise adequate additional capital, we may be prevented from pursuing development and commercialization efforts, which will have a material adverse effect on our business, operating results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deductibility of such federal net operating losses generated in tax years beginning after December 31, 2020, is limited to 80% of taxable income. It is uncertain if and to what extent various states will conform to the 2017 Tax Act or the CARES Act.</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or the IPO, and subsequent shifts in our stock ownership, we have experienced ownership changes in the past and may experience ownership changes in the future as a result of our recently-announced public offering of our common stock and other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Any such limitations may result in greater tax liabilities than we would incur in the absence of such limitations and any increased liabilities could adversely affect our business, results of operations, financial position and cash flows.</w:t>
      </w:r>
    </w:p>
    <w:p>
      <w:pPr>
        <w:sectPr>
          <w:pgSz w:w="11900" w:h="16838" w:orient="portrait"/>
          <w:cols w:equalWidth="0" w:num="1">
            <w:col w:w="11000"/>
          </w:cols>
          <w:pgMar w:left="440" w:top="274" w:right="4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Risks Related to Our Business and Industry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17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All of our product candidates will be subject to rigorous and extensive clinical trials before we can seek regulatory approval from the FDA and comparable foreign regulatory authorities. Clinical trials may be delayed, suspended or terminated at any time for reasons including:</w:t>
      </w:r>
    </w:p>
    <w:p>
      <w:pPr>
        <w:spacing w:after="0" w:line="52" w:lineRule="exact"/>
        <w:rPr>
          <w:sz w:val="20"/>
          <w:szCs w:val="20"/>
          <w:color w:val="auto"/>
        </w:rPr>
      </w:pPr>
    </w:p>
    <w:p>
      <w:pPr>
        <w:ind w:left="960" w:right="68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including discussions with the FDA regarding initiation of our planned Phase 3 trial of aldafermin;</w:t>
      </w:r>
    </w:p>
    <w:p>
      <w:pPr>
        <w:spacing w:after="0" w:line="75"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IRBs, or other governing entities at clinical trial sites selected for participation in our clinical trials;</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slower pace of enrollment we have experienced, from time to time, in our ALPINE 4 and CATALINA trials, including as a result of the evolving effects of the COVID-19 pandemic;</w:t>
      </w:r>
    </w:p>
    <w:p>
      <w:pPr>
        <w:spacing w:after="0" w:line="75" w:lineRule="exact"/>
        <w:rPr>
          <w:rFonts w:ascii="Arial" w:cs="Arial" w:eastAsia="Arial" w:hAnsi="Arial"/>
          <w:sz w:val="18"/>
          <w:szCs w:val="18"/>
          <w:color w:val="auto"/>
        </w:rPr>
      </w:pPr>
    </w:p>
    <w:p>
      <w:pPr>
        <w:ind w:left="960" w:right="20" w:hanging="424"/>
        <w:spacing w:after="0" w:line="308" w:lineRule="auto"/>
        <w:tabs>
          <w:tab w:leader="none" w:pos="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delays in key trial activities and patient enrollment or diversion of healthcare resources as a result of the evolving effects of the COVID-19 pandemic, such as the slower pace of clinical trial site initiation in our ALPINE 4, CATALINA and NGM120 trials;</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30" w:lineRule="exact"/>
        <w:rPr>
          <w:rFonts w:ascii="Arial" w:cs="Arial" w:eastAsia="Arial" w:hAnsi="Arial"/>
          <w:sz w:val="18"/>
          <w:szCs w:val="18"/>
          <w:color w:val="auto"/>
        </w:rPr>
      </w:pPr>
    </w:p>
    <w:p>
      <w:pPr>
        <w:jc w:val="both"/>
        <w:ind w:left="960" w:hanging="424"/>
        <w:spacing w:after="0" w:line="311"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or EMA, that issued in 2018;</w:t>
      </w:r>
    </w:p>
    <w:p>
      <w:pPr>
        <w:spacing w:after="0" w:line="54" w:lineRule="exact"/>
        <w:rPr>
          <w:rFonts w:ascii="Arial" w:cs="Arial" w:eastAsia="Arial" w:hAnsi="Arial"/>
          <w:sz w:val="16"/>
          <w:szCs w:val="16"/>
          <w:color w:val="auto"/>
        </w:rPr>
      </w:pPr>
    </w:p>
    <w:p>
      <w:pPr>
        <w:ind w:left="960" w:right="10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w:t>
      </w:r>
    </w:p>
    <w:p>
      <w:pPr>
        <w:spacing w:after="0" w:line="75"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successfully conduct clinical trials supporting the necessary regulatory approvals, we will not be able to generate product revenue and may not become profitable.</w:t>
      </w:r>
    </w:p>
    <w:p>
      <w:pPr>
        <w:sectPr>
          <w:pgSz w:w="11900" w:h="16838" w:orient="portrait"/>
          <w:cols w:equalWidth="0" w:num="1">
            <w:col w:w="10980"/>
          </w:cols>
          <w:pgMar w:left="440" w:top="270" w:right="479" w:bottom="1440" w:gutter="0" w:footer="0" w:header="0"/>
        </w:sectPr>
      </w:pPr>
    </w:p>
    <w:bookmarkStart w:id="48" w:name="page49"/>
    <w:bookmarkEnd w:id="48"/>
    <w:p>
      <w:pPr>
        <w:ind w:right="4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MK-3655 (NGM313), NGM621 and NGM120 and in preclinical studies for our other product candidates, including NGM707 and NGM438, future clinical trials in humans may show that one or more of our product candidates are not safe and effective, in which event we may need to abandon development of such product candidates. It is impossible to predict when or if any of our product candidates will prove safe and effective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For example, the results we obtained in our Phase 1 trials of aldafermin and in our completed Phase 2 trial, including the data from the fourth and final 24-week expansion cohort of that trial in patients with fibrosis stage F2 or F3 NASH, may not be indicative of the future results we obtain from our ongoing ALPINE 2/3 and ALPINE 4 trials and any Phase 3 trial.</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Some of our clinical trials involve small patient populations, sometimes at single sites, and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ectPr>
          <w:pgSz w:w="11900" w:h="16838" w:orient="portrait"/>
          <w:cols w:equalWidth="0" w:num="1">
            <w:col w:w="11000"/>
          </w:cols>
          <w:pgMar w:left="440" w:top="274" w:right="459" w:bottom="1440" w:gutter="0" w:footer="0" w:header="0"/>
        </w:sectPr>
      </w:pPr>
    </w:p>
    <w:bookmarkStart w:id="49" w:name="page50"/>
    <w:bookmarkEnd w:id="49"/>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continue to experience delays in clinical testing, we will be delayed in commercializing our product candidates, our costs may increase and our business may be harmed.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Conducting clinical trials for any of our product candidates for approval in the United States requires filing an IND application and reaching agreement with the FDA on clinical protocols, finding appropriate clinical trial sites and clinical investigators, securing approvals for such studies from the IRB for each such site, manufacturing clinical quantities of product candidates and supplying drug product to clinical trial sites. Currently, we have regulatory approval to conduct clinical trials in the United States for aldafermin for the treatment of NASH and primary biliary cholangitis, or PBC, for NGM621 for the treatment of GA secondary to AMD and for systemic administration and for NGM120 for treatment of solid tumors and pancreatic cancer. We also have regulatory approval to conduct clinical trials in Australia for aldafermin for the treatment of NASH and for NGM395 for the treatment of metabolic syndrome. More recently, we obtained regulatory approval to conduct clinical trials in Germany, Spain, France, the United Kingdom, Belgium and Poland for aldafermin for the treatment of NASH.</w:t>
      </w:r>
    </w:p>
    <w:p>
      <w:pPr>
        <w:spacing w:after="0" w:line="17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For example, we have experienced, from time to time, a slower pace of clinical trial site initiation and enrollment than originally anticipated in certain of our clinical trials, including the ALPINE 4, CATALINA and NGM120 trials, as a result of the evolving effects of the COVID-19 pandemic, and if the evolving effects of the COVID-19 pandemic become more severe, we could experience significant disruptions to our clinical development timelines, which would adversely affect our business, financial condition, results of operations and growth prospects. In any event, we do not know whether any of our clinical trials will begin as planned, will need to be restructured or will be completed on schedule, or at all. 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failure to successfully complete clinical development include:</w:t>
      </w:r>
    </w:p>
    <w:p>
      <w:pPr>
        <w:spacing w:after="0" w:line="84" w:lineRule="exact"/>
        <w:rPr>
          <w:sz w:val="20"/>
          <w:szCs w:val="20"/>
          <w:color w:val="auto"/>
        </w:rPr>
      </w:pPr>
    </w:p>
    <w:p>
      <w:pPr>
        <w:ind w:left="960" w:hanging="424"/>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clinical research organizations, or CROs, and clinical trial sites;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FDA comments on ongoing clinical trials and potential regulatory holds imposed if such comments are not adequately addressed;</w:t>
      </w:r>
    </w:p>
    <w:p>
      <w:pPr>
        <w:spacing w:after="0" w:line="142" w:lineRule="exact"/>
        <w:rPr>
          <w:rFonts w:ascii="Arial" w:cs="Arial" w:eastAsia="Arial" w:hAnsi="Arial"/>
          <w:sz w:val="17"/>
          <w:szCs w:val="17"/>
          <w:color w:val="auto"/>
        </w:rPr>
      </w:pPr>
    </w:p>
    <w:p>
      <w:pPr>
        <w:ind w:left="960" w:right="480" w:hanging="42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delays in the testing, validation, manufacturing and delivery to clinical trial sites of the product candidates or other study materials;</w:t>
      </w:r>
    </w:p>
    <w:p>
      <w:pPr>
        <w:spacing w:after="0" w:line="142" w:lineRule="exact"/>
        <w:rPr>
          <w:rFonts w:ascii="Arial" w:cs="Arial" w:eastAsia="Arial" w:hAnsi="Arial"/>
          <w:sz w:val="17"/>
          <w:szCs w:val="17"/>
          <w:color w:val="auto"/>
        </w:rPr>
      </w:pPr>
    </w:p>
    <w:p>
      <w:pPr>
        <w:ind w:left="960" w:right="600" w:hanging="42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key trial activities, clinical trial site initiation and patient enrollment or diversion of healthcare resources as a result of the evolving effects of the COVID-19 pandemic;</w:t>
      </w:r>
    </w:p>
    <w:p>
      <w:pPr>
        <w:sectPr>
          <w:pgSz w:w="11900" w:h="16838" w:orient="portrait"/>
          <w:cols w:equalWidth="0" w:num="1">
            <w:col w:w="11000"/>
          </w:cols>
          <w:pgMar w:left="440" w:top="274" w:right="459" w:bottom="1440" w:gutter="0" w:footer="0" w:header="0"/>
        </w:sectPr>
      </w:pPr>
    </w:p>
    <w:bookmarkStart w:id="50" w:name="page51"/>
    <w:bookmarkEnd w:id="50"/>
    <w:p>
      <w:pPr>
        <w:ind w:left="960" w:right="200" w:hanging="424"/>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75"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patient enrollment, such as the slower pace of enrollment we have experienced, from time to time, in our ALPINE 4 and CATALINA trials, including as a result of the evolving effects of the COVID-19 pandemic;</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30"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disease progression or concerns about the COVID-19 pandemic;</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130"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89"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size and nature of the patient population we enroll;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and location of clinical trial sites;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behaviors or other factors related to COVID-19;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competition with other companies for clinical trial sites or patients;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30" w:lineRule="exact"/>
        <w:rPr>
          <w:rFonts w:ascii="Arial" w:cs="Arial" w:eastAsia="Arial" w:hAnsi="Arial"/>
          <w:sz w:val="18"/>
          <w:szCs w:val="18"/>
          <w:color w:val="auto"/>
        </w:rPr>
      </w:pPr>
    </w:p>
    <w:p>
      <w:pPr>
        <w:ind w:left="960" w:right="340" w:hanging="424"/>
        <w:spacing w:after="0" w:line="308"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particular, there is significant competition for recruiting NASH patients in clinical trials. In the first quarter of 2020, we announced that enrollment in our ALPINE 2/3 clinical trial of aldafermin had been delayed beyond our initial projections. In addition, clinical trial enrollment generally continues to be affected by the effects of the COVID-19 pandemic, including in our ongoing ALPINE 4 and CATALINA trials, including due to delays in additional clinical trial site initiation, suspension of enrollment at clinical trial sites or patient reluctance to participate in a clinical trial during quarantines or shelter-in-place orders or otherwise, particularly in medically vulnerable patient populations. We or our partners may be unable to enroll the patients we need to complete clinical trials on a timely basis, or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w:t>
      </w:r>
    </w:p>
    <w:p>
      <w:pPr>
        <w:sectPr>
          <w:pgSz w:w="11900" w:h="16838" w:orient="portrait"/>
          <w:cols w:equalWidth="0" w:num="1">
            <w:col w:w="10960"/>
          </w:cols>
          <w:pgMar w:left="440" w:top="274" w:right="499" w:bottom="1440" w:gutter="0" w:footer="0" w:header="0"/>
        </w:sectPr>
      </w:pPr>
    </w:p>
    <w:bookmarkStart w:id="51" w:name="page52"/>
    <w:bookmarkEnd w:id="51"/>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89" w:lineRule="exact"/>
        <w:rPr>
          <w:sz w:val="20"/>
          <w:szCs w:val="20"/>
          <w:color w:val="auto"/>
        </w:rPr>
      </w:pPr>
    </w:p>
    <w:p>
      <w:pPr>
        <w:ind w:left="960" w:right="820" w:hanging="424"/>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 relevant protein or antibody therapeutics or potential product candidates;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30" w:lineRule="exact"/>
        <w:rPr>
          <w:rFonts w:ascii="Arial" w:cs="Arial" w:eastAsia="Arial" w:hAnsi="Arial"/>
          <w:sz w:val="18"/>
          <w:szCs w:val="18"/>
          <w:color w:val="auto"/>
        </w:rPr>
      </w:pPr>
    </w:p>
    <w:p>
      <w:pPr>
        <w:ind w:left="960" w:right="580" w:hanging="424"/>
        <w:spacing w:after="0" w:line="308" w:lineRule="auto"/>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51" w:lineRule="exact"/>
        <w:rPr>
          <w:rFonts w:ascii="Arial" w:cs="Arial" w:eastAsia="Arial" w:hAnsi="Arial"/>
          <w:sz w:val="17"/>
          <w:szCs w:val="17"/>
          <w:color w:val="auto"/>
        </w:rPr>
      </w:pPr>
    </w:p>
    <w:p>
      <w:pPr>
        <w:ind w:left="960" w:right="140" w:hanging="424"/>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7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have suspended activities related to NGM386 and NGM217, and will be suspending activities related to NGM395 after the ongoing Phase 1 trial is completed, in all cases to concentrate our resources on our other product candidates. We may focus our efforts and resources on potential programs or product candidates that ultimately prove to be unsuccessful.</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92" w:lineRule="exact"/>
        <w:rPr>
          <w:sz w:val="20"/>
          <w:szCs w:val="20"/>
          <w:color w:val="auto"/>
        </w:rPr>
      </w:pPr>
    </w:p>
    <w:p>
      <w:pPr>
        <w:ind w:left="960" w:right="400" w:hanging="424"/>
        <w:spacing w:after="0" w:line="296"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66" w:lineRule="exact"/>
        <w:rPr>
          <w:rFonts w:ascii="Arial" w:cs="Arial" w:eastAsia="Arial" w:hAnsi="Arial"/>
          <w:sz w:val="16"/>
          <w:szCs w:val="16"/>
          <w:color w:val="auto"/>
        </w:rPr>
      </w:pPr>
    </w:p>
    <w:p>
      <w:pPr>
        <w:ind w:left="960" w:hanging="424"/>
        <w:spacing w:after="0"/>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third-party manufacturer of a product candidate subject to our collaboration with Merck may fail to qualify upon an audit by Merck;</w:t>
      </w:r>
    </w:p>
    <w:p>
      <w:pPr>
        <w:spacing w:after="0" w:line="142" w:lineRule="exact"/>
        <w:rPr>
          <w:rFonts w:ascii="Arial" w:cs="Arial" w:eastAsia="Arial" w:hAnsi="Arial"/>
          <w:sz w:val="17"/>
          <w:szCs w:val="17"/>
          <w:color w:val="auto"/>
        </w:rPr>
      </w:pPr>
    </w:p>
    <w:p>
      <w:pPr>
        <w:jc w:val="both"/>
        <w:ind w:left="960" w:right="340" w:hanging="424"/>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including as a result of the evolving effects of the COVID-19 pandemic, natural disasters, power failures, local political unrest and numerous other factors; and</w:t>
      </w:r>
    </w:p>
    <w:p>
      <w:pPr>
        <w:spacing w:after="0" w:line="89" w:lineRule="exact"/>
        <w:rPr>
          <w:rFonts w:ascii="Arial" w:cs="Arial" w:eastAsia="Arial" w:hAnsi="Arial"/>
          <w:sz w:val="18"/>
          <w:szCs w:val="18"/>
          <w:color w:val="auto"/>
        </w:rPr>
      </w:pPr>
    </w:p>
    <w:p>
      <w:pPr>
        <w:ind w:left="960" w:right="200" w:hanging="424"/>
        <w:spacing w:after="0" w:line="279"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undertake costly remediation efforts or seek costlier manufacturing alternatives.</w:t>
      </w:r>
    </w:p>
    <w:p>
      <w:pPr>
        <w:sectPr>
          <w:pgSz w:w="11900" w:h="16838" w:orient="portrait"/>
          <w:cols w:equalWidth="0" w:num="1">
            <w:col w:w="11000"/>
          </w:cols>
          <w:pgMar w:left="440" w:top="274" w:right="459" w:bottom="1440" w:gutter="0" w:footer="0" w:header="0"/>
        </w:sectPr>
      </w:pPr>
    </w:p>
    <w:bookmarkStart w:id="52" w:name="page53"/>
    <w:bookmarkEnd w:id="52"/>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also have a single source of supply for most of our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If one of our suppliers fails or refuses to supply us for any reason, it would take a significant amount of time and cost to implement and execute the necessary technology transfer to, and to qualify, a new supplier. The FDA or comparable foreign regulatory authority must approve manufacturers of drug substance and drug product. If there are any delays in qualifying new suppliers or facilities or a new supplier is unable to meet the requirements of the FDA or comparable foreign regulatory authority for approval, there could be a shortage of drug substance or drug product for use in clinical trials with respect to the affected product candidates.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operations of our third-party manufacturers may be requisitioned, diverted or allocated by U.S. or foreign government orders such as under emergency, disaster and civil defense declarations in connection with the COVID-19 pandemic or otherwise. As an example, President Trump has invoked the Defense Production Act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Specifically, we have entered into a Development and Manufacturing Services Agreement with Lonza Sales AG, or Lonza, for the production of Phase 3 and commercial supplies of the aldafermin drug substance. If Lonza or our drug product manufacturer are not able to provide us with sufficient quantities of aldafermin for our clinical trials on a timely basis, or at all, whether due to production shortages or other supply delays or interruptions resulting from the ongoing COVID-19 pandemic or otherwise, our clinical trials or regulatory approval may be delayed. In this regard,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Refer also to the risk factor entitled “Our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ectPr>
          <w:pgSz w:w="11900" w:h="16838" w:orient="portrait"/>
          <w:cols w:equalWidth="0" w:num="1">
            <w:col w:w="11000"/>
          </w:cols>
          <w:pgMar w:left="440" w:top="274" w:right="459" w:bottom="1440" w:gutter="0" w:footer="0" w:header="0"/>
        </w:sectPr>
      </w:pPr>
    </w:p>
    <w:bookmarkStart w:id="53" w:name="page54"/>
    <w:bookmarkEnd w:id="5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or PSC, intervertebral discitis, rectal bleeding and post-biopsy bleeding. Serious adverse events, or SAEs, reported in our ongoing Phase 2 trials with aldafermin include gallbladder injury due to biopsy, suicide attempt and bronchogenic cyst, and no SAEs were deemed by investigators to be related to the treatment with aldafermin. In our completed Phase 1 and Phase 1b clinical trials of MK-3655 (NGM313), there were two reported SAEs in the MK-3655 (NGM313) treatment arms: cholecystitis and rectal bleeding due to hemorrhoids, both of which were deemed by the investigators to be unrelated to treatment with MK-3655 (NGM313). In our completed Phase 1 clinical trial of NGM120, there were two reported SAEs in the NGM120 treatment arms: renal colic and bipolar disorder, both of which were deemed by the investigators to be unrelated to treatment with NGM120. In our ongoing Phase 1a/1b trial of NGM120 evaluating NGM120 as a monotherapy in patients with select advanced tumors and in combination with two chemotherapeutic agents in patients with metastatic pancreatic cancer, there have been a number of SAEs, including sepsis, neutropenia, pulmonary embolism, pleural effusion, non-cardiac chest pain, renal failure, acute kidney injury and encephalopathy, none of which were deemed related to treatment with NGM120 after medical safety review. In our completed Phase 1 and ongoing Phase 2 clinical trials of NGM621, there have been no reported SAEs deemed related to treatment with NGM621.</w:t>
      </w:r>
    </w:p>
    <w:p>
      <w:pPr>
        <w:spacing w:after="0" w:line="3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Significant increases in serum levels of low-density lipoprotein, or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We have not observed any significant changes in LDL cholesterol with aldafermin in trials we have conducted in patients with cholestatic liver disease, such as PBC and PSC.</w:t>
      </w:r>
    </w:p>
    <w:p>
      <w:pPr>
        <w:spacing w:after="0" w:line="15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Protein and antibody therapeutics can sometimes induce host immune responses that can cause the production of anti-drug-antibodies, or ADA. Our product candidates, including aldafermin, which is an engineered variant of the human hormone fibroblast growth factor 19, or FGF19, protein, are protein and antibody therapeutics. In some instances, certain ADA called neutralizing antibodies can neutralize the therapeutic effects of the treatment. ADA can also sometimes cross react with substances naturally occurring in a subject’s body (in the case of aldafermin, FGF19), which can cause unintended effects, including potential impacts on efficacy and, in rare cases, even adverse events. One subject in a Phase 2</w:t>
      </w:r>
    </w:p>
    <w:p>
      <w:pPr>
        <w:sectPr>
          <w:pgSz w:w="11900" w:h="16838" w:orient="portrait"/>
          <w:cols w:equalWidth="0" w:num="1">
            <w:col w:w="10980"/>
          </w:cols>
          <w:pgMar w:left="440" w:top="274" w:right="479" w:bottom="1440" w:gutter="0" w:footer="0" w:header="0"/>
        </w:sectPr>
      </w:pPr>
    </w:p>
    <w:bookmarkStart w:id="54" w:name="page55"/>
    <w:bookmarkEnd w:id="54"/>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clinical trial investigating aldafermin as an intervention for type 2 diabetes developed ADA against aldafermin; however, this patient did not demonstrate any biochemical or clinically relevant safety concerns while in the study, and we have not identified any safety concerns while monitoring the subject following the study. In the Phase 2 PBC extension clinical trial of aldafermin, 18 of the 36 subjects tested positive for aldafermin-specific ADA at one or more time points using a preliminary assay. Six of these 36 subjects tested positive for neutralizing antibodies using an assay that was subsequently validated, of which two subjects developed antibodies that appeared to cross-react with their naturally occurring FGF19. These subjects have not demonstrated any biochemical or clinically relevant safety signals that were different from observations in subjects that did not generate ADA against aldafermin. We are developing an assay to measure the presence of ADA against aldafermin for our ongoing NASH program, which will need to be evaluated by regulatory agencies. The subjects who were found to develop ADA in both the type 2 diabetic and PBC populations may not be predictive of future test results in NASH patients due to differences in disease setting, study design, dose regimen and the use of a different ADA assay. If we are required to do substantial additional testing as a result of the detection of high amounts of ADA in subjects using aldafermin or any other product candidate, the costs of our clinical trials may increase.</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or ADA that have negative effects or other unexpected characteristics. In such an event, we may need to suspend or terminate our trials or the FDA or comparable foreign regulatory authorities could order us to cease clinical trials or deny approval of our product candidates for any or all targeted indications. Drug-related side effects could affect patient recruitment, the ability of enrolled subjects to complete the trial or result in potential product liability claims. Any of these occurrences could materially and adversely affect our business, financial condition and prospects.</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Aldafermin is an engineered variant of the human hormone FGF19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ectPr>
          <w:pgSz w:w="11900" w:h="16838" w:orient="portrait"/>
          <w:cols w:equalWidth="0" w:num="1">
            <w:col w:w="11000"/>
          </w:cols>
          <w:pgMar w:left="440" w:top="274" w:right="459" w:bottom="1440" w:gutter="0" w:footer="0" w:header="0"/>
        </w:sectPr>
      </w:pPr>
    </w:p>
    <w:bookmarkStart w:id="55" w:name="page56"/>
    <w:bookmarkEnd w:id="55"/>
    <w:p>
      <w:pPr>
        <w:ind w:right="3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no experience in sales, marketing and distribution and may have to enter into agreements with third parties to perform these functions, which could prevent us from successfully commercializing our product candidates.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select or capitalize on the most scientifically, clinically and commercially promising or profitable product candidates.</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activities related to NGM386, NGM395, NGM621 administered systemically and NGM217 to concentrate our resources on our other product candidates, may also be incorrect and could cause us to miss valuable opportunities.</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1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w:t>
      </w:r>
    </w:p>
    <w:p>
      <w:pPr>
        <w:spacing w:after="0" w:line="1"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ectPr>
          <w:pgSz w:w="11900" w:h="16838" w:orient="portrait"/>
          <w:cols w:equalWidth="0" w:num="1">
            <w:col w:w="11000"/>
          </w:cols>
          <w:pgMar w:left="440" w:top="274" w:right="459" w:bottom="1440" w:gutter="0" w:footer="0" w:header="0"/>
        </w:sectPr>
      </w:pPr>
    </w:p>
    <w:bookmarkStart w:id="56" w:name="page57"/>
    <w:bookmarkEnd w:id="56"/>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Any agreements we have or may enter into with third parties, such as collaboration, license, supplier, manufacturing, sponsored research, CRO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ectPr>
          <w:pgSz w:w="11900" w:h="16838" w:orient="portrait"/>
          <w:cols w:equalWidth="0" w:num="1">
            <w:col w:w="11000"/>
          </w:cols>
          <w:pgMar w:left="440" w:top="274" w:right="459" w:bottom="1440" w:gutter="0" w:footer="0" w:header="0"/>
        </w:sectPr>
      </w:pPr>
    </w:p>
    <w:bookmarkStart w:id="57" w:name="page58"/>
    <w:bookmarkEnd w:id="57"/>
    <w:p>
      <w:pPr>
        <w:ind w:right="16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face substantial competition, which may result in others discovering, developing or commercializing products before or more successfully than us.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Inc., or Amgen, Apellis, Ascletis, Axcella, Bird Rock, Can-Fite, Cirius, Enanta, Galectin, Galmed, Gilead, Glympse, Immuron, Intercept, Inventiva, Iveric, Madrigal, MannKind, MediciNova, Metacrine, Mirum,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ectPr>
          <w:pgSz w:w="11900" w:h="16838" w:orient="portrait"/>
          <w:cols w:equalWidth="0" w:num="1">
            <w:col w:w="10980"/>
          </w:cols>
          <w:pgMar w:left="440" w:top="274" w:right="479" w:bottom="1440" w:gutter="0" w:footer="0" w:header="0"/>
        </w:sectPr>
      </w:pPr>
    </w:p>
    <w:bookmarkStart w:id="58" w:name="page59"/>
    <w:bookmarkEnd w:id="5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aldafermin or MK-3655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a PEGylated FGF21 analog, from Bristol-Myers Squibb; AKR-001, an Fc conjugated FGF21 analog, from Akero; FXR agonists from Metacrine; FXR agonists from Novartis; a beta-thyroid hormone receptor agonist from Viking; semaglutide, a GLP-1 analog, from Novo Nordisk; and lanifibranor, a pan-PPAR agonist from Inventiva. The foregoing competitive risks apply to aldafermin, any variants of aldafermin, including the second-generation, half-life extended version of FGF19 we are currently developing, and MK-3655 (NGM313).</w:t>
      </w:r>
    </w:p>
    <w:p>
      <w:pPr>
        <w:spacing w:after="0" w:line="1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54" w:lineRule="exact"/>
        <w:rPr>
          <w:sz w:val="20"/>
          <w:szCs w:val="20"/>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 parties and government authorities as described below;</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9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w:t>
      </w:r>
    </w:p>
    <w:p>
      <w:pPr>
        <w:sectPr>
          <w:pgSz w:w="11900" w:h="16838" w:orient="portrait"/>
          <w:cols w:equalWidth="0" w:num="1">
            <w:col w:w="11000"/>
          </w:cols>
          <w:pgMar w:left="440" w:top="274" w:right="459" w:bottom="1440" w:gutter="0" w:footer="0" w:header="0"/>
        </w:sectPr>
      </w:pPr>
    </w:p>
    <w:bookmarkStart w:id="59" w:name="page60"/>
    <w:bookmarkEnd w:id="59"/>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or, collectively, the ACA, was enacted, which includes measures that have significantly changed the way health care is financed by both governmental and private insurers. There remain executive, judicial and congressional challenges to certain aspects of the ACA.</w:t>
      </w:r>
    </w:p>
    <w:p>
      <w:pPr>
        <w:sectPr>
          <w:pgSz w:w="11900" w:h="16838" w:orient="portrait"/>
          <w:cols w:equalWidth="0" w:num="1">
            <w:col w:w="10980"/>
          </w:cols>
          <w:pgMar w:left="440" w:top="274" w:right="479" w:bottom="1440" w:gutter="0" w:footer="0" w:header="0"/>
        </w:sectPr>
      </w:pPr>
    </w:p>
    <w:bookmarkStart w:id="60" w:name="page61"/>
    <w:bookmarkEnd w:id="6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The Supreme Court of the United States is currently reviewing this case, although it is unclear when a decision will be made. It is also unclear how such litigation and other efforts to challenge, repeal, or replace the ACA will impact the ACA or our business.</w:t>
      </w:r>
    </w:p>
    <w:p>
      <w:pPr>
        <w:spacing w:after="0" w:line="16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2030 unless Congress takes additional action.</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Recently, there has also been increasing executive, legislative and enforcement interest in the United States with respect to drug pricing practices. There have been several recent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6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5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cannot predict the likelihood, nature or extent of healthcare reform initiatives that may arise from future legislation or administrative action, particularly as a result of the recent presidential election.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ectPr>
          <w:pgSz w:w="11900" w:h="16838" w:orient="portrait"/>
          <w:cols w:equalWidth="0" w:num="1">
            <w:col w:w="11000"/>
          </w:cols>
          <w:pgMar w:left="440" w:top="274" w:right="459" w:bottom="1440" w:gutter="0" w:footer="0" w:header="0"/>
        </w:sectPr>
      </w:pPr>
    </w:p>
    <w:bookmarkStart w:id="61" w:name="page62"/>
    <w:bookmarkEnd w:id="61"/>
    <w:p>
      <w:pPr>
        <w:ind w:left="960" w:right="80" w:hanging="424"/>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multiple, conflicting and changing laws and regulations, such as privacy regulations, tax laws, export and import restrictions, employment laws, regulatory requirements and other governmental approvals, permits and licenses;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30"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30"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5"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 and</w:t>
      </w:r>
    </w:p>
    <w:p>
      <w:pPr>
        <w:spacing w:after="0" w:line="89" w:lineRule="exact"/>
        <w:rPr>
          <w:rFonts w:ascii="Arial" w:cs="Arial" w:eastAsia="Arial" w:hAnsi="Arial"/>
          <w:sz w:val="18"/>
          <w:szCs w:val="18"/>
          <w:color w:val="auto"/>
        </w:rPr>
      </w:pPr>
    </w:p>
    <w:p>
      <w:pPr>
        <w:jc w:val="both"/>
        <w:ind w:left="960" w:right="100" w:hanging="424"/>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3" w:lineRule="exact"/>
        <w:rPr>
          <w:sz w:val="20"/>
          <w:szCs w:val="20"/>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w:t>
      </w:r>
    </w:p>
    <w:p>
      <w:pPr>
        <w:sectPr>
          <w:pgSz w:w="11900" w:h="16838" w:orient="portrait"/>
          <w:cols w:equalWidth="0" w:num="1">
            <w:col w:w="11000"/>
          </w:cols>
          <w:pgMar w:left="440" w:top="274" w:right="459" w:bottom="1440" w:gutter="0" w:footer="0" w:header="0"/>
        </w:sectPr>
      </w:pPr>
    </w:p>
    <w:bookmarkStart w:id="62" w:name="page63"/>
    <w:bookmarkEnd w:id="62"/>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61"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82" w:lineRule="exact"/>
        <w:rPr>
          <w:sz w:val="20"/>
          <w:szCs w:val="20"/>
          <w:color w:val="auto"/>
        </w:rPr>
      </w:pPr>
    </w:p>
    <w:p>
      <w:pPr>
        <w:ind w:left="960" w:right="200" w:hanging="424"/>
        <w:spacing w:after="0" w:line="301"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62" w:lineRule="exact"/>
        <w:rPr>
          <w:rFonts w:ascii="Arial" w:cs="Arial" w:eastAsia="Arial" w:hAnsi="Arial"/>
          <w:sz w:val="16"/>
          <w:szCs w:val="16"/>
          <w:color w:val="auto"/>
        </w:rPr>
      </w:pPr>
    </w:p>
    <w:p>
      <w:pPr>
        <w:ind w:left="960" w:right="80" w:hanging="424"/>
        <w:spacing w:after="0" w:line="311"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4" w:lineRule="exact"/>
        <w:rPr>
          <w:rFonts w:ascii="Arial" w:cs="Arial" w:eastAsia="Arial" w:hAnsi="Arial"/>
          <w:sz w:val="16"/>
          <w:szCs w:val="16"/>
          <w:color w:val="auto"/>
        </w:rPr>
      </w:pPr>
    </w:p>
    <w:p>
      <w:pPr>
        <w:ind w:left="960" w:right="100" w:hanging="424"/>
        <w:spacing w:after="0" w:line="259"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2" w:lineRule="exact"/>
        <w:rPr>
          <w:rFonts w:ascii="Arial" w:cs="Arial" w:eastAsia="Arial" w:hAnsi="Arial"/>
          <w:sz w:val="18"/>
          <w:szCs w:val="18"/>
          <w:color w:val="auto"/>
        </w:rPr>
      </w:pPr>
    </w:p>
    <w:p>
      <w:pPr>
        <w:ind w:left="960" w:right="40" w:hanging="424"/>
        <w:spacing w:after="0" w:line="25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ectPr>
          <w:pgSz w:w="11900" w:h="16838" w:orient="portrait"/>
          <w:cols w:equalWidth="0" w:num="1">
            <w:col w:w="11000"/>
          </w:cols>
          <w:pgMar w:left="440" w:top="274" w:right="459" w:bottom="1440" w:gutter="0" w:footer="0" w:header="0"/>
        </w:sectPr>
      </w:pPr>
    </w:p>
    <w:bookmarkStart w:id="63" w:name="page64"/>
    <w:bookmarkEnd w:id="63"/>
    <w:p>
      <w:pPr>
        <w:ind w:left="960" w:hanging="424"/>
        <w:spacing w:after="0" w:line="270" w:lineRule="auto"/>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relationships with physician assistants, nurse practitioners, anesthesiologist assistants, clinical nurse specialists, certified registered nurse anesthetists and certified nurse midwives during the previous year; and</w:t>
      </w:r>
    </w:p>
    <w:p>
      <w:pPr>
        <w:spacing w:after="0" w:line="86" w:lineRule="exact"/>
        <w:rPr>
          <w:rFonts w:ascii="Arial" w:cs="Arial" w:eastAsia="Arial" w:hAnsi="Arial"/>
          <w:sz w:val="17"/>
          <w:szCs w:val="17"/>
          <w:color w:val="auto"/>
        </w:rPr>
      </w:pPr>
    </w:p>
    <w:p>
      <w:pPr>
        <w:ind w:left="960" w:right="60" w:hanging="424"/>
        <w:spacing w:after="0" w:line="270" w:lineRule="auto"/>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1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Our sole supplier of clinical drug substance for MK-3655 (NGM313), NGM120, NGM621, NGM707 and NGM438 is located in a region that has experienced recent political unrest.</w:t>
      </w:r>
    </w:p>
    <w:p>
      <w:pPr>
        <w:sectPr>
          <w:pgSz w:w="11900" w:h="16838" w:orient="portrait"/>
          <w:cols w:equalWidth="0" w:num="1">
            <w:col w:w="11020"/>
          </w:cols>
          <w:pgMar w:left="440" w:top="274" w:right="43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Remote work policies, quarantines, shelter-in-place and similar government orders, shutdowns or other restrictions on the conduct of business operations related to the COVID-19 pandemic could materially and adversely affect our operations. Based on guidance issued by federal, state and local authorities, we transitioned to a remote work environment for a vast majority of our employees in March 2020, while maintaining essential in-person laboratory functions in order to advance key research and development initiatives, supported by the implementation of updated onsite safety procedures. In June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to time, a slower pace of clinical site initiation and enrollment than anticipated in certain of our clinical trials, including the ALPINE 4, CATALINA and NGM120 trials, and may experience higher dropout rates than normal, due to factors such as the vulnerability of our studied patient populations, clinical trial site suspensions, reallocation of medical resources and the challenges of working remotely due to shelter-in-place and similar government orders, among other factors. Enrolled patients may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w:t>
      </w:r>
    </w:p>
    <w:p>
      <w:pPr>
        <w:sectPr>
          <w:pgSz w:w="11900" w:h="16838" w:orient="portrait"/>
          <w:cols w:equalWidth="0" w:num="1">
            <w:col w:w="11020"/>
          </w:cols>
          <w:pgMar w:left="440" w:top="274" w:right="439" w:bottom="1440" w:gutter="0" w:footer="0" w:header="0"/>
        </w:sectPr>
      </w:pPr>
    </w:p>
    <w:bookmarkStart w:id="65" w:name="page66"/>
    <w:bookmarkEnd w:id="65"/>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become more severe, it could materially and adversely affect our clinical development timelines and our ability to obtain regulatory approvals of our product candidates and could significantly increase our costs.</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could also see an adverse impact on our ability to report clinical trial results, or interact with regulators, IRBs and ethics committees or other important agencies due to limitations in regulatory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quarantines, shelter-in-place and similar government orders could impact personnel at third-party manufacturing facilities in the United States and other countries, or the availability or cost of materials, which would disrupt our supply chain. Likewise, the operations of our third-party manufacturers may be requisitioned, diverted or allocated by U.S. or foreign government orders such as under emergency, disaster and civil defense declarations in connection with the COVID-19 pandemic or otherwise. In particular, some of our suppliers of certain materials used in the production of our drug products are located in Europe. In this regard,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For example,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In any event, if the evolving effects of the COVID-19 pandemic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18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the research phase of the collaboration beyond March 16, 2022.</w:t>
      </w:r>
    </w:p>
    <w:p>
      <w:pPr>
        <w:sectPr>
          <w:pgSz w:w="11900" w:h="16838" w:orient="portrait"/>
          <w:cols w:equalWidth="0" w:num="1">
            <w:col w:w="10980"/>
          </w:cols>
          <w:pgMar w:left="440" w:top="274" w:right="479" w:bottom="1440" w:gutter="0" w:footer="0" w:header="0"/>
        </w:sectPr>
      </w:pPr>
    </w:p>
    <w:bookmarkStart w:id="66" w:name="page67"/>
    <w:bookmarkEnd w:id="66"/>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 treat COVID-19. In addition, to the extent the evolving effects of the COVID-19 pandemic adversely affects our business and results of operations, it may also have the effect of heightening many of the other risks and uncertainties described elsewhere in this ‘‘Risk Factors’’ section.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the ongoing COVID-19 pandemic, certain functional areas of our workforce remain in a remote work environment, which imposes additional risks to our business, including increased risk associated with working outside our corporate network security protection boundaries, increased risk of industrial espionage, phishing and other cybersecurity attacks and the increased risk of unauthorized dissemination of sensitive personal information or proprietary confidential information, any of which could have a material adverse effect on our business. Despite our efforts to increase security and authentication measures, we have experienced an overall increase in cybersecurity incidents, none of which have caused disruption to our business or resulted in a material security breach. However, if such an event were to occur and cause interruptions in our operations, it could result in a material disruption of our development programs and our business operations.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More recently, an attacker gained access to a single system on our network and attempted to use that access to stage a broader attack against us. We detected the suspicious activity on the night of December 15, 2020 and believe we fully contained the incident the next day. The event had minimal impact on our operations and we have no evidence suggesting any ongoing threat or data exfiltration.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ectPr>
          <w:pgSz w:w="11900" w:h="16838" w:orient="portrait"/>
          <w:cols w:equalWidth="0" w:num="1">
            <w:col w:w="10980"/>
          </w:cols>
          <w:pgMar w:left="440" w:top="274" w:right="479" w:bottom="1440" w:gutter="0" w:footer="0" w:header="0"/>
        </w:sectPr>
      </w:pPr>
    </w:p>
    <w:bookmarkStart w:id="67" w:name="page68"/>
    <w:bookmarkEnd w:id="67"/>
    <w:p>
      <w:pPr>
        <w:ind w:right="1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 products in the EU. The collection and use of personal health data in the EU are governed by the provisions of the General Data Protection Regulation ((EU) 2016/679), or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 penalties and civil claims being brought against us, which could have a material adverse effect on our business, financial condition and results of operations.</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European data protection laws, including the GDPR, generally restrict the transfer of personal information from Europe, including the European Economic Area, United Kingdom and Switzerland, to the United States and most other countries unless the parties to the transfer have implemented specific safeguards to protect the transferred personal information. One of the primary safeguards allowing United States companies to import personal information from Europe has been certification to the EU-U.S. Privacy Shield and Swiss-U.S. Privacy Shield frameworks administered by the United States Department of Commerce. However, the Court of Justice of the EU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rely primarily on individuals’ explicit consent to transfer their personal information from Europe to the United States and other countries, in certain cases we have relied or may rely on the Standard Contractual Clauses. Authorities in the United Kingdom and Switzerland, whose data protection laws are similar to those of the EU,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processing personal information from Europe.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ectPr>
          <w:pgSz w:w="11900" w:h="16838" w:orient="portrait"/>
          <w:cols w:equalWidth="0" w:num="1">
            <w:col w:w="10980"/>
          </w:cols>
          <w:pgMar w:left="440" w:top="274" w:right="47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Risks Related to Our Dependence on Merck and Other Third Parties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184"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In February 2015, we entered into a collaboration with Merck focused on the discovery, development and commercialization of biologics, excluding aldafermin, and including a license to our GDF15 receptor agonist program product candidates, NGM386 and NGM395. In November 2018, Merck exercised its option to license MK-3655 (NGM313). In 2019, Merck exercised its option to extend the research phase of the collaboration for an additional two years, from March 17, 2020 through March 16, 2022, and terminated its license to the GDF15 receptor agonist program in May 2019.</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Merck collaboration involves a complex allocation of rights, provides for substantial research and development support, provides for additional payments upon Merck’s election, if exercised in its unilateral discretion, to further extend the term of the research program for an additional two years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whether Merck will exercise its remaining option to extend the research phase of the collaboration or whether Merck will exercise its option to license additional product candidates or whether Merck will terminate its license to a licensed program.</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31" w:lineRule="exact"/>
        <w:rPr>
          <w:sz w:val="20"/>
          <w:szCs w:val="20"/>
          <w:color w:val="auto"/>
        </w:rPr>
      </w:pPr>
    </w:p>
    <w:p>
      <w:pPr>
        <w:ind w:left="960" w:right="40" w:hanging="424"/>
        <w:spacing w:after="0" w:line="296"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 we exercise our right to participate in a cost and profit-sharing arrangement. Even after we exercise that right to participate in a cost and profit-sharing arrangement, our ability to influence Merck will be limited.</w:t>
      </w:r>
    </w:p>
    <w:p>
      <w:pPr>
        <w:sectPr>
          <w:pgSz w:w="11900" w:h="16838" w:orient="portrait"/>
          <w:cols w:equalWidth="0" w:num="1">
            <w:col w:w="10980"/>
          </w:cols>
          <w:pgMar w:left="440" w:top="270" w:right="479" w:bottom="1440" w:gutter="0" w:footer="0" w:header="0"/>
        </w:sectPr>
      </w:pPr>
    </w:p>
    <w:bookmarkStart w:id="69" w:name="page70"/>
    <w:bookmarkEnd w:id="69"/>
    <w:p>
      <w:pPr>
        <w:ind w:left="960" w:right="20" w:hanging="424"/>
        <w:spacing w:after="0" w:line="272"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our agreement with Merck, it is possible for Merck to unilaterally terminate the MK-3655 (NGM313) program and any other program (whether or not we have exercised our cost and profit-sharing option) upon prior written notice, such as it did for NGM386 and NGM395, without triggering a termination of the remainder of the collaboration arrangement. In addition, Merck might opt not to exercise its option to acquire a license to a product candidate that has generated proof-of-concept data.</w:t>
      </w:r>
    </w:p>
    <w:p>
      <w:pPr>
        <w:spacing w:after="0" w:line="82" w:lineRule="exact"/>
        <w:rPr>
          <w:rFonts w:ascii="Arial" w:cs="Arial" w:eastAsia="Arial" w:hAnsi="Arial"/>
          <w:sz w:val="17"/>
          <w:szCs w:val="17"/>
          <w:color w:val="auto"/>
        </w:rPr>
      </w:pPr>
    </w:p>
    <w:p>
      <w:pPr>
        <w:ind w:left="960" w:right="240" w:hanging="424"/>
        <w:spacing w:after="0" w:line="308"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960" w:right="180" w:hanging="424"/>
        <w:spacing w:after="0" w:line="263"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75" w:lineRule="exact"/>
        <w:rPr>
          <w:rFonts w:ascii="Arial" w:cs="Arial" w:eastAsia="Arial" w:hAnsi="Arial"/>
          <w:sz w:val="18"/>
          <w:szCs w:val="18"/>
          <w:color w:val="auto"/>
        </w:rPr>
      </w:pPr>
    </w:p>
    <w:p>
      <w:pPr>
        <w:ind w:left="960" w:right="60" w:hanging="424"/>
        <w:spacing w:after="0" w:line="25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93"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8"/>
          <w:szCs w:val="18"/>
          <w:color w:val="auto"/>
        </w:rPr>
      </w:pPr>
    </w:p>
    <w:p>
      <w:pPr>
        <w:ind w:left="960" w:right="20" w:hanging="424"/>
        <w:spacing w:after="0" w:line="286"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Collaboration Agreement, Merck has the unilateral right to terminate all or part of the agreement at certain times and under certain circumstances. Merck may unilaterally terminate the research phase of the collaboration program effective March 17, 2022 by providing notice to us prior to March 17, 2021. Merck may also unilaterally terminate its annual funding of the research program prior to March 17, 2022 if we are acquired by a third party or if we are in material uncured breach of our obligations under the research and early development program. After the current research phase of the collaboration or, if Merck again exercises its option to extend the research phase of the collaboration, after such extension period, Merck may unilaterally terminate the overall agreement for convenience upon written notice and subject to certain limitations.</w:t>
      </w:r>
    </w:p>
    <w:p>
      <w:pPr>
        <w:sectPr>
          <w:pgSz w:w="11900" w:h="16838" w:orient="portrait"/>
          <w:cols w:equalWidth="0" w:num="1">
            <w:col w:w="11000"/>
          </w:cols>
          <w:pgMar w:left="440" w:top="274" w:right="459" w:bottom="1440" w:gutter="0" w:footer="0" w:header="0"/>
        </w:sectPr>
      </w:pPr>
    </w:p>
    <w:bookmarkStart w:id="70" w:name="page71"/>
    <w:bookmarkEnd w:id="70"/>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certain limitations, Merck may partially terminate the Collaboration Agreement for convenience as it relates to MK-3655 (NGM313) or any future licensed program. For example, Merck terminated its license to our GDF15 receptor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would delay or preclude our ability complete our research and development programs, which would materially and adversely affect our business. For example, if Merck elects not to exercise its remaining option to extend the research phase of the collaboration beyond March 16, 2022, which Merck may unilaterally elect to do at its sole discretion,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delay, scale back or discontinue development of such product candidates.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NGM621, NGM707 and NGM438, to the extent we advance these product candidates, and will rely on Merck to determine whether to utilize a third-party manufacturer or internal manufacturing capacity for MK-3655 (NGM313) and other licensed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or cGMP, and to pass inspections of the manufacturing facilities by the FDA or other regulatory agencies could seriously harm our business.</w:t>
      </w:r>
    </w:p>
    <w:p>
      <w:pPr>
        <w:sectPr>
          <w:pgSz w:w="11900" w:h="16838" w:orient="portrait"/>
          <w:cols w:equalWidth="0" w:num="1">
            <w:col w:w="11000"/>
          </w:cols>
          <w:pgMar w:left="440" w:top="274" w:right="459" w:bottom="1440" w:gutter="0" w:footer="0" w:header="0"/>
        </w:sectPr>
      </w:pPr>
    </w:p>
    <w:bookmarkStart w:id="71" w:name="page72"/>
    <w:bookmarkEnd w:id="71"/>
    <w:p>
      <w:pPr>
        <w:ind w:right="3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expend substantial management time and effort to enter into relationships with third parties and, if we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1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MK-3655 (NGM313)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ectPr>
          <w:pgSz w:w="11900" w:h="16838" w:orient="portrait"/>
          <w:cols w:equalWidth="0" w:num="1">
            <w:col w:w="10980"/>
          </w:cols>
          <w:pgMar w:left="440" w:top="274" w:right="479" w:bottom="1440" w:gutter="0" w:footer="0" w:header="0"/>
        </w:sectPr>
      </w:pPr>
    </w:p>
    <w:bookmarkStart w:id="72" w:name="page73"/>
    <w:bookmarkEnd w:id="7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may not be able to negotiate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or testing.</w:t>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studies.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this regard, we cannot guarantee that these third parties will continue to perform their contractual duties in a timely and satisfactory manner as a result of the COVID-19 pandemic or otherwise.</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18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studies and expect to continue to do so for commercialization. This reliance on third parties increases the risk that we will not have sufficient quantities of our product candidates or that such supply will not be available to us on our requested timeline or at an acceptable cost, which could delay, prevent or impair our development or commercialization efforts.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studies and for commercial supply of any of these product candidates for which we or our collaborator obtains marketing approval. To date, we have obtained aldafermin, MK-3655 (NGM313), NGM120, NGM621, NGM707 and NGM438 for preclinical and clinical studies from third-party manufacturers. Other than our supply agreement with Lonza for aldafermin drug substance, we do not have a long-term supply agreement with any third-party manufacturer.</w:t>
      </w:r>
    </w:p>
    <w:p>
      <w:pPr>
        <w:sectPr>
          <w:pgSz w:w="11900" w:h="16838" w:orient="portrait"/>
          <w:cols w:equalWidth="0" w:num="1">
            <w:col w:w="10980"/>
          </w:cols>
          <w:pgMar w:left="440" w:top="274" w:right="479" w:bottom="1440" w:gutter="0" w:footer="0" w:header="0"/>
        </w:sectPr>
      </w:pPr>
    </w:p>
    <w:bookmarkStart w:id="73" w:name="page74"/>
    <w:bookmarkEnd w:id="7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76" w:lineRule="exact"/>
        <w:rPr>
          <w:sz w:val="20"/>
          <w:szCs w:val="20"/>
          <w:color w:val="auto"/>
        </w:rPr>
      </w:pPr>
    </w:p>
    <w:p>
      <w:pPr>
        <w:ind w:left="960" w:right="460" w:hanging="424"/>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the failure to supply product on the timelines and at the cost agreed to;</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Third-party manufacturers may not be able to comply with cGMP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our product candidates.</w:t>
      </w:r>
    </w:p>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In this regard, remote work policies and quarantines, shelter-in-place and similar government orders related to the COVID-19 pandemic could impact personnel at third-party manufacturing facilities in the United States and other countries, or the availability or cost of materials, which would disrupt our supply chain and delay our clinical development efforts.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We do not currently have arrangements in place for redundant supply for bulk drug substances or drug product. If any one of our current contract manufacturers cannot perform as agreed, we may be required to replace that manufacturer, if possible. Although there may be potential alternative manufacturers who could manufacture our product candidates, we would incur additional costs and experience delays in identifying and qualifying any such replacement.</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 Refer also to the risk factor entitled “We are subject to many manufacturing risks, any of which could substantially increase our costs and limit supply of our product candidates and any future products.”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 If we are unable to obtain regulatory approvals to market one or more of our product candidates, our business will be adversely affected.</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The approval</w:t>
      </w:r>
    </w:p>
    <w:p>
      <w:pPr>
        <w:sectPr>
          <w:pgSz w:w="11900" w:h="16838" w:orient="portrait"/>
          <w:cols w:equalWidth="0" w:num="1">
            <w:col w:w="11000"/>
          </w:cols>
          <w:pgMar w:left="440" w:top="274" w:right="459" w:bottom="1440" w:gutter="0" w:footer="0" w:header="0"/>
        </w:sectPr>
      </w:pPr>
    </w:p>
    <w:bookmarkStart w:id="74" w:name="page75"/>
    <w:bookmarkEnd w:id="7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process is typically lengthy and expensive, and approval is never certain.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178" w:lineRule="exact"/>
        <w:rPr>
          <w:sz w:val="20"/>
          <w:szCs w:val="20"/>
          <w:color w:val="auto"/>
        </w:rPr>
      </w:pPr>
    </w:p>
    <w:p>
      <w:pPr>
        <w:ind w:right="8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10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6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76" w:lineRule="exact"/>
        <w:rPr>
          <w:sz w:val="20"/>
          <w:szCs w:val="20"/>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ectPr>
          <w:pgSz w:w="11900" w:h="16838" w:orient="portrait"/>
          <w:cols w:equalWidth="0" w:num="1">
            <w:col w:w="11000"/>
          </w:cols>
          <w:pgMar w:left="440" w:top="274" w:right="459" w:bottom="1440" w:gutter="0" w:footer="0" w:header="0"/>
        </w:sectPr>
      </w:pPr>
    </w:p>
    <w:bookmarkStart w:id="75" w:name="page76"/>
    <w:bookmarkEnd w:id="7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Although aldafermin has received Fast Track designation from the FDA for NASH and PBC, we may not necessarily experience faster development timelines or achieve faster review or approval compared to conventional FDA procedures. 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announced that it had received a complete response letter regarding its New Drug Application for OCA for the treatment of NASH, in which the FDA indicated that it had determined that the predicted benefit of OCA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ectPr>
          <w:pgSz w:w="11900" w:h="16838" w:orient="portrait"/>
          <w:cols w:equalWidth="0" w:num="1">
            <w:col w:w="11000"/>
          </w:cols>
          <w:pgMar w:left="440" w:top="274"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Even if our product candidates receive regulatory approval, they may still face future development and regulatory difficulties.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83" w:lineRule="exact"/>
        <w:rPr>
          <w:sz w:val="20"/>
          <w:szCs w:val="20"/>
          <w:color w:val="auto"/>
        </w:rPr>
      </w:pPr>
    </w:p>
    <w:p>
      <w:pPr>
        <w:ind w:left="960" w:hanging="424"/>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issue safety alerts, Dear Healthcare Provider letters, press releases or other communications containing warnings about such product;</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w:t>
      </w:r>
    </w:p>
    <w:p>
      <w:pPr>
        <w:sectPr>
          <w:pgSz w:w="11900" w:h="16838" w:orient="portrait"/>
          <w:cols w:equalWidth="0" w:num="1">
            <w:col w:w="11000"/>
          </w:cols>
          <w:pgMar w:left="440" w:top="274" w:right="459" w:bottom="1440" w:gutter="0" w:footer="0" w:header="0"/>
        </w:sectPr>
      </w:pPr>
    </w:p>
    <w:bookmarkStart w:id="77" w:name="page78"/>
    <w:bookmarkEnd w:id="77"/>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7"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ectPr>
          <w:pgSz w:w="11900" w:h="16838" w:orient="portrait"/>
          <w:cols w:equalWidth="0" w:num="1">
            <w:col w:w="11000"/>
          </w:cols>
          <w:pgMar w:left="440" w:top="274" w:right="459" w:bottom="1440" w:gutter="0" w:footer="0" w:header="0"/>
        </w:sectPr>
      </w:pPr>
    </w:p>
    <w:bookmarkStart w:id="78" w:name="page79"/>
    <w:bookmarkEnd w:id="7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have filed numerous patent applications both in the United States and in certain foreign jurisdictions to obtain patent rights to our inventions, with claims directed to compositions of matter, methods of use, formulations, combination therapy and other technologies relating to our product candidates. However,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Similar to other biotechnology companies, our patent position is generally highly uncertain and involves complex legal and factual questions. The patent examination process may require us or our current or future licensors, licensees or collaborators to narrow the scope of the claims of pending and future patent applications, which would limit the scope of patent protection that is obtained, if any.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Success in obtaining and maintaining patents and other intellectual property rights may depend upon being the first to make a particular invention or being the first inventor to file a patent application on that invention. However, the publication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an invention, or the first inventors to file a patent application claiming an invention in our owned or licensed patents or pending patent applications.</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9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do not currently own or have a license to any issued patents that cover our NGM621 product candidate, although it is disclosed and claimed in our pending U.S. non-provisional and/or national stage applications in particular foreign countries. Likewise, we do not currently own or have a license to any issued patents that cover our NGM707 and NGM438 product candidates, although these product candidates are disclosed and claimed in our pending U.S. provisional applications. The patent landscape surrounding NGM621, NGM707 and NGM438 are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ectPr>
          <w:pgSz w:w="11900" w:h="16838" w:orient="portrait"/>
          <w:cols w:equalWidth="0" w:num="1">
            <w:col w:w="11000"/>
          </w:cols>
          <w:pgMar w:left="440" w:top="274" w:right="459" w:bottom="1440" w:gutter="0" w:footer="0" w:header="0"/>
        </w:sectPr>
      </w:pPr>
    </w:p>
    <w:bookmarkStart w:id="79" w:name="page80"/>
    <w:bookmarkEnd w:id="79"/>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changes we make to our product candidates, including aldafermin, MK-3655 (NGM313), NGM120, NGM621, NGM707 and NGM 438,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MK-3655 (NGM313), NGM120, NGM621, NGM707 and NGM438 or any of our other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Thus, our existing patents and any future patents we obtain may not be sufficiently broad to prevent others from practicing our inventions or technologies, or from developing or commercializing competing products.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intellectual property rights in some countries outside the United States are less extensive than those in the United States. Competitors may use our technology and that of our current or future licensors, licensees or collaborators in jurisdictions where we have not obtained patent protection to develop their own products and, in some cases, may export otherwise infringing products to territories where we and our collaborator have patent protection, but enforcement is not as strong as that in the United States. These products may compete with our products and product candidates, and our patents or other intellectual property rights may not be effective or sufficient to prevent that competition.</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Europe and other countries impose limitations on inventions related to methods for treating the human body. Differences in national law and practice may limit the breadth and strength of any patents obtained by us or our current or future licensors, licensees or collaborators.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India, certain countries in Europe, and certain developing countries, including Thailand, have compulsory licensing laws under which a patent owner may be compelled to grant licenses to third parties. Additionally, many countries limit the enforceability of patents against government agencies or government contractors. We or our licensors, licensees or collaborators may have limited remedies if patents are infringed or if compelled to grant a license to a third party, which could materially diminish the value of those patents and could limit our potential revenue opportunities.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Patent applications, issued patents and/or parts thereof must be translated into the native language in many foreign countries. If our patent applications or issued patents are translated incorrectly, they may not adequately cover our products, product candidates, or other technologies and it may not be possible to rectify an incorrect translation.</w:t>
      </w:r>
    </w:p>
    <w:p>
      <w:pPr>
        <w:sectPr>
          <w:pgSz w:w="11900" w:h="16838" w:orient="portrait"/>
          <w:cols w:equalWidth="0" w:num="1">
            <w:col w:w="11000"/>
          </w:cols>
          <w:pgMar w:left="440" w:top="274" w:right="459" w:bottom="1440" w:gutter="0" w:footer="0" w:header="0"/>
        </w:sectPr>
      </w:pPr>
    </w:p>
    <w:bookmarkStart w:id="80" w:name="page81"/>
    <w:bookmarkEnd w:id="80"/>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or our current or future licensors, licensees or collaborators to stop the infringement of the patents or the marketing of competing products in violation of the patent or other proprietary rights. Proceedings to enforce patent rights in foreign jurisdictions could result in substantial costs and divert the attention of us or our current or future licensors, licensees or collaborators from other aspects of our business, could put the patents at risk of being invalidated or interpreted narrowly, could place the patent applications at risk of not issuing, and/or could provoke third parties to assert claims against us or our current or future licensors, licensees or collaborators. We or our current or future licensors, licensees or collaborators may not prevail in any lawsuits that are initiated and the damages or other remedies awarded, if any, may not be commercially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duration of our intellectual property rights is limited.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Patents generally have a term of 20 years from the earliest effective filing date of the application that first discloses the claimed invention or an obvious variant thereof.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the patent are not enforceable over their full scope, but instead are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Non-compliance with various procedural, document submission, fee payment and other requirements imposed by governmental patent agencies could adversely affect our patent protection.</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or future licensors, licensees or collaborators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ectPr>
          <w:pgSz w:w="11900" w:h="16838" w:orient="portrait"/>
          <w:cols w:equalWidth="0" w:num="1">
            <w:col w:w="11000"/>
          </w:cols>
          <w:pgMar w:left="440" w:top="274" w:right="459" w:bottom="1440" w:gutter="0" w:footer="0" w:header="0"/>
        </w:sectPr>
      </w:pPr>
    </w:p>
    <w:bookmarkStart w:id="81" w:name="page82"/>
    <w:bookmarkEnd w:id="81"/>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in patent law could diminish the value of patents in general, thereby impairing our ability to protect our products and product candidates.</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could weaken the ability of us and our current or future licensors, licensees or collaborators to obtain new patents or to enforce existing patents and patents we may obtain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obtain intellectual property rights or technologies necessary to develop and commercialize our product candidates.</w:t>
      </w:r>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Several third parties are actively researching and seeking and obtaining patent protection in the liver and metabolic diseases, retinal diseases and cancer fields, and there are issued third-party patents and published third-party patent applications in these fields. The patent landscape around our aldafermin, MK-3655 (NGM313), NGM120, NGM621, NGM707 and NGM438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ectPr>
          <w:pgSz w:w="11900" w:h="16838" w:orient="portrait"/>
          <w:cols w:equalWidth="0" w:num="1">
            <w:col w:w="11000"/>
          </w:cols>
          <w:pgMar w:left="440" w:top="274" w:right="459" w:bottom="1440" w:gutter="0" w:footer="0" w:header="0"/>
        </w:sectPr>
      </w:pPr>
    </w:p>
    <w:bookmarkStart w:id="82" w:name="page83"/>
    <w:bookmarkEnd w:id="82"/>
    <w:p>
      <w:pPr>
        <w:ind w:right="68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could lose the ability to continue the development and commercialization of our products or product candidates if we breach any license agreement related to those products or product candidates.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ectPr>
          <w:pgSz w:w="11900" w:h="16838" w:orient="portrait"/>
          <w:cols w:equalWidth="0" w:num="1">
            <w:col w:w="11000"/>
          </w:cols>
          <w:pgMar w:left="440" w:top="274" w:right="459" w:bottom="1440" w:gutter="0" w:footer="0" w:header="0"/>
        </w:sectPr>
      </w:pPr>
    </w:p>
    <w:bookmarkStart w:id="83" w:name="page84"/>
    <w:bookmarkEnd w:id="8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Third-party pre-issuance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commercial success depends upon our ability and that of our current or future licensors, licensees or collaborators to develop, manufacture, market and sell any product candidates that we may develop and use our proprietary technologies without infringing, misappropriating or otherwise violating the intellectual property and proprietary rights of third parties. 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These proceedings can be expensive, lengthy and time-consuming, and many of our adversaries may have the ability to dedicate substantially greater resources to prosecuting these legal actions than us.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ectPr>
          <w:pgSz w:w="11900" w:h="16838" w:orient="portrait"/>
          <w:cols w:equalWidth="0" w:num="1">
            <w:col w:w="11020"/>
          </w:cols>
          <w:pgMar w:left="440" w:top="274" w:right="439" w:bottom="1440" w:gutter="0" w:footer="0" w:header="0"/>
        </w:sectPr>
      </w:pPr>
    </w:p>
    <w:bookmarkStart w:id="84" w:name="page85"/>
    <w:bookmarkEnd w:id="8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perform searches of patent and scientific databases in order to identify documents that may be of potential relevance to the freedom-to-operate of our product candidates. Such searches generally are conducted based on keywords, amino acid and nucleic acid sequences, inventors/authors and assignees/entities to capture U.S. and European patents and patent applications, PCT publications and scientific journal articles. There can be no assurance that these searches will identify all potentially relevant patents or patent applications, and the failure to identify any such patents or patent applications could have a material adverse effect on the commercialization of our product candidates.</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MK-3655 (NGM313), NGM120, NGM621 NGM707 and NGM438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below, or any appeals stemming therefrom. As to pending third-party applications, we cannot predict with any certainty the claims that will issue, if any, or the scope of such issued claims.</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filed an opposition in the European Patent Office, or EPO, against a patent, granted to St. Vincent’s Hospital Sydney Limited, or St. Vincent’s, claiming the use of MIC-1, also known as GDF15, for the treatment of obesity. The Opposition Division of the EPO upheld the patent as granted in the first instance proceedings. We appealed this decision to the Board of Appeals but subsequently withdrew from the opposition. The opposition proceedings were terminated with the patent being maintained. If we were to decide to continue development of NGM395, we may not be able to commercially launch NGM395 in Europe for the treatment of obesity without a license from St. Vincent’s or until after the patent’s expiration, which is currently scheduled for April 2025. There is no assurance that such a license, if necessary, can be obtained from St. Vincent’s on commercially reasonable terms, or at all.</w:t>
      </w:r>
    </w:p>
    <w:p>
      <w:pPr>
        <w:spacing w:after="0" w:line="19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filed an opposition in the EPO against a patent, granted to Amgen, claiming the use of GDF15 polypeptides for the treatment of several metabolic disorders, including obesity. At the first instance proceedings, the Opposition Division of the EPO maintained the patent in view of amendments to the patent and statements by Amgen disclaiming the treatment of obesity. We appealed to the Board of Appeals at the EPO the Opposition Division’s decision to maintain the Amgen patent. If we were to decide to continue development of NGM395 and should the patent be upheld on appeal or should we decide not to pursue the appeal, we may not be able to commercially launch NGM395 in Europe for the treatment of any metabolic orders encompassed by the claims without a license from Amgen or until after the patent’s expiration, which is currently scheduled for April 2032. There is no assurance that such a license, if necessary, can be obtained from Amgen on commercially reasonable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w:t>
      </w:r>
    </w:p>
    <w:p>
      <w:pPr>
        <w:sectPr>
          <w:pgSz w:w="11900" w:h="16838" w:orient="portrait"/>
          <w:cols w:equalWidth="0" w:num="1">
            <w:col w:w="11000"/>
          </w:cols>
          <w:pgMar w:left="440" w:top="274" w:right="459" w:bottom="1440" w:gutter="0" w:footer="0" w:header="0"/>
        </w:sectPr>
      </w:pPr>
    </w:p>
    <w:bookmarkStart w:id="85" w:name="page86"/>
    <w:bookmarkEnd w:id="85"/>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we may lose valuable intellectual property rights or personnel, pay monetary damages and/or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 or otherwise be unable to secure ownership of our intellectual property.</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and other claims. If we fail in defending any such claims, in addition to paying monetary damages, we may lose valuable intellectual property rights, such as exclusive ownership of, or right to use, intellectual property that is important to our products and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is our policy to require our employees and contractors who may be involved in the conception or development of intellectual property to execute agreements assigning such intellectual property to us. However,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ectPr>
          <w:pgSz w:w="11900" w:h="16838" w:orient="portrait"/>
          <w:cols w:equalWidth="0" w:num="1">
            <w:col w:w="11000"/>
          </w:cols>
          <w:pgMar w:left="440"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Intellectual property rights do not necessarily address all potential threats.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960" w:right="120" w:hanging="424"/>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make the inventions covered by the issued patents and pending patent applications that we license or may own in the future;</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issued patents to which we hold rights may be held invalid or unenforceable, including as a result of legal challenges by our competitors;</w:t>
      </w:r>
    </w:p>
    <w:p>
      <w:pPr>
        <w:spacing w:after="0" w:line="153" w:lineRule="exact"/>
        <w:rPr>
          <w:rFonts w:ascii="Arial" w:cs="Arial" w:eastAsia="Arial" w:hAnsi="Arial"/>
          <w:sz w:val="16"/>
          <w:szCs w:val="16"/>
          <w:color w:val="auto"/>
        </w:rPr>
      </w:pPr>
    </w:p>
    <w:p>
      <w:pPr>
        <w:ind w:left="960" w:right="540" w:hanging="424"/>
        <w:spacing w:after="0" w:line="308"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has been and may continue to be volatile, and you could lose all or part of your investment.</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$32.05 on December 30, 2020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2" w:lineRule="exact"/>
        <w:rPr>
          <w:sz w:val="20"/>
          <w:szCs w:val="20"/>
          <w:color w:val="auto"/>
        </w:rPr>
      </w:pPr>
    </w:p>
    <w:p>
      <w:pPr>
        <w:ind w:left="960" w:right="60" w:hanging="424"/>
        <w:spacing w:after="0" w:line="308"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developments associated with our collaboration with Merck, including Merck’s failure to exercise its remaining unilateral option to extend the research phase of the collaboration, any termination of the collaboration or other change in our relationship with Merck;</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ectPr>
          <w:pgSz w:w="11900" w:h="16838" w:orient="portrait"/>
          <w:cols w:equalWidth="0" w:num="1">
            <w:col w:w="11000"/>
          </w:cols>
          <w:pgMar w:left="440" w:top="274" w:right="459" w:bottom="1440" w:gutter="0" w:footer="0" w:header="0"/>
        </w:sectPr>
      </w:pPr>
    </w:p>
    <w:bookmarkStart w:id="87" w:name="page88"/>
    <w:bookmarkEnd w:id="87"/>
    <w:p>
      <w:pPr>
        <w:ind w:left="960" w:hanging="424"/>
        <w:spacing w:after="0"/>
        <w:tabs>
          <w:tab w:leader="none" w:pos="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potential volatility in our trading price and trading volume, we may incur significant costs from class action securities litigation.</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 “Sales of a substantial number of shares of our common stock in the public market could cause our stock price to 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ectPr>
          <w:pgSz w:w="11900" w:h="16838" w:orient="portrait"/>
          <w:cols w:equalWidth="0" w:num="1">
            <w:col w:w="11000"/>
          </w:cols>
          <w:pgMar w:left="440" w:top="274" w:right="45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60" w:right="100" w:hanging="424"/>
        <w:spacing w:after="0" w:line="308" w:lineRule="auto"/>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51" w:lineRule="exact"/>
        <w:rPr>
          <w:rFonts w:ascii="Arial" w:cs="Arial" w:eastAsia="Arial" w:hAnsi="Arial"/>
          <w:sz w:val="17"/>
          <w:szCs w:val="17"/>
          <w:color w:val="auto"/>
        </w:rPr>
      </w:pPr>
    </w:p>
    <w:p>
      <w:pPr>
        <w:ind w:left="960" w:hanging="424"/>
        <w:spacing w:after="0" w:line="25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93"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Exchange Act, and instead provide a reduced level of disclosure concerning executive compensation.</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 as other public companies that are 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8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ectPr>
          <w:pgSz w:w="11900" w:h="16838" w:orient="portrait"/>
          <w:cols w:equalWidth="0" w:num="1">
            <w:col w:w="10980"/>
          </w:cols>
          <w:pgMar w:left="440" w:top="274" w:right="4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Sales of a substantial number of shares of our common stock in the public market could cause our stock price to fall.</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trading days during the three months ended September 30, 2020, the average daily trading volume for our common stock on The Nasdaq Global Select Market was only 180,030 shares. As a result, sales of a substantial number of shares of our common stock in the public market, including pursuant to the Sales Agreement or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became available for sale in the public market beginning on March 17, 2020, subject to the conditions of Rule 144 under the Securities Act of 1933, as amended, or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2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89" w:lineRule="exact"/>
        <w:rPr>
          <w:sz w:val="20"/>
          <w:szCs w:val="20"/>
          <w:color w:val="auto"/>
        </w:rPr>
      </w:pPr>
    </w:p>
    <w:p>
      <w:pPr>
        <w:ind w:left="960" w:right="120" w:hanging="424"/>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thereby requiring all stockholder actions to be taken at a meeting of our stockholders;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ectPr>
          <w:pgSz w:w="11900" w:h="16838" w:orient="portrait"/>
          <w:cols w:equalWidth="0" w:num="1">
            <w:col w:w="11000"/>
          </w:cols>
          <w:pgMar w:left="440" w:top="274" w:right="459" w:bottom="1440" w:gutter="0" w:footer="0" w:header="0"/>
        </w:sectPr>
      </w:pPr>
    </w:p>
    <w:bookmarkStart w:id="90" w:name="page91"/>
    <w:bookmarkEnd w:id="90"/>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provisions in our agreement with Merck may also deter a change of control. For example, under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16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1"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w:t>
      </w:r>
    </w:p>
    <w:p>
      <w:pPr>
        <w:sectPr>
          <w:pgSz w:w="11900" w:h="16838" w:orient="portrait"/>
          <w:cols w:equalWidth="0" w:num="1">
            <w:col w:w="11000"/>
          </w:cols>
          <w:pgMar w:left="440" w:top="274" w:right="459" w:bottom="1440" w:gutter="0" w:footer="0" w:header="0"/>
        </w:sectPr>
      </w:pPr>
    </w:p>
    <w:bookmarkStart w:id="91" w:name="page92"/>
    <w:bookmarkEnd w:id="91"/>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incur increased costs as a result of operating as a public company, and our management devotes substantial time to new compliance initiatives.</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ectPr>
          <w:pgSz w:w="11900" w:h="16838" w:orient="portrait"/>
          <w:cols w:equalWidth="0" w:num="1">
            <w:col w:w="11000"/>
          </w:cols>
          <w:pgMar w:left="440" w:top="274"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disclosure controls and procedures may not prevent or detect all errors or acts of fraud.</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NGM BUSINESS OVERVIEW</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are a biopharmaceutical company focused on discovering and developing novel therapeutics based on scientific understanding of key biological pathways underlying liver and metabolic diseases, retinal diseases and cancer. These diseases represent a significant burden for healthcare systems and, in some cases, are leading causes of morbidity and mortality. Since the commencement of our operations in 2008, we have generated a robust portfolio of product candidates. Our six most advanced product candidates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5177790" cy="23914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7779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NASH = non-alcoholic steatohepatitis; FGF = fibroblast growth factor; GDF = growth differentiation factor; KLB = beta-klotho; C3 = Component 3; GFRAL = glial cell-derived neurotrophic factor receptor alpha-like; CACS = Cancer Anorexia/Cachexia Syndrome; ILT2 = Immunoglobulin-like transcript 2; ILT4 = Immunoglobulin-like transcript 4; LAIR1 = Leukocyte-associated immunoglobulin-like receptor 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2015, we entered into the Collaboration Agreement with Merck, which allows us to develop multiple product candidates in parallel without bearing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substantially greater costs or incurring significantly greater risk compared to developing product candidates, such as aldafermin (formerly NGM282),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engineered version of FGF19 on our own. In March 2019, Merck exercised its option to extend the research phase of the collaboration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16, 2022 and has the unilateral right to extend it again through March 16, 2024. As part of the extension through March 16, 2022, Merck agreed</w:t>
      </w:r>
    </w:p>
    <w:p>
      <w:pPr>
        <w:spacing w:after="0" w:line="32" w:lineRule="exact"/>
        <w:rPr>
          <w:sz w:val="20"/>
          <w:szCs w:val="20"/>
          <w:color w:val="auto"/>
        </w:rPr>
      </w:pPr>
    </w:p>
    <w:p>
      <w:pPr>
        <w:jc w:val="both"/>
        <w:ind w:right="580"/>
        <w:spacing w:after="0" w:line="255" w:lineRule="auto"/>
        <w:rPr>
          <w:sz w:val="20"/>
          <w:szCs w:val="20"/>
          <w:color w:val="auto"/>
        </w:rPr>
      </w:pPr>
      <w:r>
        <w:rPr>
          <w:rFonts w:ascii="Arial" w:cs="Arial" w:eastAsia="Arial" w:hAnsi="Arial"/>
          <w:sz w:val="18"/>
          <w:szCs w:val="18"/>
          <w:color w:val="auto"/>
        </w:rPr>
        <w:t>to continue to fund our research and development efforts up to $75.0 million each year consistent with the initial five-year term and, in lieu of a $20.0 million extension fee payable to us, Merck agreed to make additional payments totaling up to $20.0 million in support of our research and development activities across 2021 and the first quarter of 2022.</w:t>
      </w:r>
    </w:p>
    <w:p>
      <w:pPr>
        <w:spacing w:after="0" w:line="190"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Merck generally has a one-time right to exercise its option to an exclusive, worldwide license when a program completes a human proof-of-concept trial. In November 2018, Merck exercised its option to license MK-3655 (formerly NGM313), an agonistic antibody selectively activating fibroblast growth factor receptor 1c/beta-klotho, or FGFR1c/KLB, which is a potential treatment for non-alcoholic steatohepatitis, or NASH. The collaboration enables us to develop more product candidates for major indications than we could likely advance on our own. We retain an option, when a product candidate has advanced to Phase 3 clinical trials, to participate in up to 50% of the economic return from that product candidate if it becomes an approved medicine by agreeing to share up to 50% of the costs of development. If we do not elect this option, we will instead receive milestone and royalty payments and we will not be required to share in development costs. Overall, the Merck collaboration provides us with robust research and development support, while allowing us to retain our research independence and the option to split costs and profits on individual product candidates Merck elects to advance.</w:t>
      </w:r>
    </w:p>
    <w:p>
      <w:pPr>
        <w:sectPr>
          <w:pgSz w:w="11900" w:h="16838" w:orient="portrait"/>
          <w:cols w:equalWidth="0" w:num="1">
            <w:col w:w="10960"/>
          </w:cols>
          <w:pgMar w:left="440" w:top="270" w:right="499" w:bottom="1440" w:gutter="0" w:footer="0" w:header="0"/>
        </w:sectPr>
      </w:pPr>
    </w:p>
    <w:bookmarkStart w:id="94" w:name="page95"/>
    <w:bookmarkEnd w:id="94"/>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2020, we suspended development activities related to multiple product candidates for portfolio management considerations in order to concentrate our resources on aldafermin and certain other product candidates subject to our Merck collaboration. Most recently, in December 2020, based on the overall clinical experience with both NGM386 (a once-daily growth differentiating factor 15, or GDF15, agonist product candidate we suspended development of earlier in 2020) and NGM395 (a long-acting GDF15 agonist product candidate), we decided to suspend development of the NGM395 program after we have completed the ongoing Phase 1 clinical trial evaluating safety, tolerability and pharmacokinetics, or PK, in obese but otherwise healthy adults. We remain interested in the potential applications of a GDF15 agonist, but we believe antagonizing the GDF15 receptor, glial-cell derived neurotropin factor receptor alpha-like, or GFRAL, with NGM120, one of our product candidates described below, in patients with cancer has a stronger near-term rationale for development.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of our product candidates other than aldafermin, NGM395 and NGM386 are subject to our Merck collaboration.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Aldafermin in NASH</w:t>
      </w:r>
    </w:p>
    <w:p>
      <w:pPr>
        <w:spacing w:after="0" w:line="117"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Aldafermin, an engineered version of the human hormone FGF19 that is administered through a once-daily subcutaneous injection, has demonstrated the ability to rapidly improve NASH and reverse liver fibrosis in clinical and preclinical studies. We believe the combination of breadth, magnitude and speed of effect demonstrated by aldafermin in these studies results in an agent that, if ultimately approved, could provide a needed medicine for physicians to treat NASH patients with moderate to advanced fibrosis. Aldafermin is currently being tested in the ongoing Phase 2b ALPINE 2/3 trial in patients with NASH with stage 2 and 3, or F2-F3, liver fibrosis, which completed enrollment in September 2020, and in the ongoing ALPINE 4 trial in patients with NASH with stage 4, or F4, liver fibrosis and well-compensated cirrhosis, which commenced enrollment in February 2020. We expect to report topline data from the ALPINE 2/3 trial in the second quarter of 2021. Aldafermin was excluded from the Merck collaboration at the inception of the collaboration and remains wholly-owned by us.</w:t>
      </w:r>
    </w:p>
    <w:p>
      <w:pPr>
        <w:spacing w:after="0" w:line="178" w:lineRule="exact"/>
        <w:rPr>
          <w:sz w:val="20"/>
          <w:szCs w:val="20"/>
          <w:color w:val="auto"/>
        </w:rPr>
      </w:pPr>
    </w:p>
    <w:p>
      <w:pPr>
        <w:ind w:left="4" w:right="420"/>
        <w:spacing w:after="0" w:line="286" w:lineRule="auto"/>
        <w:rPr>
          <w:sz w:val="20"/>
          <w:szCs w:val="20"/>
          <w:color w:val="auto"/>
        </w:rPr>
      </w:pPr>
      <w:r>
        <w:rPr>
          <w:rFonts w:ascii="Arial" w:cs="Arial" w:eastAsia="Arial" w:hAnsi="Arial"/>
          <w:sz w:val="17"/>
          <w:szCs w:val="17"/>
          <w:color w:val="auto"/>
        </w:rPr>
        <w:t>In August 2020, we announced final data from our completed double-blind, randomized, placebo-controlled Phase 2 clinical study (Cohort 4) of aldafermin, which enrolled patients with biopsy-confirmed NASH with F2-F3 liver fibrosis, including a new analysis of Cohort 4 data from NASH patients with F3 liver fibrosis. Cohort 4 was the final reported cohort from our adaptive Phase 2 clinical study of aldafermin in NASH.</w:t>
      </w:r>
    </w:p>
    <w:p>
      <w:pPr>
        <w:spacing w:after="0" w:line="165" w:lineRule="exact"/>
        <w:rPr>
          <w:sz w:val="20"/>
          <w:szCs w:val="20"/>
          <w:color w:val="auto"/>
        </w:rPr>
      </w:pPr>
    </w:p>
    <w:p>
      <w:pPr>
        <w:jc w:val="both"/>
        <w:ind w:left="4" w:right="20"/>
        <w:spacing w:after="0" w:line="272" w:lineRule="auto"/>
        <w:rPr>
          <w:sz w:val="20"/>
          <w:szCs w:val="20"/>
          <w:color w:val="auto"/>
        </w:rPr>
      </w:pPr>
      <w:r>
        <w:rPr>
          <w:rFonts w:ascii="Arial" w:cs="Arial" w:eastAsia="Arial" w:hAnsi="Arial"/>
          <w:sz w:val="17"/>
          <w:szCs w:val="17"/>
          <w:color w:val="auto"/>
        </w:rPr>
        <w:t>Cohort 4 was statistically powered to demonstrate the effect of 1 mg aldafermin treatment versus placebo on the primary endpoint of change in absolute liver fat content, or LFC, which achieved statistical significance. In addition, the study assessed secondary and exploratory endpoints of liver histology and biomarkers of disease activity. The histology results revealed that treatment with aldafermin led to clinically meaningful improvements at 24 weeks versus placebo in fibrosis improvement of ³1 stage with no worsening of NASH (38% of aldafermin-treated patients vs. 18% placebo) and in resolution of NASH with no worsening of liver fibrosis (24% of aldafermin-treated patients vs. 9% placebo). The study also demonstrated a statistically significant impact on the combined endpoint of both fibrosis improvement and resolution of NASH (22% in aldafermin-treated patients vs. 0% placebo), which the FDA has indicated in draft industry guidance may be an acceptable development pathway.</w:t>
      </w:r>
    </w:p>
    <w:p>
      <w:pPr>
        <w:spacing w:after="0" w:line="1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Summary of Cohort 4 Histology Data1</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8"/>
              </w:rPr>
              <w:t>Aldafermin</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Placebo</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Proportion of Patients Achieving Endpoints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w:t>
            </w:r>
          </w:p>
        </w:tc>
        <w:tc>
          <w:tcPr>
            <w:tcW w:w="10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960" w:type="dxa"/>
            <w:vAlign w:val="bottom"/>
            <w:gridSpan w:val="2"/>
            <w:vMerge w:val="continue"/>
          </w:tcPr>
          <w:p>
            <w:pPr>
              <w:spacing w:after="0"/>
              <w:rPr>
                <w:sz w:val="13"/>
                <w:szCs w:val="13"/>
                <w:color w:val="auto"/>
              </w:rPr>
            </w:pPr>
          </w:p>
        </w:tc>
        <w:tc>
          <w:tcPr>
            <w:tcW w:w="1720" w:type="dxa"/>
            <w:vAlign w:val="bottom"/>
            <w:gridSpan w:val="2"/>
          </w:tcPr>
          <w:p>
            <w:pPr>
              <w:jc w:val="center"/>
              <w:ind w:right="1000"/>
              <w:spacing w:after="0" w:line="158" w:lineRule="exact"/>
              <w:rPr>
                <w:sz w:val="20"/>
                <w:szCs w:val="20"/>
                <w:color w:val="auto"/>
              </w:rPr>
            </w:pPr>
            <w:r>
              <w:rPr>
                <w:rFonts w:ascii="Arial" w:cs="Arial" w:eastAsia="Arial" w:hAnsi="Arial"/>
                <w:sz w:val="14"/>
                <w:szCs w:val="14"/>
                <w:b w:val="1"/>
                <w:bCs w:val="1"/>
                <w:color w:val="auto"/>
                <w:w w:val="96"/>
              </w:rPr>
              <w:t>mg (n=50)</w:t>
            </w:r>
          </w:p>
        </w:tc>
        <w:tc>
          <w:tcPr>
            <w:tcW w:w="6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(n=22)</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Fibrosis improvement (&gt;1 stage) with no worsening of NASH2</w:t>
            </w:r>
          </w:p>
        </w:tc>
        <w:tc>
          <w:tcPr>
            <w:tcW w:w="1720" w:type="dxa"/>
            <w:vAlign w:val="bottom"/>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rPr>
              <w:t>38%</w:t>
            </w:r>
          </w:p>
        </w:tc>
        <w:tc>
          <w:tcPr>
            <w:tcW w:w="6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Resolution of NASH with no worsening of liver fibrosis3</w:t>
            </w: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24%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Fibrosis improvement and resolution of NASH4</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NAS reduction of &gt;2 points with no worsening of liver fibrosis</w:t>
            </w: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62%***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p=0.015; ***p&lt;0.001</w:t>
      </w:r>
    </w:p>
    <w:p>
      <w:pPr>
        <w:spacing w:after="0" w:line="22" w:lineRule="exact"/>
        <w:rPr>
          <w:sz w:val="20"/>
          <w:szCs w:val="20"/>
          <w:color w:val="auto"/>
        </w:rPr>
      </w:pPr>
    </w:p>
    <w:p>
      <w:pPr>
        <w:ind w:left="224" w:right="260" w:hanging="224"/>
        <w:spacing w:after="0" w:line="250" w:lineRule="auto"/>
        <w:tabs>
          <w:tab w:leader="none" w:pos="224" w:val="left"/>
        </w:tabs>
        <w:numPr>
          <w:ilvl w:val="0"/>
          <w:numId w:val="69"/>
        </w:numPr>
        <w:rPr>
          <w:rFonts w:ascii="Arial" w:cs="Arial" w:eastAsia="Arial" w:hAnsi="Arial"/>
          <w:sz w:val="15"/>
          <w:szCs w:val="15"/>
          <w:color w:val="auto"/>
        </w:rPr>
      </w:pPr>
      <w:r>
        <w:rPr>
          <w:rFonts w:ascii="Arial" w:cs="Arial" w:eastAsia="Arial" w:hAnsi="Arial"/>
          <w:sz w:val="18"/>
          <w:szCs w:val="18"/>
          <w:color w:val="auto"/>
        </w:rPr>
        <w:t>Per protocol, analyzed using the “liver histologic population,” defined as the subset of enrolled patients who had valid, non-missing biopsy data at both baseline and week 24 (n=72).</w:t>
      </w:r>
    </w:p>
    <w:p>
      <w:pPr>
        <w:spacing w:after="0" w:line="1" w:lineRule="exact"/>
        <w:rPr>
          <w:sz w:val="20"/>
          <w:szCs w:val="20"/>
          <w:color w:val="auto"/>
        </w:rPr>
      </w:pPr>
    </w:p>
    <w:p>
      <w:pPr>
        <w:ind w:left="224" w:right="120" w:hanging="224"/>
        <w:spacing w:after="0" w:line="262" w:lineRule="auto"/>
        <w:tabs>
          <w:tab w:leader="none" w:pos="224" w:val="left"/>
        </w:tabs>
        <w:numPr>
          <w:ilvl w:val="0"/>
          <w:numId w:val="70"/>
        </w:numPr>
        <w:rPr>
          <w:rFonts w:ascii="Arial" w:cs="Arial" w:eastAsia="Arial" w:hAnsi="Arial"/>
          <w:sz w:val="15"/>
          <w:szCs w:val="15"/>
          <w:color w:val="auto"/>
        </w:rPr>
      </w:pPr>
      <w:r>
        <w:rPr>
          <w:rFonts w:ascii="Arial" w:cs="Arial" w:eastAsia="Arial" w:hAnsi="Arial"/>
          <w:sz w:val="18"/>
          <w:szCs w:val="18"/>
          <w:color w:val="auto"/>
        </w:rPr>
        <w:t>Defined as patients having an improvement in liver fibrosis &gt;1 stage and having no worsening of hepatocellular ballooning, no worsening of lobular inflammation and no worsening of steatosis from baseline to week 24.</w:t>
      </w:r>
    </w:p>
    <w:p>
      <w:pPr>
        <w:sectPr>
          <w:pgSz w:w="11900" w:h="16838" w:orient="portrait"/>
          <w:cols w:equalWidth="0" w:num="1">
            <w:col w:w="11004"/>
          </w:cols>
          <w:pgMar w:left="436" w:top="274" w:right="459" w:bottom="1440" w:gutter="0" w:footer="0" w:header="0"/>
        </w:sectPr>
      </w:pPr>
    </w:p>
    <w:bookmarkStart w:id="95" w:name="page96"/>
    <w:bookmarkEnd w:id="95"/>
    <w:p>
      <w:pPr>
        <w:ind w:left="224" w:right="380" w:hanging="224"/>
        <w:spacing w:after="0" w:line="255" w:lineRule="auto"/>
        <w:tabs>
          <w:tab w:leader="none" w:pos="224" w:val="left"/>
        </w:tabs>
        <w:numPr>
          <w:ilvl w:val="0"/>
          <w:numId w:val="71"/>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Defined as patients having a non-alcoholic fatty liver disease activity score, or NAS, of 0 or 1 for lobular inflammation and 0 for hepatocellular ballooning, with no worsening of fibrosis (no progression of NASH fibrosis stage) from baseline to week 24 (as defined by Clinical Research Network criteria).</w:t>
      </w:r>
    </w:p>
    <w:p>
      <w:pPr>
        <w:spacing w:after="0" w:line="1" w:lineRule="exact"/>
        <w:rPr>
          <w:sz w:val="20"/>
          <w:szCs w:val="20"/>
          <w:color w:val="auto"/>
        </w:rPr>
      </w:pPr>
    </w:p>
    <w:p>
      <w:pPr>
        <w:ind w:left="224" w:right="160" w:hanging="224"/>
        <w:spacing w:after="0" w:line="262" w:lineRule="auto"/>
        <w:tabs>
          <w:tab w:leader="none" w:pos="224" w:val="left"/>
        </w:tabs>
        <w:numPr>
          <w:ilvl w:val="0"/>
          <w:numId w:val="72"/>
        </w:numPr>
        <w:rPr>
          <w:rFonts w:ascii="Arial" w:cs="Arial" w:eastAsia="Arial" w:hAnsi="Arial"/>
          <w:sz w:val="15"/>
          <w:szCs w:val="15"/>
          <w:color w:val="auto"/>
        </w:rPr>
      </w:pPr>
      <w:r>
        <w:rPr>
          <w:rFonts w:ascii="Arial" w:cs="Arial" w:eastAsia="Arial" w:hAnsi="Arial"/>
          <w:sz w:val="18"/>
          <w:szCs w:val="18"/>
          <w:color w:val="auto"/>
        </w:rPr>
        <w:t>Defined as patients having an improvement in liver fibrosis &gt;1 stage and having a NAS of 0 or 1 for lobular inflammation and 0 for hepatocellular ballooning at week 24.</w:t>
      </w:r>
    </w:p>
    <w:p>
      <w:pPr>
        <w:spacing w:after="0" w:line="183"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 xml:space="preserve">Efficacy data from a secondary analysis of patients with advanced liver fibrosis enrolled in Cohort 4 was also provided. In this patient population, 30% of patients with F3 liver fibrosis treated with 1 mg aldafermin achieved fibrosis improvement </w:t>
      </w:r>
      <w:r>
        <w:rPr>
          <w:rFonts w:ascii="Arial" w:cs="Arial" w:eastAsia="Arial" w:hAnsi="Arial"/>
          <w:sz w:val="17"/>
          <w:szCs w:val="17"/>
          <w:u w:val="single" w:color="auto"/>
          <w:color w:val="auto"/>
        </w:rPr>
        <w:t>&gt;</w:t>
      </w:r>
      <w:r>
        <w:rPr>
          <w:rFonts w:ascii="Arial" w:cs="Arial" w:eastAsia="Arial" w:hAnsi="Arial"/>
          <w:sz w:val="17"/>
          <w:szCs w:val="17"/>
          <w:color w:val="auto"/>
        </w:rPr>
        <w:t>1 stage without worsening of NASH compared to 0% in the placebo arm. A responder analysis conducted in patients with F3 liver fibrosis who achieved &gt;30% LFC reductions showed that 46% of patients treated with 1 mg aldafermin had fibrosis improvement of &gt;1 stage without worsening of NASH compared to 0% of placebo patients.</w:t>
      </w:r>
    </w:p>
    <w:p>
      <w:pPr>
        <w:spacing w:after="0" w:line="17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Similar to what has been observed in prior NASH clinical studies with aldafermin, Cohort 4 findings also demonstrated that patients treated with 1 mg aldafermin experienced a mean increase of 45 mg/dL LDL cholesterol, or LDL-C, at week two of treatment relative to baseline. Under the protocol, patients in both the placebo and aldafermin arms who experienced an increase in mean levels of LDL-C of at least 10 mg/dL at week two of treatment were directed to take rosuvastatin daily during the treatment period. LDL-C was effectively managed with the concomitant statin use and LDL-C levels for both the placebo and aldafermin arms were nearly identical at approximately 77 mg/dL at week 24. In addition, mean serum triglyceride levels were significantly reduced in patients treated with aldafermin versus placebo as early as week two and sustained through week 24.</w:t>
      </w:r>
    </w:p>
    <w:p>
      <w:pPr>
        <w:spacing w:after="0" w:line="164"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In Cohort 4, aldafermin had an overall adverse event profile that was similar to that of placebo, with no meaningful difference in gastrointestinal or pruritus adverse events in aldafermin compared to placebo. Serious adverse events, or SAEs, were also similar to placebo (aldafermin 4% versus 12% placebo), with all SAEs determined not to be related to treatment by the site investigator. Aldafermin was generally well tolerated and there were no study withdrawals due to adverse events, or AEs, in the aldafermin arm as compared to one withdrawal due to an adverse event in the placebo arm. Specific AE information is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5177790" cy="3180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77790" cy="3180080"/>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96" w:name="page97"/>
    <w:bookmarkEnd w:id="96"/>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Finally, in November 2020, additional Cohort 4 data was presented showing that statistically significant reductions in C4, a marker of bile acid synthesis, and bile acids were observed with aldafermin compared to placebo. In patients with NASH, the rate-limiting enzyme for bile acid synthesis, CYP7A1, is upregulated and an associated increase in serum levels of bile acids is also observed.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MK-3655 in NASH</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MK-3655 is an agonistic antibody selectively activating FGFR1c/KLB that we believe has the potential to be a once-monthly injectable insulin sensitizer for the treatment of NASH. In November 2018, Merck exercised its option for a license to further research, develop and commercialize MK-3655 and other FGFR1c/KLB agonists pursuant to our Collaboration Agreement. In Phase 1 clinical testing, MK-3655 demonstrated favorable tolerability and preliminary data has shown the agent is capable of reducing LFC and improving metabolic biomarkers in obese insulin resistant subjects with nonalcoholic fatty liver disease, or NAFLD, after a single dose. We conducted a Phase 1b randomized, open-label, parallel group trial to evaluate the safety, tolerability, PK and pharmacodynamics, or PD, of a single MK-3655 dose or the maximum approved dose of daily oral pioglitazone in 25 obese insulin resistant subjects with NAFLD. The Phase 1b clinical trial evaluated the ability of MK-3655 to decrease LFC to support the clinical development of MK-3655 in NASH. The primary objectives of the study were to evaluate changes from baseline in LFC as measured by magnetic resonance imaging-estimated proton density fat fraction at day 36 and changes from baseline in whole body insulin sensitivity at day 29 in subjects treated with MK-3655 as compared to pioglitazone. This study indicated that MK-3655 was well tolerated, with no SAEs and no AE leading to study discontinuation. All AEs observed during the course of the study were deemed mild, with increased appetite (12%) and injection site reaction (12%) being the only AEs reported in at least 10% of MK-3655-treated subjects.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2020, Merck initiated a Phase 2b trial of MK-3655 in patients with F2-F3 NASH.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NGM621 in Geographic Atrophy</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NGM621 is an inhibitory antibody designed to bind and inactivate complement C3, a protein implicated in the pathology of geographic atrophy, or GA. We initiated a Phase 1 safety, tolerability and PK clinical trial of NGM621, administered via intravitreal, or IVT, injections, in patients with GA in the second half of 2019. NGM621 is currently being tested in the ongoing Phase 2 CATALINA trial in patients with GA to evaluate its effects on disease progression when given every four weeks or every eight weeks. The first patient was dosed in the CATALINA trial in July 2020. Merck has a one-time option to license NGM621 upon our completion of a proof-of-concept study in humans.</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November 2020, we announced results from our completed Phase 1 clinical study of NGM621. The primary objective of the Phase 1 trial was to assess the safety and tolerability of single and multiple IVT injections of NGM621 in patients with GA. Secondary objectives were to characterize the serum PK of single or multiple doses of NGM621. The study enrolled 15 patients across three single-ascending dose cohorts of NGM621, 2 mg, 7.5 mg and 15 mg, the maximum planned dose in the study, and a multiple dose cohort that received two 15 mg doses separated by four weeks. Patients were dosed sequentially and followed closely over 12 weeks. In the study, NGM621 was well tolerated, with no patients experiencing SAEs, drug-related AEs, intraocular inflammation, endophthalmitis or choroidal neovascularization. No dose-related safety patterns or concerns were reported. Ocular AEs observed were mild in severity and representative of those commonly associated with IVT injections. No vision-related safety signals were detected. On average, patients maintained their visual acuity over the 12-week follow-up study duration. The serum PK of NGM621 was linear and dose-proportional. Ocular PK/PD preclinical modeling conducted by Merck and us suggests that NGM621 may potentially achieve &gt;90% reduction in free</w:t>
      </w:r>
    </w:p>
    <w:p>
      <w:pPr>
        <w:spacing w:after="0" w:line="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C3 in the eye for seven weeks following a single IVT dose of 15 mg. Taken together, we believe the PK profile of NGM621 demonstrated in the Phase 1 study and subsequent PK/PD preclinical modeling support the potential for up to an every eight week (or every other month) dosing regimen of NGM621 at the 15 mg dose level. NGM621 serum exposure was below concentrations expected to produce systemic complement inhibition after IVT injection of the 15 mg dose. No anti-drug antibodies were detected in any patient at any timepoint.</w:t>
      </w:r>
    </w:p>
    <w:p>
      <w:pPr>
        <w:sectPr>
          <w:pgSz w:w="11900" w:h="16838" w:orient="portrait"/>
          <w:cols w:equalWidth="0" w:num="1">
            <w:col w:w="10980"/>
          </w:cols>
          <w:pgMar w:left="440" w:top="274" w:right="4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NGM120 in CACS and Cancer</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NGM120 is an inhibitory antibody binding GFRAL that is designed to block the effects of elevated GDF15 levels on cancer anorexia/cachexia syndrome, or CACS, and potentially on tumors. NGM120 works by selectively inhibiting the interaction between GDF15 and its cognate receptor, GFRAL, through which the autonomic nervous system and, possibly, the neuroendocrine axis influence the body’s metabolism to propel the cachectic state, and potentially the tumors, in cancer patients that have high serum levels of GDF15. Merck has a one-time option to license NGM120 upon our completion of a proof-of-concept study in humans.</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2019, we completed a Phase 1 clinical trial in single (n=48) and multiple (n=44) ascending cohorts of NGM120 in healthy volunteers that assessed its safety, tolerability and PK profile. This clinical trial demonstrated that NGM120 was well tolerated at all doses studied and the pharmacokinetics supported once-monthly dosing. No SAEs or AEs were identified. The PK profile of NGM120 had a terminal half-life of approximately 35 days.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2020, we initiated a Phase 1a/1b clinical trial to assess the anti-CACS and anti-cancer effect of NGM120 in patients with advanced solid tumors. We recently completed enrollment in the Phase 1a dose finding portion of the study of NGM120 as a monotherapy in patients with select solid tumors and in the the Phase 1b dose finding portion of the study of NGM120 in combination with gemcitabine and abraxane in patients with metastatic pancreatic cancer. We expect to report data from the Phase 1a/1b dose finding study in the second half of 2021. A Phase 1b placebo-controlled expansion study of gemcitabine and abraxane and either NGM120 or placebo is planned in metastatic pancreatic carcinoma patients, and we anticipate initiating that study in the first quarter of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NGM707</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NGM707 is a novel dual antagonist antibody that is designed to improve patient immune responses to tumors by inhibiting both the Immunoglobulin-like transcript 2, or ILT2 (also known as LILRB1), and Immunoglobulin-like transcript 4, or ILT4 (also known as LILRB2), receptors. NGM707 targets an epitope shared by both ILT2 and ILT4 to achieve inhibition of both receptor systems. We believe NGM707 has the potential to both reprogram ILT4-and ILT2-expressing myeloid cells to shift them from suppressing to activating immune detection and attacking tumors. ILT2 blockage may also reverse inhibition of certain ILT2-expressing lymphoid effector cells to promote further tumor response. Reversing myeloid suppression, or myeloid reprogramming, may represent a promising new therapeutic area of immuno-oncology aimed at increasing patient response rates to T cell checkpoint inhibitors.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ILT2/ILT4 receptors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ILT2 and ILT4 receptors expressed on myeloid cells are implicated in suppressing anti-tumor immune responses in the tumor microenvironment and may represent checkpoints that enable tumors to evade immune detection. Suppressive myeloid cells enriched with ILT2 and ILT4 receptors are upregulated in certain cancer types, while ILT2 is also expressed on natural killer, or NK, cells, B cells and a subset of highly cytolytic T cells. Of note, ILT2 and ILT4 are upregulated on macrophages in the tumor microenvironment of certain cancer patients that are non-responders to T cell checkpoint inhibitor therapy and, therefore, implicate them as T cell checkpoint inhibitor resistance mechanisms.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Planned Clinical Trials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Preclinical studies of NGM707 suggest that blockade of ILT4 reverses myeloid cell immune suppression, while blockade of ILT2 promotes NK and CD8+ T cell killing of tumor cells and activates macrophage phagocytosis of tumor cells. In addition, preclinical studies of NGM707 have shown that the dual blockade of ILT2 and ILT4 acts synergistically to reverse suppression of fragment crystallizable, or Fc, receptor signaling. In preclinical tests of monocytes from two individuals, the combination of NGM707 and pembrolizumab acted additively to increase T cell activation and cytokine secretion as shown in the mixed lymphocyte reactions’ graphics below.</w:t>
      </w:r>
    </w:p>
    <w:p>
      <w:pPr>
        <w:sectPr>
          <w:pgSz w:w="11900" w:h="16838" w:orient="portrait"/>
          <w:cols w:equalWidth="0" w:num="1">
            <w:col w:w="10960"/>
          </w:cols>
          <w:pgMar w:left="440" w:top="274" w:right="49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8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IFNg = Interferon Gamma; TNFa = Tumor Necrosis Factor alpha; Pembro= pembrolizumab; Combo = pembrolizumab and NGM707</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preclinical studies to enable an IND have been completed. We are preparing the final reports for a planned IND submission in early 2021, and plan to initiate a first-in-human study of NGM707 in mid-2021. Merck has a one-time option to license NGM707 upon our completion of a proof-of-concept study in humans.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NGM438</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NGM438 is a novel antagonistic antibody that is designed to inhibit leukocyte-associated immunoglobulin-like receptor 1, or LAIR1, and promote immune detection and activation against advanced solid tumors. NGM438 has the potential to block the binding of all collagens tested with high potency, including tumor cell-derived collagens, which are the endogenous natural forms of collagen produced by the tumor that are believed to bind to LAIR1 to drive an immuno-suppressive environment surrounding the tumor. Reinvigoration of these collagen-suppressed immune cells may address a key resistance mechanism that limits responses to current immunotherapies.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LAIR1 receptor</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LAIR1 is a collagen-binding inhibitory receptor expressed on immune cells that is implicated in immune suppression. LAIR1 and collagens are upregulated in multiple cancer types where collagens are produced by activated stromal cells. These stromal-derived suppressive factors are associated with poor responses to checkpoint inhibitors. For such tumors, formation of the LAIR1-collagen complex may act as a stromal checkpoint to both physically exclude immune cells from the tumor and impose signaling-based immune suppression. Inhibiting this stromal checkpoint represents a potentially promising new therapeutic strategy to treat cancer by promoting the remodeling of the tumor architecture that restricts T cell infiltration of the tumor cell mass and reversing immune suppression in the tumor microenvironment.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Planned Clinical Trials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Preclinical studies suggest that NGM438 may have the potential to reprogram collagen-suppressed myeloid cells to a stimulatory phenotype, induce inflammatory cytokine production by myeloid and T cells and relieve collagen-based suppression of T cell proliferation. For example, in a preclinical model as shown in the graphics below, collagen suppressed the mixture of myeloid cells and T cells in mixed lymphocyte reactions while the administration of NGM438 in vitro reversed this T cell suppression in a dose-dependent manner.</w:t>
      </w:r>
    </w:p>
    <w:p>
      <w:pPr>
        <w:sectPr>
          <w:pgSz w:w="11900" w:h="16838" w:orient="portrait"/>
          <w:cols w:equalWidth="0" w:num="1">
            <w:col w:w="10940"/>
          </w:cols>
          <w:pgMar w:left="440" w:top="1440" w:right="51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974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MLR = Mixed Lymphocyte Reaction; mAb = monoclonal antibodies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plan to submit an IND in the second half of 2021 and expect to initiate a first-in-human study of NGM438 in the fourth quarter of 2021. Merck has a one-time option to license NGM438 upon our completion of a proof-of-concept study in humans.</w:t>
      </w:r>
    </w:p>
    <w:sectPr>
      <w:pgSz w:w="11900" w:h="16838" w:orient="portrait"/>
      <w:cols w:equalWidth="0" w:num="1">
        <w:col w:w="10980"/>
      </w:cols>
      <w:pgMar w:left="44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1"/>
    </w:lvl>
    <w:lvl w:ilvl="1">
      <w:lvlJc w:val="left"/>
      <w:lvlText w:val="(%2)"/>
      <w:numFmt w:val="lowerLetter"/>
      <w:start w:val="1"/>
    </w:lvl>
  </w:abstractNum>
  <w:abstractNum w:abstractNumId="2">
    <w:nsid w:val="7724C67E"/>
    <w:multiLevelType w:val="hybridMultilevel"/>
    <w:lvl w:ilvl="0">
      <w:lvlJc w:val="left"/>
      <w:lvlText w:val="(%1)"/>
      <w:numFmt w:val="lowerLetter"/>
      <w:start w:val="2"/>
    </w:lvl>
  </w:abstractNum>
  <w:abstractNum w:abstractNumId="3">
    <w:nsid w:val="5C482A97"/>
    <w:multiLevelType w:val="hybridMultilevel"/>
    <w:lvl w:ilvl="0">
      <w:lvlJc w:val="left"/>
      <w:lvlText w:val="(%1)"/>
      <w:numFmt w:val="lowerLetter"/>
      <w:start w:val="3"/>
    </w:lvl>
  </w:abstractNum>
  <w:abstractNum w:abstractNumId="4">
    <w:nsid w:val="2463B9EA"/>
    <w:multiLevelType w:val="hybridMultilevel"/>
    <w:lvl w:ilvl="0">
      <w:lvlJc w:val="left"/>
      <w:lvlText w:val="(%1)"/>
      <w:numFmt w:val="lowerLetter"/>
      <w:start w:val="6"/>
    </w:lvl>
  </w:abstractNum>
  <w:abstractNum w:abstractNumId="5">
    <w:nsid w:val="5E884ADC"/>
    <w:multiLevelType w:val="hybridMultilevel"/>
    <w:lvl w:ilvl="0">
      <w:lvlJc w:val="left"/>
      <w:lvlText w:val="(%1)"/>
      <w:numFmt w:val="lowerLetter"/>
      <w:start w:val="9"/>
    </w:lvl>
  </w:abstractNum>
  <w:abstractNum w:abstractNumId="6">
    <w:nsid w:val="51EAD36B"/>
    <w:multiLevelType w:val="hybridMultilevel"/>
    <w:lvl w:ilvl="0">
      <w:lvlJc w:val="left"/>
      <w:lvlText w:val="(%1)"/>
      <w:numFmt w:val="lowerLetter"/>
      <w:start w:val="14"/>
    </w:lvl>
  </w:abstractNum>
  <w:abstractNum w:abstractNumId="7">
    <w:nsid w:val="2D517796"/>
    <w:multiLevelType w:val="hybridMultilevel"/>
    <w:lvl w:ilvl="0">
      <w:lvlJc w:val="left"/>
      <w:lvlText w:val="(%1)"/>
      <w:numFmt w:val="lowerLetter"/>
      <w:start w:val="21"/>
    </w:lvl>
  </w:abstractNum>
  <w:abstractNum w:abstractNumId="8">
    <w:nsid w:val="580BD78F"/>
    <w:multiLevelType w:val="hybridMultilevel"/>
    <w:lvl w:ilvl="0">
      <w:lvlJc w:val="left"/>
      <w:lvlText w:val="(%1)"/>
      <w:numFmt w:val="lowerLetter"/>
      <w:start w:val="25"/>
    </w:lvl>
  </w:abstractNum>
  <w:abstractNum w:abstractNumId="9">
    <w:nsid w:val="153EA438"/>
    <w:multiLevelType w:val="hybridMultilevel"/>
    <w:lvl w:ilvl="0">
      <w:lvlJc w:val="left"/>
      <w:lvlText w:val="(%1)"/>
      <w:numFmt w:val="lowerLetter"/>
      <w:start w:val="27"/>
    </w:lvl>
  </w:abstractNum>
  <w:abstractNum w:abstractNumId="10">
    <w:nsid w:val="3855585C"/>
    <w:multiLevelType w:val="hybridMultilevel"/>
    <w:lvl w:ilvl="0">
      <w:lvlJc w:val="left"/>
      <w:lvlText w:val="%1"/>
      <w:numFmt w:val="lowerRoman"/>
      <w:start w:val="1"/>
    </w:lvl>
    <w:lvl w:ilvl="1">
      <w:lvlJc w:val="left"/>
      <w:lvlText w:val="(%2)"/>
      <w:numFmt w:val="lowerLetter"/>
      <w:start w:val="28"/>
    </w:lvl>
  </w:abstractNum>
  <w:abstractNum w:abstractNumId="11">
    <w:nsid w:val="70A64E2A"/>
    <w:multiLevelType w:val="hybridMultilevel"/>
    <w:lvl w:ilvl="0">
      <w:lvlJc w:val="left"/>
      <w:lvlText w:val="(%1)"/>
      <w:numFmt w:val="lowerRoman"/>
      <w:start w:val="2"/>
    </w:lvl>
    <w:lvl w:ilvl="1">
      <w:lvlJc w:val="left"/>
      <w:lvlText w:val="(%2)"/>
      <w:numFmt w:val="lowerLetter"/>
      <w:start w:val="29"/>
    </w:lvl>
  </w:abstractNum>
  <w:abstractNum w:abstractNumId="12">
    <w:nsid w:val="6A2342EC"/>
    <w:multiLevelType w:val="hybridMultilevel"/>
    <w:lvl w:ilvl="0">
      <w:lvlJc w:val="left"/>
      <w:lvlText w:val="(%1)"/>
      <w:numFmt w:val="lowerLetter"/>
      <w:start w:val="30"/>
    </w:lvl>
  </w:abstractNum>
  <w:abstractNum w:abstractNumId="13">
    <w:nsid w:val="2A487CB0"/>
    <w:multiLevelType w:val="hybridMultilevel"/>
    <w:lvl w:ilvl="0">
      <w:lvlJc w:val="left"/>
      <w:lvlText w:val="(%1)"/>
      <w:numFmt w:val="lowerLetter"/>
      <w:start w:val="9"/>
    </w:lvl>
    <w:lvl w:ilvl="1">
      <w:lvlJc w:val="left"/>
      <w:lvlText w:val="(%2)"/>
      <w:numFmt w:val="lowerLetter"/>
      <w:start w:val="34"/>
    </w:lvl>
  </w:abstractNum>
  <w:abstractNum w:abstractNumId="14">
    <w:nsid w:val="1D4ED43B"/>
    <w:multiLevelType w:val="hybridMultilevel"/>
    <w:lvl w:ilvl="0">
      <w:lvlJc w:val="left"/>
      <w:lvlText w:val="%1"/>
      <w:numFmt w:val="decimal"/>
      <w:start w:val="1"/>
    </w:lvl>
    <w:lvl w:ilvl="1">
      <w:lvlJc w:val="left"/>
      <w:lvlText w:val="(%2)"/>
      <w:numFmt w:val="lowerLetter"/>
      <w:start w:val="35"/>
    </w:lvl>
  </w:abstractNum>
  <w:abstractNum w:abstractNumId="15">
    <w:nsid w:val="725A06FB"/>
    <w:multiLevelType w:val="hybridMultilevel"/>
    <w:lvl w:ilvl="0">
      <w:lvlJc w:val="left"/>
      <w:lvlText w:val="%1."/>
      <w:numFmt w:val="decimal"/>
      <w:start w:val="2"/>
    </w:lvl>
    <w:lvl w:ilvl="1">
      <w:lvlJc w:val="left"/>
      <w:lvlText w:val="%2"/>
      <w:numFmt w:val="lowerLetter"/>
      <w:start w:val="1"/>
    </w:lvl>
  </w:abstractNum>
  <w:abstractNum w:abstractNumId="16">
    <w:nsid w:val="2CD89A32"/>
    <w:multiLevelType w:val="hybridMultilevel"/>
    <w:lvl w:ilvl="0">
      <w:lvlJc w:val="left"/>
      <w:lvlText w:val="%1."/>
      <w:numFmt w:val="decimal"/>
      <w:start w:val="3"/>
    </w:lvl>
    <w:lvl w:ilvl="1">
      <w:lvlJc w:val="left"/>
      <w:lvlText w:val="(%2)"/>
      <w:numFmt w:val="lowerLetter"/>
      <w:start w:val="2"/>
    </w:lvl>
  </w:abstractNum>
  <w:abstractNum w:abstractNumId="17">
    <w:nsid w:val="57E4CCAF"/>
    <w:multiLevelType w:val="hybridMultilevel"/>
    <w:lvl w:ilvl="0">
      <w:lvlJc w:val="left"/>
      <w:lvlText w:val="%1"/>
      <w:numFmt w:val="decimal"/>
      <w:start w:val="1"/>
    </w:lvl>
    <w:lvl w:ilvl="1">
      <w:lvlJc w:val="left"/>
      <w:lvlText w:val="(%2)"/>
      <w:numFmt w:val="lowerLetter"/>
      <w:start w:val="1"/>
    </w:lvl>
  </w:abstractNum>
  <w:abstractNum w:abstractNumId="18">
    <w:nsid w:val="7A6D8D3C"/>
    <w:multiLevelType w:val="hybridMultilevel"/>
    <w:lvl w:ilvl="0">
      <w:lvlJc w:val="left"/>
      <w:lvlText w:val="(%1)"/>
      <w:numFmt w:val="lowerLetter"/>
      <w:start w:val="2"/>
    </w:lvl>
  </w:abstractNum>
  <w:abstractNum w:abstractNumId="19">
    <w:nsid w:val="4B588F54"/>
    <w:multiLevelType w:val="hybridMultilevel"/>
    <w:lvl w:ilvl="0">
      <w:lvlJc w:val="left"/>
      <w:lvlText w:val="(%1)"/>
      <w:numFmt w:val="lowerLetter"/>
      <w:start w:val="5"/>
    </w:lvl>
  </w:abstractNum>
  <w:abstractNum w:abstractNumId="20">
    <w:nsid w:val="542289EC"/>
    <w:multiLevelType w:val="hybridMultilevel"/>
    <w:lvl w:ilvl="0">
      <w:lvlJc w:val="left"/>
      <w:lvlText w:val="(%1)"/>
      <w:numFmt w:val="lowerLetter"/>
      <w:start w:val="7"/>
    </w:lvl>
  </w:abstractNum>
  <w:abstractNum w:abstractNumId="21">
    <w:nsid w:val="6DE91B18"/>
    <w:multiLevelType w:val="hybridMultilevel"/>
    <w:lvl w:ilvl="0">
      <w:lvlJc w:val="left"/>
      <w:lvlText w:val="%1."/>
      <w:numFmt w:val="decimal"/>
      <w:start w:val="6"/>
    </w:lvl>
  </w:abstractNum>
  <w:abstractNum w:abstractNumId="22">
    <w:nsid w:val="38437FDB"/>
    <w:multiLevelType w:val="hybridMultilevel"/>
    <w:lvl w:ilvl="0">
      <w:lvlJc w:val="left"/>
      <w:lvlText w:val="%1"/>
      <w:numFmt w:val="decimal"/>
      <w:start w:val="1"/>
    </w:lvl>
    <w:lvl w:ilvl="1">
      <w:lvlJc w:val="left"/>
      <w:lvlText w:val="(%2)"/>
      <w:numFmt w:val="lowerLetter"/>
      <w:start w:val="2"/>
    </w:lvl>
  </w:abstractNum>
  <w:abstractNum w:abstractNumId="23">
    <w:nsid w:val="7644A45C"/>
    <w:multiLevelType w:val="hybridMultilevel"/>
    <w:lvl w:ilvl="0">
      <w:lvlJc w:val="left"/>
      <w:lvlText w:val="%1."/>
      <w:numFmt w:val="decimal"/>
      <w:start w:val="7"/>
    </w:lvl>
    <w:lvl w:ilvl="1">
      <w:lvlJc w:val="left"/>
      <w:lvlText w:val="%2"/>
      <w:numFmt w:val="lowerLetter"/>
      <w:start w:val="1"/>
    </w:lvl>
  </w:abstractNum>
  <w:abstractNum w:abstractNumId="24">
    <w:nsid w:val="32FFF902"/>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25">
    <w:nsid w:val="684A481A"/>
    <w:multiLevelType w:val="hybridMultilevel"/>
    <w:lvl w:ilvl="0">
      <w:lvlJc w:val="left"/>
      <w:lvlText w:val="(%1)"/>
      <w:numFmt w:val="lowerLetter"/>
      <w:start w:val="3"/>
    </w:lvl>
  </w:abstractNum>
  <w:abstractNum w:abstractNumId="26">
    <w:nsid w:val="579478FE"/>
    <w:multiLevelType w:val="hybridMultilevel"/>
    <w:lvl w:ilvl="0">
      <w:lvlJc w:val="left"/>
      <w:lvlText w:val="%1"/>
      <w:numFmt w:val="decimal"/>
      <w:start w:val="1"/>
    </w:lvl>
    <w:lvl w:ilvl="1">
      <w:lvlJc w:val="left"/>
      <w:lvlText w:val="(%2)"/>
      <w:numFmt w:val="lowerLetter"/>
      <w:start w:val="8"/>
    </w:lvl>
  </w:abstractNum>
  <w:abstractNum w:abstractNumId="27">
    <w:nsid w:val="749ABB43"/>
    <w:multiLevelType w:val="hybridMultilevel"/>
    <w:lvl w:ilvl="0">
      <w:lvlJc w:val="left"/>
      <w:lvlText w:val="%1."/>
      <w:numFmt w:val="decimal"/>
      <w:start w:val="9"/>
    </w:lvl>
    <w:lvl w:ilvl="1">
      <w:lvlJc w:val="left"/>
      <w:lvlText w:val="%2"/>
      <w:numFmt w:val="lowerLetter"/>
      <w:start w:val="1"/>
    </w:lvl>
  </w:abstractNum>
  <w:abstractNum w:abstractNumId="28">
    <w:nsid w:val="3DC240FB"/>
    <w:multiLevelType w:val="hybridMultilevel"/>
    <w:lvl w:ilvl="0">
      <w:lvlJc w:val="left"/>
      <w:lvlText w:val="(%1)"/>
      <w:numFmt w:val="lowerLetter"/>
      <w:start w:val="2"/>
    </w:lvl>
  </w:abstractNum>
  <w:abstractNum w:abstractNumId="29">
    <w:nsid w:val="1BA026FA"/>
    <w:multiLevelType w:val="hybridMultilevel"/>
    <w:lvl w:ilvl="0">
      <w:lvlJc w:val="left"/>
      <w:lvlText w:val="(%1)"/>
      <w:numFmt w:val="lowerLetter"/>
      <w:start w:val="4"/>
    </w:lvl>
  </w:abstractNum>
  <w:abstractNum w:abstractNumId="30">
    <w:nsid w:val="79A1DEAA"/>
    <w:multiLevelType w:val="hybridMultilevel"/>
    <w:lvl w:ilvl="0">
      <w:lvlJc w:val="left"/>
      <w:lvlText w:val="%1."/>
      <w:numFmt w:val="decimal"/>
      <w:start w:val="10"/>
    </w:lvl>
    <w:lvl w:ilvl="1">
      <w:lvlJc w:val="left"/>
      <w:lvlText w:val="(%2)"/>
      <w:numFmt w:val="lowerLetter"/>
      <w:start w:val="2"/>
    </w:lvl>
  </w:abstractNum>
  <w:abstractNum w:abstractNumId="31">
    <w:nsid w:val="75C6C33A"/>
    <w:multiLevelType w:val="hybridMultilevel"/>
    <w:lvl w:ilvl="0">
      <w:lvlJc w:val="left"/>
      <w:lvlText w:val="%1."/>
      <w:numFmt w:val="decimal"/>
      <w:start w:val="12"/>
    </w:lvl>
  </w:abstractNum>
  <w:abstractNum w:abstractNumId="32">
    <w:nsid w:val="12E685FB"/>
    <w:multiLevelType w:val="hybridMultilevel"/>
    <w:lvl w:ilvl="0">
      <w:lvlJc w:val="left"/>
      <w:lvlText w:val="%1."/>
      <w:numFmt w:val="decimal"/>
      <w:start w:val="14"/>
    </w:lvl>
  </w:abstractNum>
  <w:abstractNum w:abstractNumId="33">
    <w:nsid w:val="70C6A529"/>
    <w:multiLevelType w:val="hybridMultilevel"/>
    <w:lvl w:ilvl="0">
      <w:lvlJc w:val="left"/>
      <w:lvlText w:val="%1."/>
      <w:numFmt w:val="decimal"/>
      <w:start w:val="17"/>
    </w:lvl>
    <w:lvl w:ilvl="1">
      <w:lvlJc w:val="left"/>
      <w:lvlText w:val="(%2)"/>
      <w:numFmt w:val="lowerLetter"/>
      <w:start w:val="1"/>
    </w:lvl>
  </w:abstractNum>
  <w:abstractNum w:abstractNumId="34">
    <w:nsid w:val="520EEDD1"/>
    <w:multiLevelType w:val="hybridMultilevel"/>
    <w:lvl w:ilvl="0">
      <w:lvlJc w:val="left"/>
      <w:lvlText w:val="(%1)"/>
      <w:numFmt w:val="lowerLetter"/>
      <w:start w:val="2"/>
    </w:lvl>
  </w:abstractNum>
  <w:abstractNum w:abstractNumId="35">
    <w:nsid w:val="374A3FE6"/>
    <w:multiLevelType w:val="hybridMultilevel"/>
    <w:lvl w:ilvl="0">
      <w:lvlJc w:val="left"/>
      <w:lvlText w:val="(%1)"/>
      <w:numFmt w:val="lowerRoman"/>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Roman"/>
      <w:start w:val="2"/>
    </w:lvl>
  </w:abstractNum>
  <w:abstractNum w:abstractNumId="38">
    <w:nsid w:val="649BB77C"/>
    <w:multiLevelType w:val="hybridMultilevel"/>
    <w:lvl w:ilvl="0">
      <w:lvlJc w:val="left"/>
      <w:lvlText w:val="(%1)"/>
      <w:numFmt w:val="decimal"/>
      <w:start w:val="1"/>
    </w:lvl>
    <w:lvl w:ilvl="1">
      <w:lvlJc w:val="left"/>
      <w:lvlText w:val="(%2)"/>
      <w:numFmt w:val="lowerRoman"/>
      <w:start w:val="1"/>
    </w:lvl>
  </w:abstractNum>
  <w:abstractNum w:abstractNumId="39">
    <w:nsid w:val="275AC794"/>
    <w:multiLevelType w:val="hybridMultilevel"/>
    <w:lvl w:ilvl="0">
      <w:lvlJc w:val="left"/>
      <w:lvlText w:val="(%1)"/>
      <w:numFmt w:val="lowerRoman"/>
      <w:start w:val="6"/>
    </w:lvl>
  </w:abstractNum>
  <w:abstractNum w:abstractNumId="40">
    <w:nsid w:val="39386575"/>
    <w:multiLevelType w:val="hybridMultilevel"/>
    <w:lvl w:ilvl="0">
      <w:lvlJc w:val="left"/>
      <w:lvlText w:val="%1"/>
      <w:numFmt w:val="decimal"/>
      <w:start w:val="1"/>
    </w:lvl>
    <w:lvl w:ilvl="1">
      <w:lvlJc w:val="left"/>
      <w:lvlText w:val="(%2)"/>
      <w:numFmt w:val="lowerRoman"/>
      <w:start w:val="3"/>
    </w:lvl>
  </w:abstractNum>
  <w:abstractNum w:abstractNumId="41">
    <w:nsid w:val="1CF10FD8"/>
    <w:multiLevelType w:val="hybridMultilevel"/>
    <w:lvl w:ilvl="0">
      <w:lvlJc w:val="left"/>
      <w:lvlText w:val="(%1)"/>
      <w:numFmt w:val="decimal"/>
      <w:start w:val="2"/>
    </w:lvl>
    <w:lvl w:ilvl="1">
      <w:lvlJc w:val="left"/>
      <w:lvlText w:val="%2"/>
      <w:numFmt w:val="lowerRoman"/>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bullet"/>
      <w:start w:val="1"/>
    </w:lvl>
  </w:abstractNum>
  <w:abstractNum w:abstractNumId="69">
    <w:nsid w:val="799D0247"/>
    <w:multiLevelType w:val="hybridMultilevel"/>
    <w:lvl w:ilvl="0">
      <w:lvlJc w:val="left"/>
      <w:lvlText w:val="2"/>
      <w:numFmt w:val="bullet"/>
      <w:start w:val="1"/>
    </w:lvl>
  </w:abstractNum>
  <w:abstractNum w:abstractNumId="70">
    <w:nsid w:val="6B94764"/>
    <w:multiLevelType w:val="hybridMultilevel"/>
    <w:lvl w:ilvl="0">
      <w:lvlJc w:val="left"/>
      <w:lvlText w:val="3"/>
      <w:numFmt w:val="bullet"/>
      <w:start w:val="1"/>
    </w:lvl>
  </w:abstractNum>
  <w:abstractNum w:abstractNumId="71">
    <w:nsid w:val="42C296B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2021-01-06T15:26:23Z</dcterms:created>
  <dcterms:modified xsi:type="dcterms:W3CDTF">2021-01-06T15:26:23Z</dcterms:modified>
</cp:coreProperties>
</file>