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10-Q/A</w:t>
      </w: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right="100" w:hanging="424"/>
        <w:spacing w:after="0" w:line="236" w:lineRule="auto"/>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564"/>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4" w:type="dxa"/>
        <w:tblCellMar>
          <w:top w:w="0" w:type="dxa"/>
          <w:left w:w="0" w:type="dxa"/>
          <w:bottom w:w="0" w:type="dxa"/>
          <w:right w:w="0" w:type="dxa"/>
        </w:tblCellMar>
      </w:tblPr>
      <w:tr>
        <w:trPr>
          <w:trHeight w:val="212"/>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5880" w:type="dxa"/>
            <w:vAlign w:val="bottom"/>
          </w:tcPr>
          <w:p>
            <w:pPr>
              <w:jc w:val="center"/>
              <w:ind w:right="3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8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333 Oyster Point Boulevard</w:t>
            </w:r>
          </w:p>
        </w:tc>
        <w:tc>
          <w:tcPr>
            <w:tcW w:w="1440" w:type="dxa"/>
            <w:vAlign w:val="bottom"/>
          </w:tcPr>
          <w:p>
            <w:pPr>
              <w:spacing w:after="0"/>
              <w:rPr>
                <w:sz w:val="24"/>
                <w:szCs w:val="24"/>
                <w:color w:val="auto"/>
              </w:rPr>
            </w:pPr>
          </w:p>
        </w:tc>
      </w:tr>
      <w:tr>
        <w:trPr>
          <w:trHeight w:val="225"/>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89"/>
              </w:rPr>
              <w:t>South San Francisco,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5880" w:type="dxa"/>
            <w:vAlign w:val="bottom"/>
          </w:tcPr>
          <w:p>
            <w:pPr>
              <w:jc w:val="center"/>
              <w:ind w:right="34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880" w:type="dxa"/>
            <w:vAlign w:val="bottom"/>
          </w:tcPr>
          <w:p>
            <w:pPr>
              <w:jc w:val="right"/>
              <w:ind w:right="1319"/>
              <w:spacing w:after="0"/>
              <w:rPr>
                <w:sz w:val="20"/>
                <w:szCs w:val="20"/>
                <w:color w:val="auto"/>
              </w:rPr>
            </w:pPr>
            <w:r>
              <w:rPr>
                <w:rFonts w:ascii="Arial" w:cs="Arial" w:eastAsia="Arial" w:hAnsi="Arial"/>
                <w:sz w:val="18"/>
                <w:szCs w:val="18"/>
                <w:b w:val="1"/>
                <w:bCs w:val="1"/>
                <w:color w:val="auto"/>
              </w:rPr>
              <w:t>(650) 243-5555</w:t>
            </w:r>
          </w:p>
        </w:tc>
        <w:tc>
          <w:tcPr>
            <w:tcW w:w="1440" w:type="dxa"/>
            <w:vAlign w:val="bottom"/>
          </w:tcPr>
          <w:p>
            <w:pPr>
              <w:spacing w:after="0"/>
              <w:rPr>
                <w:sz w:val="24"/>
                <w:szCs w:val="24"/>
                <w:color w:val="auto"/>
              </w:rPr>
            </w:pPr>
          </w:p>
        </w:tc>
      </w:tr>
      <w:tr>
        <w:trPr>
          <w:trHeight w:val="186"/>
        </w:trPr>
        <w:tc>
          <w:tcPr>
            <w:tcW w:w="5880" w:type="dxa"/>
            <w:vAlign w:val="bottom"/>
          </w:tcPr>
          <w:p>
            <w:pPr>
              <w:jc w:val="center"/>
              <w:ind w:left="18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Title of Each Class of Securities Registered</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Securities are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
        <w:spacing w:after="0" w:line="207" w:lineRule="exact"/>
        <w:tabs>
          <w:tab w:leader="none" w:pos="8324" w:val="left"/>
          <w:tab w:leader="none" w:pos="9024"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024"/>
          </w:cols>
          <w:pgMar w:left="436" w:top="368" w:right="4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May 3, 2021, the registrant had 77,018,206 shares of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are filing this Amendment No. 1 to Quarterly Report on Form 10-Q/A (this “Amendment”) to amend our Quarterly Report on Form 10-Q for the quarterly period ended March 31, 2021, as filed with the Securities and Exchange Commission (the “SEC”) on May 6, 2021 (the “10-Q”). This Amendment is being filed solely to refile the certifications of our principal executive officer and principal financial officer as exhibits to this Amendment as required pursuant to Rules 13a-14(a) and 15d-14(a) under the Securities and Exchange Act of 1934.</w:t>
      </w:r>
    </w:p>
    <w:p>
      <w:pPr>
        <w:spacing w:after="0" w:line="17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No attempt has been made in this Amendment to otherwise modify or update the other disclosures presented in the 10-Q. This Amendment does not reflect events occurring after the filing of the original 10-Q (i.e., those events occurring after May 6, 2021) or modify or update those disclosures that may be affected by subsequent events. Such subsequent matters are addressed in subsequent reports filed with the SEC. Accordingly, this Amendment should be read in conjunction with the 10-Q and our other filings with the SEC.</w:t>
      </w:r>
    </w:p>
    <w:p>
      <w:pPr>
        <w:sectPr>
          <w:pgSz w:w="11900" w:h="16838" w:orient="portrait"/>
          <w:cols w:equalWidth="0" w:num="1">
            <w:col w:w="10880"/>
          </w:cols>
          <w:pgMar w:left="440" w:top="297" w:right="57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Amendment.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6040" w:type="dxa"/>
            <w:vAlign w:val="bottom"/>
            <w:gridSpan w:val="4"/>
          </w:tcPr>
          <w:p>
            <w:pPr>
              <w:ind w:left="26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59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Certification of Principal Executive Officer, pursuant to Rule 13a-14(a)/15d-14(a),</w:t>
              </w:r>
            </w:hyperlink>
          </w:p>
        </w:tc>
        <w:tc>
          <w:tcPr>
            <w:tcW w:w="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4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as adopted pursuant to Section 302 of the Sarbanes-Oxley Act of 2002.</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6040" w:type="dxa"/>
            <w:vAlign w:val="bottom"/>
            <w:gridSpan w:val="4"/>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Certification of Principal Financial Officer, pursuant to Rule 13a-14(a)/15d-14(a),</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as adopted pursuant to Section 302 of the Sarbanes-Oxley Act of 2002.</w:t>
              </w:r>
            </w:hyperlink>
          </w:p>
        </w:tc>
        <w:tc>
          <w:tcPr>
            <w:tcW w:w="140" w:type="dxa"/>
            <w:vAlign w:val="bottom"/>
            <w:gridSpan w:val="2"/>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w w:val="95"/>
              </w:rPr>
              <w:t>Cover Page Interactive Data File (embedded within the Inline XBRL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140" w:type="dxa"/>
            <w:vAlign w:val="bottom"/>
            <w:tcBorders>
              <w:top w:val="single" w:sz="8" w:color="auto"/>
            </w:tcBorders>
            <w:gridSpan w:val="2"/>
          </w:tcPr>
          <w:p>
            <w:pPr>
              <w:jc w:val="center"/>
              <w:ind w:right="580"/>
              <w:spacing w:after="0" w:line="133" w:lineRule="exact"/>
              <w:rPr>
                <w:sz w:val="20"/>
                <w:szCs w:val="20"/>
                <w:color w:val="auto"/>
              </w:rPr>
            </w:pPr>
            <w:r>
              <w:rPr>
                <w:rFonts w:ascii="Arial" w:cs="Arial" w:eastAsia="Arial" w:hAnsi="Arial"/>
                <w:sz w:val="14"/>
                <w:szCs w:val="14"/>
                <w:b w:val="1"/>
                <w:bCs w:val="1"/>
                <w:color w:val="auto"/>
                <w:w w:val="89"/>
              </w:rPr>
              <w:t>Schedule</w:t>
            </w:r>
          </w:p>
        </w:tc>
        <w:tc>
          <w:tcPr>
            <w:tcW w:w="1120" w:type="dxa"/>
            <w:vAlign w:val="bottom"/>
            <w:tcBorders>
              <w:top w:val="single" w:sz="8" w:color="auto"/>
            </w:tcBorders>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w w:val="99"/>
              </w:rPr>
              <w:t>File</w:t>
            </w:r>
          </w:p>
        </w:tc>
        <w:tc>
          <w:tcPr>
            <w:tcW w:w="54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300" w:type="dxa"/>
            <w:vAlign w:val="bottom"/>
            <w:tcBorders>
              <w:top w:val="single" w:sz="8" w:color="auto"/>
            </w:tcBorders>
            <w:vMerge w:val="restart"/>
          </w:tcPr>
          <w:p>
            <w:pPr>
              <w:spacing w:after="0"/>
              <w:rPr>
                <w:sz w:val="11"/>
                <w:szCs w:val="11"/>
                <w:color w:val="auto"/>
              </w:rPr>
            </w:pPr>
          </w:p>
        </w:tc>
        <w:tc>
          <w:tcPr>
            <w:tcW w:w="3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5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ectPr>
          <w:pgSz w:w="11900" w:h="16838" w:orient="portrait"/>
          <w:cols w:equalWidth="0" w:num="2">
            <w:col w:w="6960" w:space="300"/>
            <w:col w:w="3620"/>
          </w:cols>
          <w:pgMar w:left="440" w:top="297" w:right="579" w:bottom="1440" w:gutter="0" w:footer="0" w:header="0"/>
          <w:type w:val="continuous"/>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J. Woodhouse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0780"/>
          </w:cols>
          <w:pgMar w:left="440" w:top="297"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David J. Woodhouse, certify that:</w:t>
      </w:r>
    </w:p>
    <w:p>
      <w:pPr>
        <w:spacing w:after="0" w:line="13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4, 2021</w:t>
      </w:r>
    </w:p>
    <w:p>
      <w:pPr>
        <w:spacing w:after="0" w:line="252" w:lineRule="exact"/>
        <w:rPr>
          <w:sz w:val="20"/>
          <w:szCs w:val="20"/>
          <w:color w:val="auto"/>
        </w:rPr>
      </w:pPr>
    </w:p>
    <w:p>
      <w:pPr>
        <w:ind w:left="6664"/>
        <w:spacing w:after="0"/>
        <w:tabs>
          <w:tab w:leader="none" w:pos="814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14605</wp:posOffset>
            </wp:positionV>
            <wp:extent cx="25374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2"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David J. Woodhouse, Ph.D.</w:t>
      </w:r>
    </w:p>
    <w:p>
      <w:pPr>
        <w:spacing w:after="0" w:line="27"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024"/>
          </w:cols>
          <w:pgMar w:left="436"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Siobhan Nolan Mangini, certify that:</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4, 2021</w:t>
      </w:r>
    </w:p>
    <w:p>
      <w:pPr>
        <w:spacing w:after="0" w:line="225" w:lineRule="exact"/>
        <w:rPr>
          <w:sz w:val="20"/>
          <w:szCs w:val="20"/>
          <w:color w:val="auto"/>
        </w:rPr>
      </w:pPr>
    </w:p>
    <w:p>
      <w:pPr>
        <w:ind w:left="5624"/>
        <w:spacing w:after="0"/>
        <w:tabs>
          <w:tab w:leader="none" w:pos="754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Siobhan Nolan Mangini</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i w:val="1"/>
          <w:iCs w:val="1"/>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2021-11-04T16:03:25Z</dcterms:created>
  <dcterms:modified xsi:type="dcterms:W3CDTF">2021-11-04T16:03:25Z</dcterms:modified>
</cp:coreProperties>
</file>