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COLUMN GROUP L P</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10"/>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60" w:type="dxa"/>
            <w:vAlign w:val="bottom"/>
            <w:gridSpan w:val="10"/>
            <w:vMerge w:val="continue"/>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9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60" w:type="dxa"/>
            <w:vAlign w:val="bottom"/>
          </w:tcPr>
          <w:p>
            <w:pPr>
              <w:spacing w:after="0"/>
              <w:rPr>
                <w:sz w:val="15"/>
                <w:szCs w:val="15"/>
                <w:color w:val="auto"/>
              </w:rPr>
            </w:pPr>
          </w:p>
        </w:tc>
        <w:tc>
          <w:tcPr>
            <w:tcW w:w="1360" w:type="dxa"/>
            <w:vAlign w:val="bottom"/>
            <w:gridSpan w:val="6"/>
          </w:tcPr>
          <w:p>
            <w:pPr>
              <w:ind w:left="2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360" w:type="dxa"/>
            <w:vAlign w:val="bottom"/>
            <w:gridSpan w:val="6"/>
          </w:tcPr>
          <w:p>
            <w:pPr>
              <w:ind w:left="24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6"/>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09/01/2020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36,494</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17.64</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rPr>
              <w:t>1,799,430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D</w:t>
            </w:r>
            <w:r>
              <w:rPr>
                <w:rFonts w:ascii="Times New Roman" w:cs="Times New Roman" w:eastAsia="Times New Roman" w:hAnsi="Times New Roman"/>
                <w:sz w:val="11"/>
                <w:szCs w:val="11"/>
                <w:color w:val="008000"/>
                <w:w w:val="90"/>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09/02/2020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27,595</w:t>
            </w:r>
            <w:r>
              <w:rPr>
                <w:rFonts w:ascii="Times New Roman" w:cs="Times New Roman" w:eastAsia="Times New Roman" w:hAnsi="Times New Roman"/>
                <w:sz w:val="22"/>
                <w:szCs w:val="22"/>
                <w:color w:val="008000"/>
                <w:vertAlign w:val="superscript"/>
              </w:rPr>
              <w:t>(4)</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17.67</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rPr>
              <w:t>1,827,025</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D</w:t>
            </w:r>
            <w:r>
              <w:rPr>
                <w:rFonts w:ascii="Times New Roman" w:cs="Times New Roman" w:eastAsia="Times New Roman" w:hAnsi="Times New Roman"/>
                <w:sz w:val="11"/>
                <w:szCs w:val="11"/>
                <w:color w:val="008000"/>
                <w:w w:val="90"/>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ind w:right="60"/>
              <w:spacing w:after="0"/>
              <w:rPr>
                <w:sz w:val="20"/>
                <w:szCs w:val="20"/>
                <w:color w:val="auto"/>
              </w:rPr>
            </w:pPr>
            <w:r>
              <w:rPr>
                <w:rFonts w:ascii="Times New Roman" w:cs="Times New Roman" w:eastAsia="Times New Roman" w:hAnsi="Times New Roman"/>
                <w:sz w:val="17"/>
                <w:szCs w:val="17"/>
                <w:color w:val="0000FF"/>
                <w:w w:val="96"/>
              </w:rPr>
              <w:t>16,166,907</w:t>
            </w:r>
            <w:r>
              <w:rPr>
                <w:rFonts w:ascii="Times New Roman" w:cs="Times New Roman" w:eastAsia="Times New Roman" w:hAnsi="Times New Roman"/>
                <w:sz w:val="22"/>
                <w:szCs w:val="22"/>
                <w:color w:val="008000"/>
                <w:w w:val="96"/>
                <w:vertAlign w:val="superscript"/>
              </w:rPr>
              <w:t>(5)</w:t>
            </w:r>
          </w:p>
        </w:tc>
        <w:tc>
          <w:tcPr>
            <w:tcW w:w="1140" w:type="dxa"/>
            <w:vAlign w:val="bottom"/>
            <w:tcBorders>
              <w:bottom w:val="single" w:sz="8" w:color="2C2C2C"/>
            </w:tcBorders>
            <w:gridSpan w:val="2"/>
          </w:tcPr>
          <w:p>
            <w:pPr>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(6)(7)(8)(9)(10)(11)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15,000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D</w:t>
            </w:r>
            <w:r>
              <w:rPr>
                <w:rFonts w:ascii="Times New Roman" w:cs="Times New Roman" w:eastAsia="Times New Roman" w:hAnsi="Times New Roman"/>
                <w:sz w:val="11"/>
                <w:szCs w:val="11"/>
                <w:color w:val="008000"/>
                <w:w w:val="86"/>
              </w:rPr>
              <w:t>(12)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44,000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D</w:t>
            </w:r>
            <w:r>
              <w:rPr>
                <w:rFonts w:ascii="Times New Roman" w:cs="Times New Roman" w:eastAsia="Times New Roman" w:hAnsi="Times New Roman"/>
                <w:sz w:val="11"/>
                <w:szCs w:val="11"/>
                <w:color w:val="008000"/>
                <w:w w:val="86"/>
              </w:rPr>
              <w:t>(13)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190,000</w:t>
            </w:r>
          </w:p>
        </w:tc>
        <w:tc>
          <w:tcPr>
            <w:tcW w:w="300" w:type="dxa"/>
            <w:vAlign w:val="bottom"/>
          </w:tcPr>
          <w:p>
            <w:pPr>
              <w:spacing w:after="0"/>
              <w:rPr>
                <w:sz w:val="21"/>
                <w:szCs w:val="21"/>
                <w:color w:val="auto"/>
              </w:rPr>
            </w:pP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880" w:type="dxa"/>
            <w:vAlign w:val="bottom"/>
            <w:vMerge w:val="restart"/>
          </w:tcPr>
          <w:p>
            <w:pPr>
              <w:ind w:left="280"/>
              <w:spacing w:after="0"/>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5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vMerge w:val="continue"/>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6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COLUMN GROUP L P</w:t>
              </w:r>
            </w:hyperlink>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COLUMN GROUP GP, LP</w:t>
              </w:r>
            </w:hyperlink>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-6727825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113665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780" w:type="dxa"/>
            <w:vAlign w:val="bottom"/>
            <w:gridSpan w:val="2"/>
          </w:tcPr>
          <w:p>
            <w:pPr>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COLUMN GROUP II, LP</w:t>
              </w:r>
            </w:hyperlink>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780" w:type="dxa"/>
            <w:vAlign w:val="bottom"/>
            <w:gridSpan w:val="2"/>
          </w:tcPr>
          <w:p>
            <w:pPr>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Column Group II GP, LP</w:t>
              </w:r>
            </w:hyperlink>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780" w:type="dxa"/>
            <w:vAlign w:val="bottom"/>
            <w:gridSpan w:val="2"/>
          </w:tcPr>
          <w:p>
            <w:pPr>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Column Group Management LP</w:t>
              </w:r>
            </w:hyperlink>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780" w:type="dxa"/>
            <w:vAlign w:val="bottom"/>
            <w:gridSpan w:val="2"/>
          </w:tcPr>
          <w:p>
            <w:pPr>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PONOI CAPITAL, LP</w:t>
              </w:r>
            </w:hyperlink>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780" w:type="dxa"/>
            <w:vAlign w:val="bottom"/>
            <w:gridSpan w:val="2"/>
          </w:tcPr>
          <w:p>
            <w:pPr>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Ponoi Management, LLC</w:t>
              </w:r>
            </w:hyperlink>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-10179685</wp:posOffset>
            </wp:positionV>
            <wp:extent cx="2783840" cy="1052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783840" cy="10526395"/>
                    </a:xfrm>
                    <a:prstGeom prst="rect">
                      <a:avLst/>
                    </a:prstGeom>
                    <a:noFill/>
                  </pic:spPr>
                </pic:pic>
              </a:graphicData>
            </a:graphic>
          </wp:anchor>
        </w:drawing>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79"/>
          </w:cols>
          <w:pgMar w:left="480" w:top="125" w:right="1440" w:bottom="0" w:gutter="0" w:footer="0" w:header="0"/>
        </w:sectPr>
      </w:pPr>
    </w:p>
    <w:bookmarkStart w:id="2" w:name="page3"/>
    <w:bookmarkEnd w:id="2"/>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Ponoi Capital II,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-134620</wp:posOffset>
            </wp:positionV>
            <wp:extent cx="2783840" cy="5584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783840" cy="558482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660" w:type="dxa"/>
            <w:vAlign w:val="bottom"/>
            <w:gridSpan w:val="2"/>
          </w:tcPr>
          <w:p>
            <w:pPr>
              <w:spacing w:after="0"/>
              <w:rPr>
                <w:rFonts w:ascii="Times New Roman" w:cs="Times New Roman" w:eastAsia="Times New Roman" w:hAnsi="Times New Roman"/>
                <w:sz w:val="21"/>
                <w:szCs w:val="21"/>
                <w:u w:val="single" w:color="auto"/>
                <w:color w:val="0000EE"/>
              </w:rPr>
            </w:pPr>
            <w:hyperlink r:id="rId26">
              <w:r>
                <w:rPr>
                  <w:rFonts w:ascii="Times New Roman" w:cs="Times New Roman" w:eastAsia="Times New Roman" w:hAnsi="Times New Roman"/>
                  <w:sz w:val="21"/>
                  <w:szCs w:val="21"/>
                  <w:u w:val="single" w:color="auto"/>
                  <w:color w:val="0000EE"/>
                </w:rPr>
                <w:t>Ponoi II Management, LLC</w:t>
              </w:r>
            </w:hyperlink>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276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1260" w:type="dxa"/>
            <w:vAlign w:val="bottom"/>
          </w:tcPr>
          <w:p>
            <w:pPr>
              <w:spacing w:after="0"/>
              <w:rPr>
                <w:rFonts w:ascii="Times New Roman" w:cs="Times New Roman" w:eastAsia="Times New Roman" w:hAnsi="Times New Roman"/>
                <w:sz w:val="21"/>
                <w:szCs w:val="21"/>
                <w:u w:val="single" w:color="auto"/>
                <w:color w:val="0000EE"/>
              </w:rPr>
            </w:pPr>
            <w:hyperlink r:id="rId27">
              <w:r>
                <w:rPr>
                  <w:rFonts w:ascii="Times New Roman" w:cs="Times New Roman" w:eastAsia="Times New Roman" w:hAnsi="Times New Roman"/>
                  <w:sz w:val="21"/>
                  <w:szCs w:val="21"/>
                  <w:u w:val="single" w:color="auto"/>
                  <w:color w:val="0000EE"/>
                </w:rPr>
                <w:t>Kutzkey Tim</w:t>
              </w:r>
            </w:hyperlink>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17,139 shares of Common Stock held directly by The Column Group III, LP ("TCG III LP") and 19,355 shares of Common Stock held directly by The Column Group III-A, LP ("TCG III-A LP").</w:t>
      </w:r>
    </w:p>
    <w:p>
      <w:pPr>
        <w:spacing w:after="0" w:line="7" w:lineRule="exact"/>
        <w:rPr>
          <w:rFonts w:ascii="Times New Roman" w:cs="Times New Roman" w:eastAsia="Times New Roman" w:hAnsi="Times New Roman"/>
          <w:sz w:val="13"/>
          <w:szCs w:val="13"/>
          <w:color w:val="008000"/>
        </w:rPr>
      </w:pPr>
    </w:p>
    <w:p>
      <w:pPr>
        <w:ind w:left="20" w:right="1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0" w:lineRule="exact"/>
        <w:rPr>
          <w:rFonts w:ascii="Times New Roman" w:cs="Times New Roman" w:eastAsia="Times New Roman" w:hAnsi="Times New Roman"/>
          <w:sz w:val="13"/>
          <w:szCs w:val="13"/>
          <w:color w:val="008000"/>
        </w:rPr>
      </w:pPr>
    </w:p>
    <w:p>
      <w:pPr>
        <w:ind w:left="20" w:right="1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12,960 shares of Common Stock held directly by TCG III LP and 14,635 shares of Common Stock held directly by TCG III-A LP.</w:t>
      </w:r>
    </w:p>
    <w:p>
      <w:pPr>
        <w:spacing w:after="0" w:line="50" w:lineRule="exact"/>
        <w:rPr>
          <w:rFonts w:ascii="Times New Roman" w:cs="Times New Roman" w:eastAsia="Times New Roman" w:hAnsi="Times New Roman"/>
          <w:sz w:val="13"/>
          <w:szCs w:val="13"/>
          <w:color w:val="008000"/>
        </w:rPr>
      </w:pPr>
    </w:p>
    <w:p>
      <w:pPr>
        <w:ind w:left="20" w:right="1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20" w:lineRule="exact"/>
        <w:rPr>
          <w:rFonts w:ascii="Times New Roman" w:cs="Times New Roman" w:eastAsia="Times New Roman" w:hAnsi="Times New Roman"/>
          <w:sz w:val="13"/>
          <w:szCs w:val="13"/>
          <w:color w:val="008000"/>
        </w:rPr>
      </w:pPr>
    </w:p>
    <w:p>
      <w:pPr>
        <w:ind w:left="20" w:right="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0" w:lineRule="exact"/>
        <w:rPr>
          <w:rFonts w:ascii="Times New Roman" w:cs="Times New Roman" w:eastAsia="Times New Roman" w:hAnsi="Times New Roman"/>
          <w:sz w:val="13"/>
          <w:szCs w:val="13"/>
          <w:color w:val="008000"/>
        </w:rPr>
      </w:pPr>
    </w:p>
    <w:p>
      <w:pPr>
        <w:ind w:left="20" w:right="2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0" w:lineRule="exact"/>
        <w:rPr>
          <w:rFonts w:ascii="Times New Roman" w:cs="Times New Roman" w:eastAsia="Times New Roman" w:hAnsi="Times New Roman"/>
          <w:sz w:val="13"/>
          <w:szCs w:val="13"/>
          <w:color w:val="008000"/>
        </w:rPr>
      </w:pPr>
    </w:p>
    <w:p>
      <w:pPr>
        <w:ind w:left="20" w:right="4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7"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7"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0" w:lineRule="exact"/>
        <w:rPr>
          <w:rFonts w:ascii="Times New Roman" w:cs="Times New Roman" w:eastAsia="Times New Roman" w:hAnsi="Times New Roman"/>
          <w:sz w:val="13"/>
          <w:szCs w:val="13"/>
          <w:color w:val="008000"/>
        </w:rPr>
      </w:pPr>
    </w:p>
    <w:p>
      <w:pPr>
        <w:ind w:left="20" w:right="160" w:firstLine="7"/>
        <w:spacing w:after="0" w:line="253" w:lineRule="auto"/>
        <w:tabs>
          <w:tab w:leader="none" w:pos="21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solely by Tim Kutzkey.</w:t>
      </w:r>
    </w:p>
    <w:p>
      <w:pPr>
        <w:spacing w:after="0" w:line="50"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 who is a managing partner at The Column Group which invests through TCG II LP, Ponoi LP, Ponoi II LP, TCG III LP and TCG III-A LP (collectively, the "Funds"), among other entities. Under the partnership agreements of the Funds and his agreement with TCGM LP, Mr. Svennilson is deemed to hold certain of the securities for the economic benefit of the Funds and TCGM LP. The Funds and their respective general partners, TCGM LP and the individual managing partners of such entities may be deemed indirect beneficial owners of such securities. Such reporting persons disclaim beneficial ownership of the securities except to the extent of their pecuniary interest therein.</w:t>
      </w:r>
    </w:p>
    <w:p>
      <w:pPr>
        <w:spacing w:after="0" w:line="24"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David V. Goeddel and Alena Z. Goeddel 2004 Trust for which David V. Goeddel and Alena Z. Goeddel serve as co-trustee.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1 of 2.</w:t>
      </w:r>
    </w:p>
    <w:p>
      <w:pPr>
        <w:sectPr>
          <w:pgSz w:w="11900" w:h="16838" w:orient="portrait"/>
          <w:cols w:equalWidth="0" w:num="1">
            <w:col w:w="10900"/>
          </w:cols>
          <w:pgMar w:left="480" w:top="111" w:right="51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Jennifer J.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80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500" w:space="260"/>
            <w:col w:w="2140"/>
          </w:cols>
          <w:pgMar w:left="480" w:top="111" w:right="519" w:bottom="0" w:gutter="0" w:footer="0" w:header="0"/>
          <w:type w:val="continuous"/>
        </w:sectPr>
      </w:pPr>
    </w:p>
    <w:bookmarkStart w:id="3" w:name="page4"/>
    <w:bookmarkEnd w:id="3"/>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2"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5"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14627" TargetMode="External"/><Relationship Id="rId18" Type="http://schemas.openxmlformats.org/officeDocument/2006/relationships/hyperlink" Target="http://www.sec.gov/cgi-bin/browse-edgar?action=getcompany&amp;CIK=0001600420" TargetMode="External"/><Relationship Id="rId19" Type="http://schemas.openxmlformats.org/officeDocument/2006/relationships/hyperlink" Target="http://www.sec.gov/cgi-bin/browse-edgar?action=getcompany&amp;CIK=0001645333" TargetMode="External"/><Relationship Id="rId20" Type="http://schemas.openxmlformats.org/officeDocument/2006/relationships/hyperlink" Target="http://www.sec.gov/cgi-bin/browse-edgar?action=getcompany&amp;CIK=0001645340" TargetMode="External"/><Relationship Id="rId21"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4" Type="http://schemas.openxmlformats.org/officeDocument/2006/relationships/hyperlink" Target="http://www.sec.gov/cgi-bin/browse-edgar?action=getcompany&amp;CIK=0001732601" TargetMode="External"/><Relationship Id="rId26" Type="http://schemas.openxmlformats.org/officeDocument/2006/relationships/hyperlink" Target="http://www.sec.gov/cgi-bin/browse-edgar?action=getcompany&amp;CIK=0001746488" TargetMode="External"/><Relationship Id="rId27" Type="http://schemas.openxmlformats.org/officeDocument/2006/relationships/hyperlink" Target="http://www.sec.gov/cgi-bin/browse-edgar?action=getcompany&amp;CIK=00016141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2020-09-03T16:32:41Z</dcterms:created>
  <dcterms:modified xsi:type="dcterms:W3CDTF">2020-09-03T16:32:41Z</dcterms:modified>
</cp:coreProperties>
</file>