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April 4, 2019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167640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NGM BIOPHARMACEUTICALS,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176530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26-1679911</w:t>
      </w:r>
    </w:p>
    <w:p>
      <w:pPr>
        <w:spacing w:after="0" w:line="31" w:lineRule="exact"/>
        <w:rPr>
          <w:sz w:val="24"/>
          <w:szCs w:val="24"/>
          <w:color w:val="auto"/>
        </w:rPr>
      </w:pPr>
    </w:p>
    <w:p>
      <w:pPr>
        <w:sectPr>
          <w:pgSz w:w="11900" w:h="16838" w:orient="portrait"/>
          <w:cols w:equalWidth="0" w:num="2">
            <w:col w:w="7200" w:space="720"/>
            <w:col w:w="3100"/>
          </w:cols>
          <w:pgMar w:left="440" w:top="229" w:right="439" w:bottom="144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36" w:lineRule="exact"/>
        <w:rPr>
          <w:sz w:val="24"/>
          <w:szCs w:val="24"/>
          <w:color w:val="auto"/>
        </w:rPr>
      </w:pPr>
    </w:p>
    <w:p>
      <w:pPr>
        <w:sectPr>
          <w:pgSz w:w="11900" w:h="16838" w:orient="portrait"/>
          <w:cols w:equalWidth="0" w:num="2">
            <w:col w:w="7060" w:space="720"/>
            <w:col w:w="3240"/>
          </w:cols>
          <w:pgMar w:left="440" w:top="229" w:right="4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333 Oyster Point Boulevard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South San Francisco, California 94080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(Zip code)</w:t>
      </w:r>
    </w:p>
    <w:p>
      <w:pPr>
        <w:sectPr>
          <w:pgSz w:w="11900" w:h="16838" w:orient="portrait"/>
          <w:cols w:equalWidth="0" w:num="1">
            <w:col w:w="11020"/>
          </w:cols>
          <w:pgMar w:left="440" w:top="229" w:right="439" w:bottom="1440" w:gutter="0" w:footer="0" w:header="0"/>
          <w:type w:val="continuous"/>
        </w:sectPr>
      </w:pPr>
    </w:p>
    <w:p>
      <w:pPr>
        <w:spacing w:after="0" w:line="148" w:lineRule="exact"/>
        <w:rPr>
          <w:sz w:val="24"/>
          <w:szCs w:val="24"/>
          <w:color w:val="auto"/>
        </w:rPr>
      </w:pPr>
    </w:p>
    <w:p>
      <w:pPr>
        <w:jc w:val="center"/>
        <w:ind w:left="460" w:right="2320"/>
        <w:spacing w:after="0" w:line="255" w:lineRule="auto"/>
        <w:rPr>
          <w:sz w:val="20"/>
          <w:szCs w:val="20"/>
          <w:color w:val="auto"/>
        </w:rPr>
      </w:pPr>
      <w:r>
        <w:rPr>
          <w:rFonts w:ascii="Arial" w:cs="Arial" w:eastAsia="Arial" w:hAnsi="Arial"/>
          <w:sz w:val="18"/>
          <w:szCs w:val="18"/>
          <w:b w:val="1"/>
          <w:bCs w:val="1"/>
          <w:color w:val="auto"/>
        </w:rPr>
        <w:t>NGM Biopharmaceuticals, Inc. 2008 Equity Incentive Plan NGM Biopharmaceuticals, Inc. Amended and Restated 2018 Equity Incentive Plan NGM Biopharmaceuticals, Inc. 2019 Employee Stock Purchase Plan</w:t>
      </w: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J. Woodhouse,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Acting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South San Francisco, California 94080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 (Telephone number, including area code, of agent for service)</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L. Guernsey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E. Tenta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Carlton Fleming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3175 Hanover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843-5000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168910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93" w:lineRule="exact"/>
        <w:rPr>
          <w:sz w:val="24"/>
          <w:szCs w:val="24"/>
          <w:color w:val="auto"/>
        </w:rPr>
      </w:pPr>
    </w:p>
    <w:p>
      <w:pPr>
        <w:ind w:right="12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40" w:type="dxa"/>
            <w:vAlign w:val="bottom"/>
          </w:tcPr>
          <w:p>
            <w:pPr>
              <w:spacing w:after="0"/>
              <w:rPr>
                <w:sz w:val="20"/>
                <w:szCs w:val="20"/>
                <w:color w:val="auto"/>
              </w:rPr>
            </w:pPr>
            <w:r>
              <w:rPr>
                <w:rFonts w:ascii="Arial" w:cs="Arial" w:eastAsia="Arial" w:hAnsi="Arial"/>
                <w:sz w:val="18"/>
                <w:szCs w:val="18"/>
                <w:color w:val="auto"/>
                <w:w w:val="96"/>
              </w:rPr>
              <w:t>Large 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5420" w:type="dxa"/>
            <w:vAlign w:val="bottom"/>
          </w:tcPr>
          <w:p>
            <w:pPr>
              <w:ind w:left="328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420" w:type="dxa"/>
            <w:vAlign w:val="bottom"/>
          </w:tcPr>
          <w:p>
            <w:pPr>
              <w:ind w:left="328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20"/>
          </w:cols>
          <w:pgMar w:left="440" w:top="229" w:right="4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9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98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7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Borders>
              <w:right w:val="single" w:sz="8" w:color="auto"/>
            </w:tcBorders>
          </w:tcPr>
          <w:p>
            <w:pPr>
              <w:spacing w:after="0"/>
              <w:rPr>
                <w:sz w:val="12"/>
                <w:szCs w:val="12"/>
                <w:color w:val="auto"/>
              </w:rPr>
            </w:pPr>
          </w:p>
        </w:tc>
        <w:tc>
          <w:tcPr>
            <w:tcW w:w="1780" w:type="dxa"/>
            <w:vAlign w:val="bottom"/>
            <w:tcBorders>
              <w:right w:val="single" w:sz="8" w:color="auto"/>
            </w:tcBorders>
          </w:tcPr>
          <w:p>
            <w:pPr>
              <w:spacing w:after="0"/>
              <w:rPr>
                <w:sz w:val="12"/>
                <w:szCs w:val="12"/>
                <w:color w:val="auto"/>
              </w:rPr>
            </w:pPr>
          </w:p>
        </w:tc>
        <w:tc>
          <w:tcPr>
            <w:tcW w:w="1760" w:type="dxa"/>
            <w:vAlign w:val="bottom"/>
            <w:tcBorders>
              <w:right w:val="single" w:sz="8" w:color="auto"/>
            </w:tcBorders>
            <w:vMerge w:val="continue"/>
          </w:tcPr>
          <w:p>
            <w:pPr>
              <w:spacing w:after="0"/>
              <w:rPr>
                <w:sz w:val="12"/>
                <w:szCs w:val="12"/>
                <w:color w:val="auto"/>
              </w:rPr>
            </w:pPr>
          </w:p>
        </w:tc>
        <w:tc>
          <w:tcPr>
            <w:tcW w:w="17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980" w:type="dxa"/>
            <w:vAlign w:val="bottom"/>
            <w:tcBorders>
              <w:right w:val="single" w:sz="8" w:color="auto"/>
            </w:tcBorders>
          </w:tcPr>
          <w:p>
            <w:pPr>
              <w:ind w:left="1440"/>
              <w:spacing w:after="0" w:line="158" w:lineRule="exact"/>
              <w:rPr>
                <w:sz w:val="20"/>
                <w:szCs w:val="20"/>
                <w:color w:val="auto"/>
              </w:rPr>
            </w:pPr>
            <w:r>
              <w:rPr>
                <w:rFonts w:ascii="Arial" w:cs="Arial" w:eastAsia="Arial" w:hAnsi="Arial"/>
                <w:sz w:val="14"/>
                <w:szCs w:val="14"/>
                <w:b w:val="1"/>
                <w:bCs w:val="1"/>
                <w:color w:val="auto"/>
              </w:rPr>
              <w:t>Title of Securities</w:t>
            </w:r>
          </w:p>
        </w:tc>
        <w:tc>
          <w:tcPr>
            <w:tcW w:w="1780" w:type="dxa"/>
            <w:vAlign w:val="bottom"/>
            <w:tcBorders>
              <w:right w:val="single" w:sz="8" w:color="auto"/>
            </w:tcBorders>
          </w:tcPr>
          <w:p>
            <w:pPr>
              <w:ind w:left="500"/>
              <w:spacing w:after="0" w:line="158" w:lineRule="exact"/>
              <w:rPr>
                <w:sz w:val="20"/>
                <w:szCs w:val="20"/>
                <w:color w:val="auto"/>
              </w:rPr>
            </w:pPr>
            <w:r>
              <w:rPr>
                <w:rFonts w:ascii="Arial" w:cs="Arial" w:eastAsia="Arial" w:hAnsi="Arial"/>
                <w:sz w:val="14"/>
                <w:szCs w:val="14"/>
                <w:b w:val="1"/>
                <w:bCs w:val="1"/>
                <w:color w:val="auto"/>
              </w:rPr>
              <w:t>Amount to be</w:t>
            </w:r>
          </w:p>
        </w:tc>
        <w:tc>
          <w:tcPr>
            <w:tcW w:w="1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Aggregate</w:t>
            </w:r>
          </w:p>
        </w:tc>
        <w:tc>
          <w:tcPr>
            <w:tcW w:w="1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tcBorders>
              <w:bottom w:val="single" w:sz="8" w:color="auto"/>
              <w:right w:val="single" w:sz="8" w:color="auto"/>
            </w:tcBorders>
          </w:tcPr>
          <w:p>
            <w:pPr>
              <w:ind w:left="1480"/>
              <w:spacing w:after="0"/>
              <w:rPr>
                <w:sz w:val="20"/>
                <w:szCs w:val="20"/>
                <w:color w:val="auto"/>
              </w:rPr>
            </w:pPr>
            <w:r>
              <w:rPr>
                <w:rFonts w:ascii="Arial" w:cs="Arial" w:eastAsia="Arial" w:hAnsi="Arial"/>
                <w:sz w:val="14"/>
                <w:szCs w:val="14"/>
                <w:b w:val="1"/>
                <w:bCs w:val="1"/>
                <w:color w:val="auto"/>
              </w:rPr>
              <w:t>to be Registered</w:t>
            </w:r>
          </w:p>
        </w:tc>
        <w:tc>
          <w:tcPr>
            <w:tcW w:w="17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4"/>
                <w:szCs w:val="14"/>
                <w:b w:val="1"/>
                <w:bCs w:val="1"/>
                <w:color w:val="auto"/>
              </w:rPr>
              <w:t xml:space="preserve">Registered </w:t>
            </w:r>
            <w:r>
              <w:rPr>
                <w:rFonts w:ascii="Arial" w:cs="Arial" w:eastAsia="Arial" w:hAnsi="Arial"/>
                <w:sz w:val="12"/>
                <w:szCs w:val="12"/>
                <w:b w:val="1"/>
                <w:bCs w:val="1"/>
                <w:color w:val="auto"/>
              </w:rPr>
              <w:t>(1)</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Offering Price per Share</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78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2008 Equity Incentive Plan</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7,105,389 </w:t>
            </w:r>
            <w:r>
              <w:rPr>
                <w:rFonts w:ascii="Arial" w:cs="Arial" w:eastAsia="Arial" w:hAnsi="Arial"/>
                <w:sz w:val="15"/>
                <w:szCs w:val="15"/>
                <w:b w:val="1"/>
                <w:bCs w:val="1"/>
                <w:color w:val="auto"/>
                <w:w w:val="90"/>
              </w:rPr>
              <w:t>(2)</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$4.59 </w:t>
            </w:r>
            <w:r>
              <w:rPr>
                <w:rFonts w:ascii="Arial" w:cs="Arial" w:eastAsia="Arial" w:hAnsi="Arial"/>
                <w:sz w:val="15"/>
                <w:szCs w:val="15"/>
                <w:b w:val="1"/>
                <w:bCs w:val="1"/>
                <w:color w:val="auto"/>
                <w:w w:val="90"/>
              </w:rPr>
              <w:t>(5)</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$32,613,736 </w:t>
            </w:r>
            <w:r>
              <w:rPr>
                <w:rFonts w:ascii="Arial" w:cs="Arial" w:eastAsia="Arial" w:hAnsi="Arial"/>
                <w:sz w:val="15"/>
                <w:szCs w:val="15"/>
                <w:b w:val="1"/>
                <w:bCs w:val="1"/>
                <w:color w:val="auto"/>
                <w:w w:val="90"/>
              </w:rPr>
              <w:t>(5)</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$3,953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Borders>
              <w:right w:val="single" w:sz="8" w:color="auto"/>
            </w:tcBorders>
          </w:tcPr>
          <w:p>
            <w:pPr>
              <w:ind w:left="340"/>
              <w:spacing w:after="0" w:line="195" w:lineRule="exact"/>
              <w:rPr>
                <w:sz w:val="20"/>
                <w:szCs w:val="20"/>
                <w:color w:val="auto"/>
              </w:rPr>
            </w:pPr>
            <w:r>
              <w:rPr>
                <w:rFonts w:ascii="Arial" w:cs="Arial" w:eastAsia="Arial" w:hAnsi="Arial"/>
                <w:sz w:val="18"/>
                <w:szCs w:val="18"/>
                <w:color w:val="auto"/>
                <w:w w:val="94"/>
              </w:rPr>
              <w:t>– Amended and Restated 2018 Equity Incentive</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xml:space="preserve">17,874,624 </w:t>
            </w:r>
            <w:r>
              <w:rPr>
                <w:rFonts w:ascii="Arial" w:cs="Arial" w:eastAsia="Arial" w:hAnsi="Arial"/>
                <w:sz w:val="15"/>
                <w:szCs w:val="15"/>
                <w:b w:val="1"/>
                <w:bCs w:val="1"/>
                <w:color w:val="auto"/>
                <w:w w:val="89"/>
              </w:rPr>
              <w:t>(3)</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 xml:space="preserve">$10.41 – $16.00 </w:t>
            </w:r>
            <w:r>
              <w:rPr>
                <w:rFonts w:ascii="Arial" w:cs="Arial" w:eastAsia="Arial" w:hAnsi="Arial"/>
                <w:sz w:val="15"/>
                <w:szCs w:val="15"/>
                <w:b w:val="1"/>
                <w:bCs w:val="1"/>
                <w:color w:val="auto"/>
                <w:w w:val="89"/>
              </w:rPr>
              <w:t>(6)</w:t>
            </w:r>
          </w:p>
        </w:tc>
        <w:tc>
          <w:tcPr>
            <w:tcW w:w="1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 xml:space="preserve">$263,107,132 </w:t>
            </w:r>
            <w:r>
              <w:rPr>
                <w:rFonts w:ascii="Arial" w:cs="Arial" w:eastAsia="Arial" w:hAnsi="Arial"/>
                <w:sz w:val="15"/>
                <w:szCs w:val="15"/>
                <w:b w:val="1"/>
                <w:bCs w:val="1"/>
                <w:color w:val="auto"/>
                <w:w w:val="91"/>
              </w:rPr>
              <w:t>(6)</w:t>
            </w: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Borders>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Plan</w:t>
            </w:r>
          </w:p>
        </w:tc>
        <w:tc>
          <w:tcPr>
            <w:tcW w:w="1780" w:type="dxa"/>
            <w:vAlign w:val="bottom"/>
            <w:tcBorders>
              <w:bottom w:val="single" w:sz="8" w:color="auto"/>
              <w:right w:val="single" w:sz="8" w:color="auto"/>
            </w:tcBorders>
            <w:vMerge w:val="continue"/>
          </w:tcPr>
          <w:p>
            <w:pPr>
              <w:spacing w:after="0"/>
              <w:rPr>
                <w:sz w:val="20"/>
                <w:szCs w:val="20"/>
                <w:color w:val="auto"/>
              </w:rPr>
            </w:pPr>
          </w:p>
        </w:tc>
        <w:tc>
          <w:tcPr>
            <w:tcW w:w="1760" w:type="dxa"/>
            <w:vAlign w:val="bottom"/>
            <w:tcBorders>
              <w:bottom w:val="single" w:sz="8" w:color="auto"/>
              <w:right w:val="single" w:sz="8" w:color="auto"/>
            </w:tcBorders>
            <w:vMerge w:val="continue"/>
          </w:tcPr>
          <w:p>
            <w:pPr>
              <w:spacing w:after="0"/>
              <w:rPr>
                <w:sz w:val="20"/>
                <w:szCs w:val="20"/>
                <w:color w:val="auto"/>
              </w:rPr>
            </w:pPr>
          </w:p>
        </w:tc>
        <w:tc>
          <w:tcPr>
            <w:tcW w:w="1760" w:type="dxa"/>
            <w:vAlign w:val="bottom"/>
            <w:tcBorders>
              <w:bottom w:val="single" w:sz="8" w:color="auto"/>
              <w:right w:val="single" w:sz="8" w:color="auto"/>
            </w:tcBorders>
            <w:vMerge w:val="continue"/>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$31,889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2019 Employee Stock Purchase Plan</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1,000,000 </w:t>
            </w:r>
            <w:r>
              <w:rPr>
                <w:rFonts w:ascii="Arial" w:cs="Arial" w:eastAsia="Arial" w:hAnsi="Arial"/>
                <w:sz w:val="15"/>
                <w:szCs w:val="15"/>
                <w:b w:val="1"/>
                <w:bCs w:val="1"/>
                <w:color w:val="auto"/>
                <w:w w:val="90"/>
              </w:rPr>
              <w:t>(4)</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 xml:space="preserve">$13.60 </w:t>
            </w:r>
            <w:r>
              <w:rPr>
                <w:rFonts w:ascii="Arial" w:cs="Arial" w:eastAsia="Arial" w:hAnsi="Arial"/>
                <w:sz w:val="15"/>
                <w:szCs w:val="15"/>
                <w:b w:val="1"/>
                <w:bCs w:val="1"/>
                <w:color w:val="auto"/>
                <w:w w:val="91"/>
              </w:rPr>
              <w:t>(7)</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 xml:space="preserve">$13,600,000 </w:t>
            </w:r>
            <w:r>
              <w:rPr>
                <w:rFonts w:ascii="Arial" w:cs="Arial" w:eastAsia="Arial" w:hAnsi="Arial"/>
                <w:sz w:val="15"/>
                <w:szCs w:val="15"/>
                <w:b w:val="1"/>
                <w:bCs w:val="1"/>
                <w:color w:val="auto"/>
                <w:w w:val="90"/>
              </w:rPr>
              <w:t>(7)</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$1,649</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25,980,013</w:t>
            </w:r>
          </w:p>
        </w:tc>
        <w:tc>
          <w:tcPr>
            <w:tcW w:w="1760" w:type="dxa"/>
            <w:vAlign w:val="bottom"/>
            <w:tcBorders>
              <w:bottom w:val="single" w:sz="8" w:color="auto"/>
              <w:right w:val="single" w:sz="8" w:color="auto"/>
            </w:tcBorders>
          </w:tcPr>
          <w:p>
            <w:pPr>
              <w:spacing w:after="0"/>
              <w:rPr>
                <w:sz w:val="18"/>
                <w:szCs w:val="18"/>
                <w:color w:val="auto"/>
              </w:rPr>
            </w:pP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$309,320,868</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$37,491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40" w:hanging="436"/>
        <w:spacing w:after="0" w:line="269"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416(a) promulgated under the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this Registration Statement shall also cover any additional shares of NGM Biopharmaceutical, Inc. (the “</w:t>
      </w:r>
      <w:r>
        <w:rPr>
          <w:rFonts w:ascii="Arial" w:cs="Arial" w:eastAsia="Arial" w:hAnsi="Arial"/>
          <w:sz w:val="17"/>
          <w:szCs w:val="17"/>
          <w:b w:val="1"/>
          <w:bCs w:val="1"/>
          <w:i w:val="1"/>
          <w:iCs w:val="1"/>
          <w:color w:val="auto"/>
        </w:rPr>
        <w:t>Registrant</w:t>
      </w:r>
      <w:r>
        <w:rPr>
          <w:rFonts w:ascii="Arial" w:cs="Arial" w:eastAsia="Arial" w:hAnsi="Arial"/>
          <w:sz w:val="17"/>
          <w:szCs w:val="17"/>
          <w:color w:val="auto"/>
        </w:rPr>
        <w:t>”) common stock that become issuable under the plans set forth herein by reason of any stock dividend, stock split, recapitalization, or other similar transaction effected that results in an increase to the number of outstanding shares of Registrant’s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as applicable.</w:t>
      </w:r>
    </w:p>
    <w:p>
      <w:pPr>
        <w:spacing w:after="0" w:line="1" w:lineRule="exact"/>
        <w:rPr>
          <w:rFonts w:ascii="Arial" w:cs="Arial" w:eastAsia="Arial" w:hAnsi="Arial"/>
          <w:sz w:val="17"/>
          <w:szCs w:val="17"/>
          <w:color w:val="auto"/>
        </w:rPr>
      </w:pPr>
    </w:p>
    <w:p>
      <w:pPr>
        <w:ind w:left="440" w:right="14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issuable upon exercise of stock options outstanding under the 2008 Equity Incentive Plan (the “</w:t>
      </w:r>
      <w:r>
        <w:rPr>
          <w:rFonts w:ascii="Arial" w:cs="Arial" w:eastAsia="Arial" w:hAnsi="Arial"/>
          <w:sz w:val="17"/>
          <w:szCs w:val="17"/>
          <w:b w:val="1"/>
          <w:bCs w:val="1"/>
          <w:i w:val="1"/>
          <w:iCs w:val="1"/>
          <w:color w:val="auto"/>
        </w:rPr>
        <w:t>2008 Plan</w:t>
      </w:r>
      <w:r>
        <w:rPr>
          <w:rFonts w:ascii="Arial" w:cs="Arial" w:eastAsia="Arial" w:hAnsi="Arial"/>
          <w:sz w:val="17"/>
          <w:szCs w:val="17"/>
          <w:color w:val="auto"/>
        </w:rPr>
        <w:t>”) as of the date of this Registration Statement. The 2008 Plan expired pursuant to its terms in January 2018 and no further option grants will be made under the 2008 Plan. However, outstanding options granted under the 2008 will remain outstanding, subject to the terms of the 2008 Plan and the relevant award agreement until such options are exercised or they terminate or expire by their terms.</w:t>
      </w:r>
    </w:p>
    <w:p>
      <w:pPr>
        <w:ind w:left="440" w:right="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reserved for future issuance under the Registrant’s Amended and Restated 2018 Equity Incentive Plan (the “</w:t>
      </w:r>
      <w:r>
        <w:rPr>
          <w:rFonts w:ascii="Arial" w:cs="Arial" w:eastAsia="Arial" w:hAnsi="Arial"/>
          <w:sz w:val="18"/>
          <w:szCs w:val="18"/>
          <w:b w:val="1"/>
          <w:bCs w:val="1"/>
          <w:i w:val="1"/>
          <w:iCs w:val="1"/>
          <w:color w:val="auto"/>
        </w:rPr>
        <w:t>Restated 2018</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shares of Common Stock issuable upon exercise of stock options outstanding under the Restated 2018 Plan. To the extent that any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awards under the 2008 Plan expire or terminate on or after the termination of the 2008 Plan, or any shares previously issued pursuant to the 2008 Plan are forfeited or repurchased by the Registrant on or after the termination of the 2008 Plan, the shares of Common Stock subject to such awards will become available for issuance under the Restated 2018 Plan. The Restated 2018 Plan also provides that a number of shares reserved for issuance under the Restated 2018 Plan will automatically increase on January 1st each calendar year for ten years, starting on January 1, 2020 and ending on and including January 1, 2029, by the lesser of (a) four percent (4.0%) of the total number of the Registrant’s capital stock outstanding as of December 31st of the immediately preceding calendar year or (b) a number determined by the Registrant’s board of directors.</w:t>
      </w:r>
    </w:p>
    <w:p>
      <w:pPr>
        <w:spacing w:after="0" w:line="4" w:lineRule="exact"/>
        <w:rPr>
          <w:rFonts w:ascii="Arial" w:cs="Arial" w:eastAsia="Arial" w:hAnsi="Arial"/>
          <w:sz w:val="18"/>
          <w:szCs w:val="18"/>
          <w:color w:val="auto"/>
        </w:rPr>
      </w:pPr>
    </w:p>
    <w:p>
      <w:pPr>
        <w:ind w:left="440" w:right="12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reserved for future issuance under the Registrant’s 2019 Employee Stock Purchase Plan (the “</w:t>
      </w:r>
      <w:r>
        <w:rPr>
          <w:rFonts w:ascii="Arial" w:cs="Arial" w:eastAsia="Arial" w:hAnsi="Arial"/>
          <w:sz w:val="16"/>
          <w:szCs w:val="16"/>
          <w:b w:val="1"/>
          <w:bCs w:val="1"/>
          <w:i w:val="1"/>
          <w:iCs w:val="1"/>
          <w:color w:val="auto"/>
        </w:rPr>
        <w:t>2019 ESPP</w:t>
      </w:r>
      <w:r>
        <w:rPr>
          <w:rFonts w:ascii="Arial" w:cs="Arial" w:eastAsia="Arial" w:hAnsi="Arial"/>
          <w:sz w:val="16"/>
          <w:szCs w:val="16"/>
          <w:color w:val="auto"/>
        </w:rPr>
        <w:t>”). The 2019 ESPP provides that the number of shares reserved for issuance under the 2019 ESPP will automatically increase on January 1st each calendar year, starting on January 1, 2020 and continuing through January 1, 2029, by the lesser of (a) one percent (1.0%) of the total number of shares of the Registrant’s capital stock outstanding on December 31st of the preceding calendar year, (b) 1,000,000 shares of Common Stock or</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(c) a number determined by the Registrant’s board of directors that is less than (a) or (b).</w:t>
      </w:r>
    </w:p>
    <w:p>
      <w:pPr>
        <w:spacing w:after="0" w:line="9" w:lineRule="exact"/>
        <w:rPr>
          <w:rFonts w:ascii="Arial" w:cs="Arial" w:eastAsia="Arial" w:hAnsi="Arial"/>
          <w:sz w:val="16"/>
          <w:szCs w:val="16"/>
          <w:color w:val="auto"/>
        </w:rPr>
      </w:pPr>
    </w:p>
    <w:p>
      <w:pPr>
        <w:ind w:left="440" w:right="260" w:hanging="436"/>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The proposed maximum offering price per share and proposed maximum aggregate offering price are calculated using the weighted-average exercise price for outstanding options granted pursuant to the 2008 Plan.</w:t>
      </w:r>
    </w:p>
    <w:p>
      <w:pPr>
        <w:spacing w:after="0" w:line="1" w:lineRule="exact"/>
        <w:rPr>
          <w:rFonts w:ascii="Arial" w:cs="Arial" w:eastAsia="Arial" w:hAnsi="Arial"/>
          <w:sz w:val="18"/>
          <w:szCs w:val="18"/>
          <w:color w:val="auto"/>
        </w:rPr>
      </w:pPr>
    </w:p>
    <w:p>
      <w:pPr>
        <w:ind w:left="440" w:right="40" w:hanging="436"/>
        <w:spacing w:after="0" w:line="25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on the basis of (a) the weighted-average exercise price for outstanding options granted pursuant to the Restated 2018 Plan as of the date of this Registration Statement and (b) the initial public offering price of $16.00 per share of common stock as set forth in the Registrant’s Registration Statement on Form S-1 (File No. 333-227608) declared effective on February 3, 2019 with respect to the balance of shares to be registered pursuant to the Restated 2018 Plan. The chart below details the calculations of the registration fee:</w:t>
      </w:r>
    </w:p>
    <w:p>
      <w:pPr>
        <w:spacing w:after="0" w:line="10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8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Offering Price</w:t>
            </w: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w w:val="97"/>
              </w:rPr>
              <w:t>Aggregate Offering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of</w:t>
            </w:r>
          </w:p>
        </w:tc>
        <w:tc>
          <w:tcPr>
            <w:tcW w:w="18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right"/>
              <w:ind w:right="396"/>
              <w:spacing w:after="0" w:line="149"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240" w:type="dxa"/>
            <w:vAlign w:val="bottom"/>
          </w:tcPr>
          <w:p>
            <w:pPr>
              <w:ind w:left="2200"/>
              <w:spacing w:after="0"/>
              <w:rPr>
                <w:sz w:val="20"/>
                <w:szCs w:val="20"/>
                <w:color w:val="auto"/>
              </w:rPr>
            </w:pPr>
            <w:r>
              <w:rPr>
                <w:rFonts w:ascii="Arial" w:cs="Arial" w:eastAsia="Arial" w:hAnsi="Arial"/>
                <w:sz w:val="14"/>
                <w:szCs w:val="14"/>
                <w:b w:val="1"/>
                <w:bCs w:val="1"/>
                <w:color w:val="auto"/>
              </w:rPr>
              <w:t>Securities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Common Stock</w:t>
            </w:r>
          </w:p>
        </w:tc>
        <w:tc>
          <w:tcPr>
            <w:tcW w:w="400" w:type="dxa"/>
            <w:vAlign w:val="bottom"/>
          </w:tcPr>
          <w:p>
            <w:pPr>
              <w:spacing w:after="0"/>
              <w:rPr>
                <w:sz w:val="16"/>
                <w:szCs w:val="16"/>
                <w:color w:val="auto"/>
              </w:rPr>
            </w:pPr>
          </w:p>
        </w:tc>
        <w:tc>
          <w:tcPr>
            <w:tcW w:w="1460" w:type="dxa"/>
            <w:vAlign w:val="bottom"/>
          </w:tcPr>
          <w:p>
            <w:pPr>
              <w:ind w:left="20"/>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6"/>
                <w:szCs w:val="16"/>
                <w:color w:val="auto"/>
              </w:rPr>
            </w:pPr>
          </w:p>
        </w:tc>
        <w:tc>
          <w:tcPr>
            <w:tcW w:w="1160" w:type="dxa"/>
            <w:vAlign w:val="bottom"/>
          </w:tcPr>
          <w:p>
            <w:pPr>
              <w:jc w:val="right"/>
              <w:ind w:right="76"/>
              <w:spacing w:after="0"/>
              <w:rPr>
                <w:sz w:val="20"/>
                <w:szCs w:val="20"/>
                <w:color w:val="auto"/>
              </w:rPr>
            </w:pPr>
            <w:r>
              <w:rPr>
                <w:rFonts w:ascii="Arial" w:cs="Arial" w:eastAsia="Arial" w:hAnsi="Arial"/>
                <w:sz w:val="14"/>
                <w:szCs w:val="14"/>
                <w:b w:val="1"/>
                <w:bCs w:val="1"/>
                <w:color w:val="auto"/>
                <w:w w:val="89"/>
              </w:rPr>
              <w:t>Registration Fee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$0.001 per share, issuable upon the</w:t>
            </w:r>
          </w:p>
        </w:tc>
        <w:tc>
          <w:tcPr>
            <w:tcW w:w="1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exercise of outstanding options granted under the Restated 2018</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w:t>
            </w:r>
          </w:p>
        </w:tc>
        <w:tc>
          <w:tcPr>
            <w:tcW w:w="150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4,094,249</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10.41 (6)(a)</w:t>
            </w: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w w:val="94"/>
              </w:rPr>
              <w:t>Common Stock, par value $0.001 per share, reserved for future grant</w:t>
            </w: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under the Restated 2018 Plan</w:t>
            </w:r>
          </w:p>
        </w:tc>
        <w:tc>
          <w:tcPr>
            <w:tcW w:w="1500" w:type="dxa"/>
            <w:vAlign w:val="bottom"/>
          </w:tcPr>
          <w:p>
            <w:pPr>
              <w:jc w:val="right"/>
              <w:ind w:right="181"/>
              <w:spacing w:after="0"/>
              <w:rPr>
                <w:sz w:val="20"/>
                <w:szCs w:val="20"/>
                <w:color w:val="auto"/>
              </w:rPr>
            </w:pPr>
            <w:r>
              <w:rPr>
                <w:rFonts w:ascii="Arial" w:cs="Arial" w:eastAsia="Arial" w:hAnsi="Arial"/>
                <w:sz w:val="18"/>
                <w:szCs w:val="18"/>
                <w:color w:val="auto"/>
              </w:rPr>
              <w:t>13,780,375</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1460" w:type="dxa"/>
            <w:vAlign w:val="bottom"/>
          </w:tcPr>
          <w:p>
            <w:pPr>
              <w:ind w:left="320"/>
              <w:spacing w:after="0"/>
              <w:rPr>
                <w:sz w:val="20"/>
                <w:szCs w:val="20"/>
                <w:color w:val="auto"/>
              </w:rPr>
            </w:pPr>
            <w:r>
              <w:rPr>
                <w:rFonts w:ascii="Arial" w:cs="Arial" w:eastAsia="Arial" w:hAnsi="Arial"/>
                <w:sz w:val="18"/>
                <w:szCs w:val="18"/>
                <w:color w:val="auto"/>
              </w:rPr>
              <w:t>16.00 (6)(b)</w:t>
            </w:r>
          </w:p>
        </w:tc>
        <w:tc>
          <w:tcPr>
            <w:tcW w:w="360" w:type="dxa"/>
            <w:vAlign w:val="bottom"/>
          </w:tcPr>
          <w:p>
            <w:pPr>
              <w:ind w:left="26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220,486,000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Proposed Maximum Aggregate Offering Price:</w:t>
            </w:r>
          </w:p>
        </w:tc>
        <w:tc>
          <w:tcPr>
            <w:tcW w:w="1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6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263,107,132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Registration Fee:</w:t>
            </w:r>
          </w:p>
        </w:tc>
        <w:tc>
          <w:tcPr>
            <w:tcW w:w="1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60" w:type="dxa"/>
            <w:vAlign w:val="bottom"/>
          </w:tcPr>
          <w:p>
            <w:pPr>
              <w:ind w:left="26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31,889</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40" w:right="20" w:hanging="436"/>
        <w:spacing w:after="0" w:line="259" w:lineRule="auto"/>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in accordance with Rule 457(h) solely for the purpose of calculating the registration fee. The proposed maximum offering price per share and proposed maximum aggregate offering price are calculated using the initial public offering price of $16.00 per share of common stock as set forth in the Registrant’s Registration Statement on Form S-1 (File No. 333-227608) declared effective on April 3, 2019 multiplied by 85%, which is the percentage of the price per share applicable to purchases under the 2019 ESPP.</w:t>
      </w:r>
    </w:p>
    <w:p>
      <w:pPr>
        <w:sectPr>
          <w:pgSz w:w="11900" w:h="16838" w:orient="portrait"/>
          <w:cols w:equalWidth="0" w:num="1">
            <w:col w:w="11040"/>
          </w:cols>
          <w:pgMar w:left="440" w:top="121" w:right="4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121"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The following documents filed by NGM Biopharmaceuticals, Inc. (the “</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are incorporated by reference into this Registration Statement:</w:t>
      </w:r>
    </w:p>
    <w:p>
      <w:pPr>
        <w:spacing w:after="0" w:line="76" w:lineRule="exact"/>
        <w:rPr>
          <w:sz w:val="20"/>
          <w:szCs w:val="20"/>
          <w:color w:val="auto"/>
        </w:rPr>
      </w:pPr>
    </w:p>
    <w:p>
      <w:pPr>
        <w:ind w:left="860" w:right="180" w:hanging="424"/>
        <w:spacing w:after="0" w:line="264" w:lineRule="auto"/>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Registrant’s prospectus filed on April 4, 2019 pursuant to Rule 424(b) under the Securities Act relating to the Registration Statements on Form S-1 (File No. 333-227608), which contains audited financial statements for the Registrant’s latest fiscal year for which such statements have been filed.</w:t>
      </w:r>
    </w:p>
    <w:p>
      <w:pPr>
        <w:spacing w:after="0" w:line="86" w:lineRule="exact"/>
        <w:rPr>
          <w:rFonts w:ascii="Arial" w:cs="Arial" w:eastAsia="Arial" w:hAnsi="Arial"/>
          <w:sz w:val="18"/>
          <w:szCs w:val="18"/>
          <w:b w:val="1"/>
          <w:bCs w:val="1"/>
          <w:color w:val="auto"/>
        </w:rPr>
      </w:pPr>
    </w:p>
    <w:p>
      <w:pPr>
        <w:ind w:left="860" w:hanging="424"/>
        <w:spacing w:after="0" w:line="264" w:lineRule="auto"/>
        <w:tabs>
          <w:tab w:leader="none" w:pos="8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description of the Registrant’s Common Stock which is contained in a registration statement on Form 8-A filed on March 29, 2019 (File No. 001-38853) under the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including any amendment or report filed for the purpose of updating such description.</w:t>
      </w:r>
    </w:p>
    <w:p>
      <w:pPr>
        <w:spacing w:after="0" w:line="86" w:lineRule="exact"/>
        <w:rPr>
          <w:rFonts w:ascii="Arial" w:cs="Arial" w:eastAsia="Arial" w:hAnsi="Arial"/>
          <w:sz w:val="18"/>
          <w:szCs w:val="18"/>
          <w:b w:val="1"/>
          <w:bCs w:val="1"/>
          <w:color w:val="auto"/>
        </w:rPr>
      </w:pPr>
    </w:p>
    <w:p>
      <w:pPr>
        <w:ind w:left="860" w:right="60" w:hanging="424"/>
        <w:spacing w:after="0" w:line="289" w:lineRule="auto"/>
        <w:tabs>
          <w:tab w:leader="none" w:pos="8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the description of Common Stock contained in the Registration Statement on Form S-1 (File No. 333-227608).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Section 145 of the Delaware General Corporation Law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The Registrant’s amended and restated certificate of incorporation that will be in effect upon the closing of the initial public offering permits indemnification of our directors, officers, employees and other agents to the maximum extent permitted by the DGCL, and the Registrant’s amended and restated bylaws that will be in effect upon the closing of the initial public offering provide that the Registrant will indemnify its directors and executive officers and permit the Registrant to indemnify its other officers, employees and other agents, in each case to the maximum extent permitted by the DGCL.</w:t>
      </w:r>
    </w:p>
    <w:p>
      <w:pPr>
        <w:spacing w:after="0" w:line="17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Registrant has entered into indemnification agreements with its directors and officers, whereby it has agreed to indemnify its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the Registrant, provided that such director or officer acted in good faith and in a manner that the director or officer reasonably believed to be in, or not opposed to, the best interest of the Registrant. At present, there is no pending litigation or proceeding involving a director or officer of the Registrant regarding which indemnification is sought, nor is the Registrant aware of any threatened litigation that may result in claims for indemnification.</w:t>
      </w:r>
    </w:p>
    <w:p>
      <w:pPr>
        <w:sectPr>
          <w:pgSz w:w="11900" w:h="16838" w:orient="portrait"/>
          <w:cols w:equalWidth="0" w:num="1">
            <w:col w:w="11000"/>
          </w:cols>
          <w:pgMar w:left="440" w:top="270" w:right="459" w:bottom="1440" w:gutter="0" w:footer="0" w:header="0"/>
        </w:sectPr>
      </w:pPr>
    </w:p>
    <w:bookmarkStart w:id="3" w:name="page4"/>
    <w:bookmarkEnd w:id="3"/>
    <w:p>
      <w:pPr>
        <w:ind w:right="10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Registrant maintains insurance policies that indemnify its directors and officers against various liabilities arising under the Securities Act and the Exchange Act that might be incurred by any director or officer in his or her capacity as such.</w:t>
      </w:r>
    </w:p>
    <w:p>
      <w:pPr>
        <w:sectPr>
          <w:pgSz w:w="11900" w:h="16838" w:orient="portrait"/>
          <w:cols w:equalWidth="0" w:num="1">
            <w:col w:w="11040"/>
          </w:cols>
          <w:pgMar w:left="440" w:top="274" w:right="419" w:bottom="1440" w:gutter="0" w:footer="0" w:header="0"/>
        </w:sectPr>
      </w:pP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EXEMPTION FROM REGISTRATION CLAIMED.</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EXHIBITS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80" w:type="dxa"/>
            <w:vAlign w:val="bottom"/>
            <w:gridSpan w:val="18"/>
            <w:vMerge w:val="restart"/>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1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3"/>
                <w:szCs w:val="23"/>
                <w:color w:val="auto"/>
              </w:rPr>
            </w:pPr>
          </w:p>
        </w:tc>
        <w:tc>
          <w:tcPr>
            <w:tcW w:w="6100" w:type="dxa"/>
            <w:vAlign w:val="bottom"/>
            <w:gridSpan w:val="24"/>
          </w:tcPr>
          <w:p>
            <w:pPr>
              <w:spacing w:after="0"/>
              <w:rPr>
                <w:rFonts w:ascii="Arial" w:cs="Arial" w:eastAsia="Arial" w:hAnsi="Arial"/>
                <w:sz w:val="18"/>
                <w:szCs w:val="18"/>
                <w:color w:val="0000EE"/>
                <w:w w:val="91"/>
              </w:rPr>
            </w:pPr>
            <w:hyperlink r:id="rId17">
              <w:r>
                <w:rPr>
                  <w:rFonts w:ascii="Arial" w:cs="Arial" w:eastAsia="Arial" w:hAnsi="Arial"/>
                  <w:sz w:val="18"/>
                  <w:szCs w:val="18"/>
                  <w:color w:val="0000EE"/>
                  <w:w w:val="91"/>
                </w:rPr>
                <w:t>Amended and Restated Certificate of Incorporation of the Registrant, as currently in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17">
              <w:r>
                <w:rPr>
                  <w:rFonts w:ascii="Arial" w:cs="Arial" w:eastAsia="Arial" w:hAnsi="Arial"/>
                  <w:sz w:val="18"/>
                  <w:szCs w:val="18"/>
                  <w:color w:val="0000EE"/>
                  <w:w w:val="89"/>
                </w:rPr>
                <w:t>effect.</w:t>
              </w:r>
            </w:hyperlink>
          </w:p>
        </w:tc>
        <w:tc>
          <w:tcPr>
            <w:tcW w:w="5600" w:type="dxa"/>
            <w:vAlign w:val="bottom"/>
            <w:tcBorders>
              <w:top w:val="single" w:sz="8" w:color="0000EE"/>
            </w:tcBorders>
            <w:gridSpan w:val="2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rPr>
            </w:pPr>
            <w:hyperlink r:id="rId18">
              <w:r>
                <w:rPr>
                  <w:rFonts w:ascii="Arial" w:cs="Arial" w:eastAsia="Arial" w:hAnsi="Arial"/>
                  <w:sz w:val="18"/>
                  <w:szCs w:val="18"/>
                  <w:color w:val="0000EE"/>
                </w:rPr>
                <w:t>Certificate of Amendment of the Amended and Restated Certificate of</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8">
              <w:r>
                <w:rPr>
                  <w:rFonts w:ascii="Arial" w:cs="Arial" w:eastAsia="Arial" w:hAnsi="Arial"/>
                  <w:sz w:val="18"/>
                  <w:szCs w:val="18"/>
                  <w:color w:val="0000EE"/>
                </w:rPr>
                <w:t>Incorporation of the Registrant, as currently in effect.</w:t>
              </w:r>
            </w:hyperlink>
          </w:p>
        </w:tc>
        <w:tc>
          <w:tcPr>
            <w:tcW w:w="10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4"/>
                <w:szCs w:val="24"/>
                <w:color w:val="auto"/>
              </w:rPr>
            </w:pPr>
          </w:p>
        </w:tc>
        <w:tc>
          <w:tcPr>
            <w:tcW w:w="6020" w:type="dxa"/>
            <w:vAlign w:val="bottom"/>
            <w:tcBorders>
              <w:bottom w:val="single" w:sz="8" w:color="0000EE"/>
            </w:tcBorders>
            <w:gridSpan w:val="22"/>
          </w:tcPr>
          <w:p>
            <w:pPr>
              <w:spacing w:after="0"/>
              <w:rPr>
                <w:rFonts w:ascii="Arial" w:cs="Arial" w:eastAsia="Arial" w:hAnsi="Arial"/>
                <w:sz w:val="18"/>
                <w:szCs w:val="18"/>
                <w:color w:val="0000EE"/>
                <w:w w:val="90"/>
              </w:rPr>
            </w:pPr>
            <w:hyperlink r:id="rId19">
              <w:r>
                <w:rPr>
                  <w:rFonts w:ascii="Arial" w:cs="Arial" w:eastAsia="Arial" w:hAnsi="Arial"/>
                  <w:sz w:val="18"/>
                  <w:szCs w:val="18"/>
                  <w:color w:val="0000EE"/>
                  <w:w w:val="90"/>
                </w:rPr>
                <w:t>Form of Amended and Restated Certificate of Incorporation of the Registrant, to be</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2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r:id="rId19">
              <w:r>
                <w:rPr>
                  <w:rFonts w:ascii="Arial" w:cs="Arial" w:eastAsia="Arial" w:hAnsi="Arial"/>
                  <w:sz w:val="18"/>
                  <w:szCs w:val="18"/>
                  <w:color w:val="0000EE"/>
                  <w:w w:val="93"/>
                </w:rPr>
                <w:t>in effect upon the completion of the Registrant’s initial public offering.</w:t>
              </w:r>
            </w:hyperlink>
          </w:p>
        </w:tc>
        <w:tc>
          <w:tcPr>
            <w:tcW w:w="9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rPr>
            </w:pPr>
            <w:hyperlink r:id="rId20">
              <w:r>
                <w:rPr>
                  <w:rFonts w:ascii="Arial" w:cs="Arial" w:eastAsia="Arial" w:hAnsi="Arial"/>
                  <w:sz w:val="18"/>
                  <w:szCs w:val="18"/>
                  <w:color w:val="0000EE"/>
                </w:rPr>
                <w:t>Amended and Restated Bylaws of the Registrant, as currently in effect.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w w:val="93"/>
              </w:rPr>
            </w:pPr>
            <w:hyperlink r:id="rId21">
              <w:r>
                <w:rPr>
                  <w:rFonts w:ascii="Arial" w:cs="Arial" w:eastAsia="Arial" w:hAnsi="Arial"/>
                  <w:sz w:val="18"/>
                  <w:szCs w:val="18"/>
                  <w:color w:val="0000EE"/>
                  <w:w w:val="93"/>
                </w:rPr>
                <w:t>Form of Amended and Restated Bylaws of the Registrant, to be in effect upon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1">
              <w:r>
                <w:rPr>
                  <w:rFonts w:ascii="Arial" w:cs="Arial" w:eastAsia="Arial" w:hAnsi="Arial"/>
                  <w:sz w:val="18"/>
                  <w:szCs w:val="18"/>
                  <w:color w:val="0000EE"/>
                </w:rPr>
                <w:t>completion of the Registrant’s initial public offering.</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4"/>
                <w:szCs w:val="24"/>
                <w:color w:val="auto"/>
              </w:rPr>
            </w:pPr>
          </w:p>
        </w:tc>
        <w:tc>
          <w:tcPr>
            <w:tcW w:w="26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r:id="rId22">
              <w:r>
                <w:rPr>
                  <w:rFonts w:ascii="Arial" w:cs="Arial" w:eastAsia="Arial" w:hAnsi="Arial"/>
                  <w:sz w:val="18"/>
                  <w:szCs w:val="18"/>
                  <w:color w:val="0000EE"/>
                  <w:w w:val="92"/>
                </w:rPr>
                <w:t>Form of Common Stock Certificate.</w:t>
              </w:r>
            </w:hyperlink>
          </w:p>
        </w:tc>
        <w:tc>
          <w:tcPr>
            <w:tcW w:w="1220" w:type="dxa"/>
            <w:vAlign w:val="bottom"/>
            <w:tcBorders>
              <w:top w:val="single" w:sz="8" w:color="0000EE"/>
            </w:tcBorders>
            <w:gridSpan w:val="3"/>
          </w:tcPr>
          <w:p>
            <w:pPr>
              <w:spacing w:after="0"/>
              <w:rPr>
                <w:sz w:val="24"/>
                <w:szCs w:val="24"/>
                <w:color w:val="auto"/>
              </w:rPr>
            </w:pPr>
          </w:p>
        </w:tc>
        <w:tc>
          <w:tcPr>
            <w:tcW w:w="22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220" w:type="dxa"/>
            <w:vAlign w:val="bottom"/>
          </w:tcPr>
          <w:p>
            <w:pPr>
              <w:spacing w:after="0"/>
              <w:rPr>
                <w:sz w:val="24"/>
                <w:szCs w:val="24"/>
                <w:color w:val="auto"/>
              </w:rPr>
            </w:pPr>
          </w:p>
        </w:tc>
        <w:tc>
          <w:tcPr>
            <w:tcW w:w="6100" w:type="dxa"/>
            <w:vAlign w:val="bottom"/>
            <w:gridSpan w:val="24"/>
          </w:tcPr>
          <w:p>
            <w:pPr>
              <w:spacing w:after="0"/>
              <w:rPr>
                <w:sz w:val="20"/>
                <w:szCs w:val="20"/>
                <w:color w:val="auto"/>
              </w:rPr>
            </w:pPr>
            <w:r>
              <w:rPr>
                <w:rFonts w:ascii="Arial" w:cs="Arial" w:eastAsia="Arial" w:hAnsi="Arial"/>
                <w:sz w:val="18"/>
                <w:szCs w:val="18"/>
                <w:color w:val="0000EE"/>
              </w:rPr>
              <w:t>Opinion of Cooley LLP.</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23.1*</w:t>
            </w:r>
          </w:p>
        </w:tc>
        <w:tc>
          <w:tcPr>
            <w:tcW w:w="220" w:type="dxa"/>
            <w:vAlign w:val="bottom"/>
          </w:tcPr>
          <w:p>
            <w:pPr>
              <w:spacing w:after="0"/>
              <w:rPr>
                <w:sz w:val="24"/>
                <w:szCs w:val="24"/>
                <w:color w:val="auto"/>
              </w:rPr>
            </w:pPr>
          </w:p>
        </w:tc>
        <w:tc>
          <w:tcPr>
            <w:tcW w:w="6100" w:type="dxa"/>
            <w:vAlign w:val="bottom"/>
            <w:gridSpan w:val="24"/>
          </w:tcPr>
          <w:p>
            <w:pPr>
              <w:spacing w:after="0"/>
              <w:rPr>
                <w:sz w:val="20"/>
                <w:szCs w:val="20"/>
                <w:color w:val="auto"/>
              </w:rPr>
            </w:pPr>
            <w:r>
              <w:rPr>
                <w:rFonts w:ascii="Arial" w:cs="Arial" w:eastAsia="Arial" w:hAnsi="Arial"/>
                <w:sz w:val="18"/>
                <w:szCs w:val="18"/>
                <w:color w:val="0000EE"/>
              </w:rPr>
              <w:t>Consent of Cooley LLP (included in Exhibit 5.1).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23.2*</w:t>
            </w:r>
          </w:p>
        </w:tc>
        <w:tc>
          <w:tcPr>
            <w:tcW w:w="220" w:type="dxa"/>
            <w:vAlign w:val="bottom"/>
          </w:tcPr>
          <w:p>
            <w:pPr>
              <w:spacing w:after="0"/>
              <w:rPr>
                <w:sz w:val="24"/>
                <w:szCs w:val="24"/>
                <w:color w:val="auto"/>
              </w:rPr>
            </w:pPr>
          </w:p>
        </w:tc>
        <w:tc>
          <w:tcPr>
            <w:tcW w:w="43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Consent of Independent Registered Public Accounting Firm.</w:t>
            </w:r>
          </w:p>
        </w:tc>
        <w:tc>
          <w:tcPr>
            <w:tcW w:w="17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24.1*</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the signature page of this Form S-8).</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99.1</w:t>
            </w:r>
          </w:p>
        </w:tc>
        <w:tc>
          <w:tcPr>
            <w:tcW w:w="220" w:type="dxa"/>
            <w:vAlign w:val="bottom"/>
          </w:tcPr>
          <w:p>
            <w:pPr>
              <w:spacing w:after="0"/>
              <w:rPr>
                <w:sz w:val="24"/>
                <w:szCs w:val="24"/>
                <w:color w:val="auto"/>
              </w:rPr>
            </w:pPr>
          </w:p>
        </w:tc>
        <w:tc>
          <w:tcPr>
            <w:tcW w:w="29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r:id="rId23">
              <w:r>
                <w:rPr>
                  <w:rFonts w:ascii="Arial" w:cs="Arial" w:eastAsia="Arial" w:hAnsi="Arial"/>
                  <w:sz w:val="18"/>
                  <w:szCs w:val="18"/>
                  <w:color w:val="0000EE"/>
                  <w:w w:val="89"/>
                </w:rPr>
                <w:t>2008 Equity Incentive Plan, as amended.</w:t>
              </w:r>
            </w:hyperlink>
          </w:p>
        </w:tc>
        <w:tc>
          <w:tcPr>
            <w:tcW w:w="2020" w:type="dxa"/>
            <w:vAlign w:val="bottom"/>
            <w:tcBorders>
              <w:top w:val="single" w:sz="8" w:color="0000EE"/>
            </w:tcBorders>
            <w:gridSpan w:val="5"/>
          </w:tcPr>
          <w:p>
            <w:pPr>
              <w:spacing w:after="0"/>
              <w:rPr>
                <w:sz w:val="24"/>
                <w:szCs w:val="24"/>
                <w:color w:val="auto"/>
              </w:rPr>
            </w:pPr>
          </w:p>
        </w:tc>
        <w:tc>
          <w:tcPr>
            <w:tcW w:w="1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99.2</w:t>
            </w:r>
          </w:p>
        </w:tc>
        <w:tc>
          <w:tcPr>
            <w:tcW w:w="220" w:type="dxa"/>
            <w:vAlign w:val="bottom"/>
          </w:tcPr>
          <w:p>
            <w:pPr>
              <w:spacing w:after="0"/>
              <w:rPr>
                <w:sz w:val="24"/>
                <w:szCs w:val="24"/>
                <w:color w:val="auto"/>
              </w:rPr>
            </w:pPr>
          </w:p>
        </w:tc>
        <w:tc>
          <w:tcPr>
            <w:tcW w:w="5920" w:type="dxa"/>
            <w:vAlign w:val="bottom"/>
            <w:tcBorders>
              <w:bottom w:val="single" w:sz="8" w:color="0000EE"/>
            </w:tcBorders>
            <w:gridSpan w:val="20"/>
          </w:tcPr>
          <w:p>
            <w:pPr>
              <w:spacing w:after="0"/>
              <w:rPr>
                <w:rFonts w:ascii="Arial" w:cs="Arial" w:eastAsia="Arial" w:hAnsi="Arial"/>
                <w:sz w:val="18"/>
                <w:szCs w:val="18"/>
                <w:color w:val="0000EE"/>
                <w:w w:val="91"/>
              </w:rPr>
            </w:pPr>
            <w:hyperlink r:id="rId24">
              <w:r>
                <w:rPr>
                  <w:rFonts w:ascii="Arial" w:cs="Arial" w:eastAsia="Arial" w:hAnsi="Arial"/>
                  <w:sz w:val="18"/>
                  <w:szCs w:val="18"/>
                  <w:color w:val="0000EE"/>
                  <w:w w:val="91"/>
                </w:rPr>
                <w:t>Forms of Stock Option Agreement and Stock Option Grant Notice under the 2008</w:t>
              </w:r>
            </w:hyperlink>
          </w:p>
        </w:tc>
        <w:tc>
          <w:tcPr>
            <w:tcW w:w="1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24">
              <w:r>
                <w:rPr>
                  <w:rFonts w:ascii="Arial" w:cs="Arial" w:eastAsia="Arial" w:hAnsi="Arial"/>
                  <w:sz w:val="18"/>
                  <w:szCs w:val="18"/>
                  <w:color w:val="0000EE"/>
                  <w:w w:val="92"/>
                </w:rPr>
                <w:t>Equity Incentive Plan.</w:t>
              </w:r>
            </w:hyperlink>
          </w:p>
        </w:tc>
        <w:tc>
          <w:tcPr>
            <w:tcW w:w="44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99.3</w:t>
            </w:r>
          </w:p>
        </w:tc>
        <w:tc>
          <w:tcPr>
            <w:tcW w:w="22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0"/>
              </w:rPr>
            </w:pPr>
            <w:hyperlink r:id="rId25">
              <w:r>
                <w:rPr>
                  <w:rFonts w:ascii="Arial" w:cs="Arial" w:eastAsia="Arial" w:hAnsi="Arial"/>
                  <w:sz w:val="18"/>
                  <w:szCs w:val="18"/>
                  <w:color w:val="0000EE"/>
                  <w:w w:val="90"/>
                </w:rPr>
                <w:t>Amended and Restated 2018 Equity Incentive Plan, to be in effect upon the</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completion of Registrant’s initial public offering.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99.4</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Forms of Stock Option Agreement and Notice of Grant of Stock Option under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r:id="rId26">
              <w:r>
                <w:rPr>
                  <w:rFonts w:ascii="Arial" w:cs="Arial" w:eastAsia="Arial" w:hAnsi="Arial"/>
                  <w:sz w:val="18"/>
                  <w:szCs w:val="18"/>
                  <w:color w:val="0000EE"/>
                  <w:w w:val="90"/>
                </w:rPr>
                <w:t>Amended and Restated 2018 Equity Incentive Plan, to be in effect upon the</w:t>
              </w:r>
            </w:hyperlink>
          </w:p>
        </w:tc>
        <w:tc>
          <w:tcPr>
            <w:tcW w:w="460" w:type="dxa"/>
            <w:vAlign w:val="bottom"/>
            <w:tcBorders>
              <w:top w:val="single" w:sz="8" w:color="0000EE"/>
            </w:tcBorders>
            <w:gridSpan w:val="4"/>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00" w:type="dxa"/>
            <w:vAlign w:val="bottom"/>
            <w:gridSpan w:val="2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completion of Registrant’s initial public offering.</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99.5</w:t>
            </w:r>
          </w:p>
        </w:tc>
        <w:tc>
          <w:tcPr>
            <w:tcW w:w="220" w:type="dxa"/>
            <w:vAlign w:val="bottom"/>
          </w:tcPr>
          <w:p>
            <w:pPr>
              <w:spacing w:after="0"/>
              <w:rPr>
                <w:sz w:val="24"/>
                <w:szCs w:val="24"/>
                <w:color w:val="auto"/>
              </w:rPr>
            </w:pPr>
          </w:p>
        </w:tc>
        <w:tc>
          <w:tcPr>
            <w:tcW w:w="6100" w:type="dxa"/>
            <w:vAlign w:val="bottom"/>
            <w:gridSpan w:val="24"/>
          </w:tcPr>
          <w:p>
            <w:pPr>
              <w:spacing w:after="0"/>
              <w:rPr>
                <w:rFonts w:ascii="Arial" w:cs="Arial" w:eastAsia="Arial" w:hAnsi="Arial"/>
                <w:sz w:val="18"/>
                <w:szCs w:val="18"/>
                <w:color w:val="0000EE"/>
                <w:w w:val="92"/>
              </w:rPr>
            </w:pPr>
            <w:hyperlink r:id="rId27">
              <w:r>
                <w:rPr>
                  <w:rFonts w:ascii="Arial" w:cs="Arial" w:eastAsia="Arial" w:hAnsi="Arial"/>
                  <w:sz w:val="18"/>
                  <w:szCs w:val="18"/>
                  <w:color w:val="0000EE"/>
                  <w:w w:val="92"/>
                </w:rPr>
                <w:t>Forms of Restricted Stock Unit Agreement and Notice of Grant of Restricted Stock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0"/>
              </w:rPr>
            </w:pPr>
            <w:hyperlink r:id="rId27">
              <w:r>
                <w:rPr>
                  <w:rFonts w:ascii="Arial" w:cs="Arial" w:eastAsia="Arial" w:hAnsi="Arial"/>
                  <w:sz w:val="18"/>
                  <w:szCs w:val="18"/>
                  <w:color w:val="0000EE"/>
                  <w:w w:val="90"/>
                </w:rPr>
                <w:t>Unit under the Amended and Restated 2018 Equity Incentive Plan, to be in effect</w:t>
              </w:r>
            </w:hyperlink>
          </w:p>
        </w:tc>
        <w:tc>
          <w:tcPr>
            <w:tcW w:w="140" w:type="dxa"/>
            <w:vAlign w:val="bottom"/>
            <w:tcBorders>
              <w:top w:val="single" w:sz="8" w:color="0000EE"/>
            </w:tcBorders>
            <w:gridSpan w:val="4"/>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27">
              <w:r>
                <w:rPr>
                  <w:rFonts w:ascii="Arial" w:cs="Arial" w:eastAsia="Arial" w:hAnsi="Arial"/>
                  <w:sz w:val="18"/>
                  <w:szCs w:val="18"/>
                  <w:color w:val="0000EE"/>
                  <w:w w:val="93"/>
                </w:rPr>
                <w:t>upon the completion of Registrant’s initial public offering.</w:t>
              </w:r>
            </w:hyperlink>
          </w:p>
        </w:tc>
        <w:tc>
          <w:tcPr>
            <w:tcW w:w="18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99.6</w:t>
            </w:r>
          </w:p>
        </w:tc>
        <w:tc>
          <w:tcPr>
            <w:tcW w:w="220" w:type="dxa"/>
            <w:vAlign w:val="bottom"/>
          </w:tcPr>
          <w:p>
            <w:pPr>
              <w:spacing w:after="0"/>
              <w:rPr>
                <w:sz w:val="24"/>
                <w:szCs w:val="24"/>
                <w:color w:val="auto"/>
              </w:rPr>
            </w:pPr>
          </w:p>
        </w:tc>
        <w:tc>
          <w:tcPr>
            <w:tcW w:w="5460" w:type="dxa"/>
            <w:vAlign w:val="bottom"/>
            <w:tcBorders>
              <w:bottom w:val="single" w:sz="8" w:color="0000EE"/>
            </w:tcBorders>
            <w:gridSpan w:val="16"/>
          </w:tcPr>
          <w:p>
            <w:pPr>
              <w:spacing w:after="0"/>
              <w:rPr>
                <w:rFonts w:ascii="Arial" w:cs="Arial" w:eastAsia="Arial" w:hAnsi="Arial"/>
                <w:sz w:val="18"/>
                <w:szCs w:val="18"/>
                <w:color w:val="0000EE"/>
                <w:w w:val="90"/>
              </w:rPr>
            </w:pPr>
            <w:hyperlink r:id="rId28">
              <w:r>
                <w:rPr>
                  <w:rFonts w:ascii="Arial" w:cs="Arial" w:eastAsia="Arial" w:hAnsi="Arial"/>
                  <w:sz w:val="18"/>
                  <w:szCs w:val="18"/>
                  <w:color w:val="0000EE"/>
                  <w:w w:val="90"/>
                </w:rPr>
                <w:t>2019 Employee Stock Purchase Plan, to be in effect upon the completion of</w:t>
              </w:r>
            </w:hyperlink>
          </w:p>
        </w:tc>
        <w:tc>
          <w:tcPr>
            <w:tcW w:w="6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r:id="rId28">
              <w:r>
                <w:rPr>
                  <w:rFonts w:ascii="Arial" w:cs="Arial" w:eastAsia="Arial" w:hAnsi="Arial"/>
                  <w:sz w:val="18"/>
                  <w:szCs w:val="18"/>
                  <w:color w:val="0000EE"/>
                  <w:w w:val="94"/>
                </w:rPr>
                <w:t>Registrant’s initial public offering.</w:t>
              </w:r>
            </w:hyperlink>
          </w:p>
        </w:tc>
        <w:tc>
          <w:tcPr>
            <w:tcW w:w="3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694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440" w:hanging="436"/>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Incorporated by Reference</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Schedule</w:t>
            </w:r>
          </w:p>
        </w:tc>
        <w:tc>
          <w:tcPr>
            <w:tcW w:w="2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File Number</w:t>
            </w:r>
          </w:p>
        </w:tc>
        <w:tc>
          <w:tcPr>
            <w:tcW w:w="660" w:type="dxa"/>
            <w:vAlign w:val="bottom"/>
            <w:tcBorders>
              <w:top w:val="single" w:sz="8" w:color="auto"/>
            </w:tcBorders>
            <w:gridSpan w:val="2"/>
            <w:vMerge w:val="restart"/>
          </w:tcPr>
          <w:p>
            <w:pPr>
              <w:jc w:val="center"/>
              <w:ind w:left="113"/>
              <w:spacing w:after="0"/>
              <w:rPr>
                <w:sz w:val="20"/>
                <w:szCs w:val="20"/>
                <w:color w:val="auto"/>
              </w:rPr>
            </w:pPr>
            <w:r>
              <w:rPr>
                <w:rFonts w:ascii="Arial" w:cs="Arial" w:eastAsia="Arial" w:hAnsi="Arial"/>
                <w:sz w:val="14"/>
                <w:szCs w:val="14"/>
                <w:b w:val="1"/>
                <w:bCs w:val="1"/>
                <w:color w:val="auto"/>
                <w:w w:val="98"/>
              </w:rPr>
              <w:t>Exhibit</w:t>
            </w:r>
          </w:p>
        </w:tc>
        <w:tc>
          <w:tcPr>
            <w:tcW w:w="22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0" w:type="dxa"/>
            <w:vAlign w:val="bottom"/>
          </w:tcPr>
          <w:p>
            <w:pPr>
              <w:spacing w:after="0"/>
              <w:rPr>
                <w:sz w:val="1"/>
                <w:szCs w:val="1"/>
                <w:color w:val="auto"/>
              </w:rPr>
            </w:pPr>
          </w:p>
        </w:tc>
      </w:tr>
      <w:tr>
        <w:trPr>
          <w:trHeight w:val="171"/>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3.1</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September 28, 2018</w:t>
            </w:r>
          </w:p>
        </w:tc>
        <w:tc>
          <w:tcPr>
            <w:tcW w:w="0" w:type="dxa"/>
            <w:vAlign w:val="bottom"/>
          </w:tcPr>
          <w:p>
            <w:pPr>
              <w:spacing w:after="0"/>
              <w:rPr>
                <w:sz w:val="1"/>
                <w:szCs w:val="1"/>
                <w:color w:val="auto"/>
              </w:rPr>
            </w:pPr>
          </w:p>
        </w:tc>
      </w:tr>
      <w:tr>
        <w:trPr>
          <w:trHeight w:val="540"/>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2"/>
              </w:rPr>
              <w:t>March 25, 2019</w:t>
            </w:r>
          </w:p>
        </w:tc>
        <w:tc>
          <w:tcPr>
            <w:tcW w:w="0" w:type="dxa"/>
            <w:vAlign w:val="bottom"/>
          </w:tcPr>
          <w:p>
            <w:pPr>
              <w:spacing w:after="0"/>
              <w:rPr>
                <w:sz w:val="1"/>
                <w:szCs w:val="1"/>
                <w:color w:val="auto"/>
              </w:rPr>
            </w:pPr>
          </w:p>
        </w:tc>
      </w:tr>
      <w:tr>
        <w:trPr>
          <w:trHeight w:val="540"/>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3.3</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c>
          <w:tcPr>
            <w:tcW w:w="0" w:type="dxa"/>
            <w:vAlign w:val="bottom"/>
          </w:tcPr>
          <w:p>
            <w:pPr>
              <w:spacing w:after="0"/>
              <w:rPr>
                <w:sz w:val="1"/>
                <w:szCs w:val="1"/>
                <w:color w:val="auto"/>
              </w:rPr>
            </w:pPr>
          </w:p>
        </w:tc>
      </w:tr>
      <w:tr>
        <w:trPr>
          <w:trHeight w:val="540"/>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3.3</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September 28, 2018</w:t>
            </w:r>
          </w:p>
        </w:tc>
        <w:tc>
          <w:tcPr>
            <w:tcW w:w="0" w:type="dxa"/>
            <w:vAlign w:val="bottom"/>
          </w:tcPr>
          <w:p>
            <w:pPr>
              <w:spacing w:after="0"/>
              <w:rPr>
                <w:sz w:val="1"/>
                <w:szCs w:val="1"/>
                <w:color w:val="auto"/>
              </w:rPr>
            </w:pPr>
          </w:p>
        </w:tc>
      </w:tr>
      <w:tr>
        <w:trPr>
          <w:trHeight w:val="324"/>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3.4</w:t>
            </w:r>
          </w:p>
        </w:tc>
        <w:tc>
          <w:tcPr>
            <w:tcW w:w="168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September 28, 2018</w:t>
            </w:r>
          </w:p>
        </w:tc>
        <w:tc>
          <w:tcPr>
            <w:tcW w:w="0" w:type="dxa"/>
            <w:vAlign w:val="bottom"/>
          </w:tcPr>
          <w:p>
            <w:pPr>
              <w:spacing w:after="0"/>
              <w:rPr>
                <w:sz w:val="1"/>
                <w:szCs w:val="1"/>
                <w:color w:val="auto"/>
              </w:rPr>
            </w:pPr>
          </w:p>
        </w:tc>
      </w:tr>
      <w:tr>
        <w:trPr>
          <w:trHeight w:val="540"/>
        </w:trPr>
        <w:tc>
          <w:tcPr>
            <w:tcW w:w="56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10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333-227608</w:t>
            </w: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4"/>
              </w:rPr>
              <w:t>April 1, 2019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September 28, 2018</w:t>
            </w:r>
          </w:p>
        </w:tc>
      </w:tr>
      <w:tr>
        <w:trPr>
          <w:trHeight w:val="324"/>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88"/>
              </w:rPr>
              <w:t>September 28, 2018</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2"/>
              </w:rPr>
              <w:t>March 25, 2019</w:t>
            </w:r>
          </w:p>
        </w:tc>
      </w:tr>
      <w:tr>
        <w:trPr>
          <w:trHeight w:val="540"/>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2"/>
              </w:rPr>
              <w:t>March 25, 2019</w:t>
            </w:r>
          </w:p>
        </w:tc>
      </w:tr>
      <w:tr>
        <w:trPr>
          <w:trHeight w:val="756"/>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2"/>
              </w:rPr>
              <w:t>March 25, 2019</w:t>
            </w:r>
          </w:p>
        </w:tc>
      </w:tr>
      <w:tr>
        <w:trPr>
          <w:trHeight w:val="756"/>
        </w:trPr>
        <w:tc>
          <w:tcPr>
            <w:tcW w:w="420" w:type="dxa"/>
            <w:vAlign w:val="bottom"/>
          </w:tcPr>
          <w:p>
            <w:pPr>
              <w:spacing w:after="0"/>
              <w:rPr>
                <w:sz w:val="20"/>
                <w:szCs w:val="20"/>
                <w:color w:val="auto"/>
              </w:rPr>
            </w:pPr>
            <w:r>
              <w:rPr>
                <w:rFonts w:ascii="Arial" w:cs="Arial" w:eastAsia="Arial" w:hAnsi="Arial"/>
                <w:sz w:val="18"/>
                <w:szCs w:val="18"/>
                <w:color w:val="auto"/>
              </w:rPr>
              <w:t>S-1</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333-227608</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10.6</w:t>
            </w:r>
          </w:p>
        </w:tc>
        <w:tc>
          <w:tcPr>
            <w:tcW w:w="1580" w:type="dxa"/>
            <w:vAlign w:val="bottom"/>
          </w:tcPr>
          <w:p>
            <w:pPr>
              <w:jc w:val="center"/>
              <w:ind w:left="50"/>
              <w:spacing w:after="0"/>
              <w:rPr>
                <w:sz w:val="20"/>
                <w:szCs w:val="20"/>
                <w:color w:val="auto"/>
              </w:rPr>
            </w:pPr>
            <w:r>
              <w:rPr>
                <w:rFonts w:ascii="Arial" w:cs="Arial" w:eastAsia="Arial" w:hAnsi="Arial"/>
                <w:sz w:val="18"/>
                <w:szCs w:val="18"/>
                <w:color w:val="auto"/>
                <w:w w:val="92"/>
              </w:rPr>
              <w:t>March 25, 2019</w:t>
            </w:r>
          </w:p>
        </w:tc>
      </w:tr>
    </w:tbl>
    <w:p>
      <w:pPr>
        <w:sectPr>
          <w:pgSz w:w="11900" w:h="16838" w:orient="portrait"/>
          <w:cols w:equalWidth="0" w:num="2">
            <w:col w:w="6840" w:space="200"/>
            <w:col w:w="4000"/>
          </w:cols>
          <w:pgMar w:left="440" w:top="274" w:right="4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 UNDERTAKINGS</w:t>
      </w:r>
    </w:p>
    <w:p>
      <w:pPr>
        <w:spacing w:after="0" w:line="135" w:lineRule="exact"/>
        <w:rPr>
          <w:sz w:val="20"/>
          <w:szCs w:val="20"/>
          <w:color w:val="auto"/>
        </w:rPr>
      </w:pPr>
    </w:p>
    <w:p>
      <w:pPr>
        <w:ind w:left="440" w:hanging="436"/>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b w:val="1"/>
          <w:bCs w:val="1"/>
          <w:color w:val="auto"/>
        </w:rPr>
      </w:pPr>
    </w:p>
    <w:p>
      <w:pPr>
        <w:ind w:left="860" w:hanging="424"/>
        <w:spacing w:after="0"/>
        <w:tabs>
          <w:tab w:leader="none" w:pos="860"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b w:val="1"/>
          <w:bCs w:val="1"/>
          <w:color w:val="auto"/>
        </w:rPr>
      </w:pPr>
    </w:p>
    <w:p>
      <w:pPr>
        <w:ind w:left="1420" w:hanging="538"/>
        <w:spacing w:after="0"/>
        <w:tabs>
          <w:tab w:leader="none" w:pos="142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b w:val="1"/>
          <w:bCs w:val="1"/>
          <w:color w:val="auto"/>
        </w:rPr>
      </w:pPr>
    </w:p>
    <w:p>
      <w:pPr>
        <w:ind w:left="1420" w:right="40" w:hanging="538"/>
        <w:spacing w:after="0" w:line="272" w:lineRule="auto"/>
        <w:tabs>
          <w:tab w:leader="none" w:pos="1420" w:val="left"/>
        </w:tabs>
        <w:numPr>
          <w:ilvl w:val="2"/>
          <w:numId w:val="5"/>
        </w:numPr>
        <w:rPr>
          <w:rFonts w:ascii="Arial" w:cs="Arial" w:eastAsia="Arial" w:hAnsi="Arial"/>
          <w:sz w:val="17"/>
          <w:szCs w:val="17"/>
          <w:b w:val="1"/>
          <w:bCs w:val="1"/>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83" w:lineRule="exact"/>
        <w:rPr>
          <w:rFonts w:ascii="Arial" w:cs="Arial" w:eastAsia="Arial" w:hAnsi="Arial"/>
          <w:sz w:val="17"/>
          <w:szCs w:val="17"/>
          <w:b w:val="1"/>
          <w:bCs w:val="1"/>
          <w:color w:val="auto"/>
        </w:rPr>
      </w:pPr>
    </w:p>
    <w:p>
      <w:pPr>
        <w:ind w:left="1420" w:right="120" w:hanging="538"/>
        <w:spacing w:after="0" w:line="277" w:lineRule="auto"/>
        <w:tabs>
          <w:tab w:leader="none" w:pos="1420" w:val="left"/>
        </w:tabs>
        <w:numPr>
          <w:ilvl w:val="2"/>
          <w:numId w:val="5"/>
        </w:numPr>
        <w:rPr>
          <w:rFonts w:ascii="Arial" w:cs="Arial" w:eastAsia="Arial" w:hAnsi="Arial"/>
          <w:sz w:val="18"/>
          <w:szCs w:val="18"/>
          <w:b w:val="1"/>
          <w:bCs w:val="1"/>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880" w:right="140" w:firstLine="405"/>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(a)(i) and (a)(ii)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87" w:lineRule="exact"/>
        <w:rPr>
          <w:sz w:val="20"/>
          <w:szCs w:val="20"/>
          <w:color w:val="auto"/>
        </w:rPr>
      </w:pPr>
    </w:p>
    <w:p>
      <w:pPr>
        <w:jc w:val="both"/>
        <w:ind w:left="860" w:right="20" w:hanging="424"/>
        <w:spacing w:after="0" w:line="264" w:lineRule="auto"/>
        <w:tabs>
          <w:tab w:leader="none" w:pos="8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such securities at that time shall be deemed to be the initial bona fide offering thereof.</w:t>
      </w:r>
    </w:p>
    <w:p>
      <w:pPr>
        <w:spacing w:after="0" w:line="86" w:lineRule="exact"/>
        <w:rPr>
          <w:rFonts w:ascii="Arial" w:cs="Arial" w:eastAsia="Arial" w:hAnsi="Arial"/>
          <w:sz w:val="18"/>
          <w:szCs w:val="18"/>
          <w:b w:val="1"/>
          <w:bCs w:val="1"/>
          <w:color w:val="auto"/>
        </w:rPr>
      </w:pPr>
    </w:p>
    <w:p>
      <w:pPr>
        <w:ind w:left="860" w:right="440" w:hanging="424"/>
        <w:spacing w:after="0" w:line="277" w:lineRule="auto"/>
        <w:tabs>
          <w:tab w:leader="none" w:pos="8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b w:val="1"/>
          <w:bCs w:val="1"/>
          <w:color w:val="auto"/>
        </w:rPr>
      </w:pPr>
    </w:p>
    <w:p>
      <w:pPr>
        <w:ind w:left="860" w:right="20" w:hanging="424"/>
        <w:spacing w:after="0" w:line="257" w:lineRule="auto"/>
        <w:tabs>
          <w:tab w:leader="none" w:pos="860"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b w:val="1"/>
          <w:bCs w:val="1"/>
          <w:color w:val="auto"/>
        </w:rPr>
      </w:pPr>
    </w:p>
    <w:p>
      <w:pPr>
        <w:ind w:left="1420" w:right="440" w:hanging="538"/>
        <w:spacing w:after="0" w:line="277" w:lineRule="auto"/>
        <w:tabs>
          <w:tab w:leader="none" w:pos="142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75" w:lineRule="exact"/>
        <w:rPr>
          <w:rFonts w:ascii="Arial" w:cs="Arial" w:eastAsia="Arial" w:hAnsi="Arial"/>
          <w:sz w:val="18"/>
          <w:szCs w:val="18"/>
          <w:b w:val="1"/>
          <w:bCs w:val="1"/>
          <w:color w:val="auto"/>
        </w:rPr>
      </w:pPr>
    </w:p>
    <w:p>
      <w:pPr>
        <w:ind w:left="1420" w:right="100" w:hanging="538"/>
        <w:spacing w:after="0" w:line="277" w:lineRule="auto"/>
        <w:tabs>
          <w:tab w:leader="none" w:pos="142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b w:val="1"/>
          <w:bCs w:val="1"/>
          <w:color w:val="auto"/>
        </w:rPr>
      </w:pPr>
    </w:p>
    <w:p>
      <w:pPr>
        <w:ind w:left="1420" w:right="460" w:hanging="538"/>
        <w:spacing w:after="0" w:line="277" w:lineRule="auto"/>
        <w:tabs>
          <w:tab w:leader="none" w:pos="142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b w:val="1"/>
          <w:bCs w:val="1"/>
          <w:color w:val="auto"/>
        </w:rPr>
      </w:pPr>
    </w:p>
    <w:p>
      <w:pPr>
        <w:ind w:left="1420" w:hanging="538"/>
        <w:spacing w:after="0"/>
        <w:tabs>
          <w:tab w:leader="none" w:pos="1420" w:val="left"/>
        </w:tabs>
        <w:numPr>
          <w:ilvl w:val="2"/>
          <w:numId w:val="6"/>
        </w:numPr>
        <w:rPr>
          <w:rFonts w:ascii="Arial" w:cs="Arial" w:eastAsia="Arial" w:hAnsi="Arial"/>
          <w:sz w:val="18"/>
          <w:szCs w:val="18"/>
          <w:b w:val="1"/>
          <w:bCs w:val="1"/>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30" w:lineRule="exact"/>
        <w:rPr>
          <w:rFonts w:ascii="Arial" w:cs="Arial" w:eastAsia="Arial" w:hAnsi="Arial"/>
          <w:sz w:val="18"/>
          <w:szCs w:val="18"/>
          <w:b w:val="1"/>
          <w:bCs w:val="1"/>
          <w:color w:val="auto"/>
        </w:rPr>
      </w:pPr>
    </w:p>
    <w:p>
      <w:pPr>
        <w:ind w:left="440" w:hanging="436"/>
        <w:spacing w:after="0" w:line="25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ectPr>
          <w:pgSz w:w="11900" w:h="16838" w:orient="portrait"/>
          <w:cols w:equalWidth="0" w:num="1">
            <w:col w:w="10980"/>
          </w:cols>
          <w:pgMar w:left="440" w:top="270" w:right="479" w:bottom="1440" w:gutter="0" w:footer="0" w:header="0"/>
        </w:sectPr>
      </w:pPr>
    </w:p>
    <w:bookmarkStart w:id="5" w:name="page6"/>
    <w:bookmarkEnd w:id="5"/>
    <w:p>
      <w:pPr>
        <w:ind w:left="436" w:hanging="436"/>
        <w:spacing w:after="0" w:line="271" w:lineRule="auto"/>
        <w:tabs>
          <w:tab w:leader="none" w:pos="436"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836"/>
          </w:cols>
          <w:pgMar w:left="444" w:top="274" w:right="61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300" w:firstLine="441"/>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South San Francisco, State of California, on this 4th day of April, 2019.</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NGM BIOPHARMACEUTICALS,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J. Woodhouse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David J. Woodhouse,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 and Acting Chief Financial</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5"/>
          <w:szCs w:val="15"/>
          <w:b w:val="1"/>
          <w:bCs w:val="1"/>
          <w:color w:val="auto"/>
        </w:rPr>
        <w:t>NOW</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LL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ERSONS</w:t>
      </w:r>
      <w:r>
        <w:rPr>
          <w:rFonts w:ascii="Arial" w:cs="Arial" w:eastAsia="Arial" w:hAnsi="Arial"/>
          <w:sz w:val="18"/>
          <w:szCs w:val="18"/>
          <w:b w:val="1"/>
          <w:bCs w:val="1"/>
          <w:color w:val="auto"/>
        </w:rPr>
        <w:t xml:space="preserve"> B</w:t>
      </w:r>
      <w:r>
        <w:rPr>
          <w:rFonts w:ascii="Arial" w:cs="Arial" w:eastAsia="Arial" w:hAnsi="Arial"/>
          <w:sz w:val="15"/>
          <w:szCs w:val="15"/>
          <w:b w:val="1"/>
          <w:bCs w:val="1"/>
          <w:color w:val="auto"/>
        </w:rPr>
        <w:t>Y</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RESENTS</w:t>
      </w:r>
      <w:r>
        <w:rPr>
          <w:rFonts w:ascii="Arial" w:cs="Arial" w:eastAsia="Arial" w:hAnsi="Arial"/>
          <w:sz w:val="18"/>
          <w:szCs w:val="18"/>
          <w:color w:val="auto"/>
        </w:rPr>
        <w:t>, that each person whose signature appears below constitutes and appoints William J. Rieflin and</w:t>
      </w:r>
      <w:r>
        <w:rPr>
          <w:rFonts w:ascii="Arial" w:cs="Arial" w:eastAsia="Arial" w:hAnsi="Arial"/>
          <w:sz w:val="18"/>
          <w:szCs w:val="18"/>
          <w:b w:val="1"/>
          <w:bCs w:val="1"/>
          <w:color w:val="auto"/>
        </w:rPr>
        <w:t xml:space="preserve"> </w:t>
      </w:r>
      <w:r>
        <w:rPr>
          <w:rFonts w:ascii="Arial" w:cs="Arial" w:eastAsia="Arial" w:hAnsi="Arial"/>
          <w:sz w:val="18"/>
          <w:szCs w:val="18"/>
          <w:color w:val="auto"/>
        </w:rPr>
        <w:t>David J. Woodhouse, and each of them, as his or her true and lawful attorneys-in-fact and agents, each with the full power of substitution, for him or her and in their name, place or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18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1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760" w:type="dxa"/>
            <w:vAlign w:val="bottom"/>
          </w:tcPr>
          <w:p>
            <w:pPr>
              <w:spacing w:after="0"/>
              <w:rPr>
                <w:sz w:val="14"/>
                <w:szCs w:val="14"/>
                <w:color w:val="auto"/>
              </w:rPr>
            </w:pPr>
          </w:p>
        </w:tc>
        <w:tc>
          <w:tcPr>
            <w:tcW w:w="4760" w:type="dxa"/>
            <w:vAlign w:val="bottom"/>
            <w:gridSpan w:val="3"/>
          </w:tcPr>
          <w:p>
            <w:pPr>
              <w:jc w:val="center"/>
              <w:ind w:left="271"/>
              <w:spacing w:after="0"/>
              <w:rPr>
                <w:sz w:val="20"/>
                <w:szCs w:val="20"/>
                <w:color w:val="auto"/>
              </w:rPr>
            </w:pPr>
            <w:r>
              <w:rPr>
                <w:rFonts w:ascii="Arial" w:cs="Arial" w:eastAsia="Arial" w:hAnsi="Arial"/>
                <w:sz w:val="14"/>
                <w:szCs w:val="14"/>
                <w:b w:val="1"/>
                <w:bCs w:val="1"/>
                <w:color w:val="auto"/>
                <w:w w:val="97"/>
              </w:rPr>
              <w:t>Title</w:t>
            </w:r>
          </w:p>
        </w:tc>
        <w:tc>
          <w:tcPr>
            <w:tcW w:w="1780" w:type="dxa"/>
            <w:vAlign w:val="bottom"/>
            <w:gridSpan w:val="3"/>
          </w:tcPr>
          <w:p>
            <w:pPr>
              <w:jc w:val="center"/>
              <w:ind w:left="75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7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6"/>
        </w:trPr>
        <w:tc>
          <w:tcPr>
            <w:tcW w:w="4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89"/>
              </w:rPr>
              <w:t>/s/ David J. Woodhouse</w:t>
            </w:r>
          </w:p>
        </w:tc>
        <w:tc>
          <w:tcPr>
            <w:tcW w:w="4760" w:type="dxa"/>
            <w:vAlign w:val="bottom"/>
            <w:gridSpan w:val="3"/>
          </w:tcPr>
          <w:p>
            <w:pPr>
              <w:jc w:val="center"/>
              <w:ind w:left="251"/>
              <w:spacing w:after="0"/>
              <w:rPr>
                <w:sz w:val="20"/>
                <w:szCs w:val="20"/>
                <w:color w:val="auto"/>
              </w:rPr>
            </w:pPr>
            <w:r>
              <w:rPr>
                <w:rFonts w:ascii="Arial" w:cs="Arial" w:eastAsia="Arial" w:hAnsi="Arial"/>
                <w:sz w:val="18"/>
                <w:szCs w:val="18"/>
                <w:color w:val="auto"/>
                <w:w w:val="94"/>
              </w:rPr>
              <w:t>Chief Executive Officer, Acting Chief</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182"/>
        </w:trPr>
        <w:tc>
          <w:tcPr>
            <w:tcW w:w="4100" w:type="dxa"/>
            <w:vAlign w:val="bottom"/>
            <w:gridSpan w:val="3"/>
          </w:tcPr>
          <w:p>
            <w:pPr>
              <w:jc w:val="center"/>
              <w:ind w:right="20"/>
              <w:spacing w:after="0" w:line="182" w:lineRule="exact"/>
              <w:rPr>
                <w:sz w:val="20"/>
                <w:szCs w:val="20"/>
                <w:color w:val="auto"/>
              </w:rPr>
            </w:pPr>
            <w:r>
              <w:rPr>
                <w:rFonts w:ascii="Arial" w:cs="Arial" w:eastAsia="Arial" w:hAnsi="Arial"/>
                <w:sz w:val="18"/>
                <w:szCs w:val="18"/>
                <w:color w:val="auto"/>
                <w:w w:val="90"/>
              </w:rPr>
              <w:t>David J. Woodhouse, Ph.D.</w:t>
            </w:r>
          </w:p>
        </w:tc>
        <w:tc>
          <w:tcPr>
            <w:tcW w:w="4760" w:type="dxa"/>
            <w:vAlign w:val="bottom"/>
            <w:gridSpan w:val="3"/>
          </w:tcPr>
          <w:p>
            <w:pPr>
              <w:jc w:val="center"/>
              <w:ind w:left="251"/>
              <w:spacing w:after="0" w:line="182" w:lineRule="exact"/>
              <w:rPr>
                <w:sz w:val="20"/>
                <w:szCs w:val="20"/>
                <w:color w:val="auto"/>
              </w:rPr>
            </w:pPr>
            <w:r>
              <w:rPr>
                <w:rFonts w:ascii="Arial" w:cs="Arial" w:eastAsia="Arial" w:hAnsi="Arial"/>
                <w:sz w:val="18"/>
                <w:szCs w:val="18"/>
                <w:color w:val="auto"/>
                <w:w w:val="93"/>
              </w:rPr>
              <w:t>Financial Officer and Director</w:t>
            </w: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216"/>
        </w:trPr>
        <w:tc>
          <w:tcPr>
            <w:tcW w:w="1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6"/>
              </w:rPr>
              <w:t>(</w:t>
            </w:r>
            <w:r>
              <w:rPr>
                <w:rFonts w:ascii="Arial" w:cs="Arial" w:eastAsia="Arial" w:hAnsi="Arial"/>
                <w:sz w:val="18"/>
                <w:szCs w:val="18"/>
                <w:i w:val="1"/>
                <w:iCs w:val="1"/>
                <w:color w:val="auto"/>
                <w:w w:val="96"/>
              </w:rPr>
              <w:t>Principal Financial Officer and</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1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760" w:type="dxa"/>
            <w:vAlign w:val="bottom"/>
            <w:gridSpan w:val="3"/>
          </w:tcPr>
          <w:p>
            <w:pPr>
              <w:jc w:val="center"/>
              <w:ind w:left="271"/>
              <w:spacing w:after="0"/>
              <w:rPr>
                <w:sz w:val="20"/>
                <w:szCs w:val="20"/>
                <w:color w:val="auto"/>
              </w:rPr>
            </w:pPr>
            <w:r>
              <w:rPr>
                <w:rFonts w:ascii="Arial" w:cs="Arial" w:eastAsia="Arial" w:hAnsi="Arial"/>
                <w:sz w:val="18"/>
                <w:szCs w:val="18"/>
                <w:i w:val="1"/>
                <w:iCs w:val="1"/>
                <w:color w:val="auto"/>
                <w:w w:val="95"/>
              </w:rPr>
              <w:t>Principal Accounting Officer</w:t>
            </w:r>
            <w:r>
              <w:rPr>
                <w:rFonts w:ascii="Arial" w:cs="Arial" w:eastAsia="Arial" w:hAnsi="Arial"/>
                <w:sz w:val="18"/>
                <w:szCs w:val="18"/>
                <w:color w:val="auto"/>
                <w:w w:val="95"/>
              </w:rPr>
              <w:t>)</w:t>
            </w:r>
          </w:p>
        </w:tc>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46"/>
        </w:trPr>
        <w:tc>
          <w:tcPr>
            <w:tcW w:w="4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6"/>
              </w:rPr>
              <w:t>/s/ William J. Rieflin</w:t>
            </w:r>
          </w:p>
        </w:tc>
        <w:tc>
          <w:tcPr>
            <w:tcW w:w="4760" w:type="dxa"/>
            <w:vAlign w:val="bottom"/>
            <w:gridSpan w:val="3"/>
          </w:tcPr>
          <w:p>
            <w:pPr>
              <w:jc w:val="center"/>
              <w:ind w:left="251"/>
              <w:spacing w:after="0"/>
              <w:rPr>
                <w:sz w:val="20"/>
                <w:szCs w:val="20"/>
                <w:color w:val="auto"/>
              </w:rPr>
            </w:pPr>
            <w:r>
              <w:rPr>
                <w:rFonts w:ascii="Arial" w:cs="Arial" w:eastAsia="Arial" w:hAnsi="Arial"/>
                <w:sz w:val="18"/>
                <w:szCs w:val="18"/>
                <w:color w:val="auto"/>
                <w:w w:val="91"/>
              </w:rPr>
              <w:t>Executive Chairman and 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20"/>
              <w:spacing w:after="0"/>
              <w:rPr>
                <w:sz w:val="20"/>
                <w:szCs w:val="20"/>
                <w:color w:val="auto"/>
              </w:rPr>
            </w:pPr>
            <w:r>
              <w:rPr>
                <w:rFonts w:ascii="Arial" w:cs="Arial" w:eastAsia="Arial" w:hAnsi="Arial"/>
                <w:sz w:val="18"/>
                <w:szCs w:val="18"/>
                <w:color w:val="auto"/>
                <w:w w:val="96"/>
              </w:rPr>
              <w:t>William J. Rieflin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Jin-Long Chen</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4"/>
              </w:rPr>
              <w:t>Chief Scientific Officer and 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40"/>
              <w:spacing w:after="0"/>
              <w:rPr>
                <w:sz w:val="20"/>
                <w:szCs w:val="20"/>
                <w:color w:val="auto"/>
              </w:rPr>
            </w:pPr>
            <w:r>
              <w:rPr>
                <w:rFonts w:ascii="Arial" w:cs="Arial" w:eastAsia="Arial" w:hAnsi="Arial"/>
                <w:sz w:val="18"/>
                <w:szCs w:val="18"/>
                <w:color w:val="auto"/>
                <w:w w:val="91"/>
              </w:rPr>
              <w:t>Jin-Long Chen, Ph.D.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0"/>
              </w:rPr>
              <w:t>/s/ David V. Goeddel</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David V. Goeddel, Ph.D.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Suzanne Sawochka Hooper</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Suzanne Sawochka Hooper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Mark Leschly</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Mark Leschly</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David Schnell</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David Schnell, M.D.</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Peter Svennilson</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Peter Svennilson</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41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1"/>
              </w:rPr>
              <w:t>/s/ McHenry T. Tichenor, Jr.</w:t>
            </w:r>
          </w:p>
        </w:tc>
        <w:tc>
          <w:tcPr>
            <w:tcW w:w="4760" w:type="dxa"/>
            <w:vAlign w:val="bottom"/>
            <w:gridSpan w:val="3"/>
          </w:tcPr>
          <w:p>
            <w:pPr>
              <w:jc w:val="center"/>
              <w:ind w:left="271"/>
              <w:spacing w:after="0"/>
              <w:rPr>
                <w:sz w:val="20"/>
                <w:szCs w:val="20"/>
                <w:color w:val="auto"/>
              </w:rPr>
            </w:pPr>
            <w:r>
              <w:rPr>
                <w:rFonts w:ascii="Arial" w:cs="Arial" w:eastAsia="Arial" w:hAnsi="Arial"/>
                <w:sz w:val="18"/>
                <w:szCs w:val="18"/>
                <w:color w:val="auto"/>
                <w:w w:val="95"/>
              </w:rPr>
              <w:t>Director</w:t>
            </w:r>
          </w:p>
        </w:tc>
        <w:tc>
          <w:tcPr>
            <w:tcW w:w="1780" w:type="dxa"/>
            <w:vAlign w:val="bottom"/>
            <w:gridSpan w:val="3"/>
          </w:tcPr>
          <w:p>
            <w:pPr>
              <w:jc w:val="center"/>
              <w:ind w:left="732"/>
              <w:spacing w:after="0"/>
              <w:rPr>
                <w:sz w:val="20"/>
                <w:szCs w:val="20"/>
                <w:color w:val="auto"/>
              </w:rPr>
            </w:pPr>
            <w:r>
              <w:rPr>
                <w:rFonts w:ascii="Arial" w:cs="Arial" w:eastAsia="Arial" w:hAnsi="Arial"/>
                <w:sz w:val="18"/>
                <w:szCs w:val="18"/>
                <w:color w:val="auto"/>
                <w:w w:val="94"/>
              </w:rPr>
              <w:t>April 4, 2019</w:t>
            </w:r>
          </w:p>
        </w:tc>
      </w:tr>
      <w:tr>
        <w:trPr>
          <w:trHeight w:val="224"/>
        </w:trPr>
        <w:tc>
          <w:tcPr>
            <w:tcW w:w="410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McHenry T. Tichenor, Jr.</w:t>
            </w:r>
          </w:p>
        </w:tc>
        <w:tc>
          <w:tcPr>
            <w:tcW w:w="2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ectPr>
          <w:pgSz w:w="11900" w:h="16838" w:orient="portrait"/>
          <w:cols w:equalWidth="0" w:num="1">
            <w:col w:w="10980"/>
          </w:cols>
          <w:pgMar w:left="440" w:top="270" w:right="47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1235075" cy="43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123507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Michael E. Tenta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+1 650 843 5636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mtenta@cooley.com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4,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Oyster Point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 94080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have acted as counsel to NGM Biopharmaceuticals,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(a) 7,105,389 shares of common stock, par value $0.001 per share, (the “</w:t>
      </w:r>
      <w:r>
        <w:rPr>
          <w:rFonts w:ascii="Arial" w:cs="Arial" w:eastAsia="Arial" w:hAnsi="Arial"/>
          <w:sz w:val="17"/>
          <w:szCs w:val="17"/>
          <w:b w:val="1"/>
          <w:bCs w:val="1"/>
          <w:i w:val="1"/>
          <w:iCs w:val="1"/>
          <w:color w:val="auto"/>
        </w:rPr>
        <w:t>2008 EIP Shares</w:t>
      </w:r>
      <w:r>
        <w:rPr>
          <w:rFonts w:ascii="Arial" w:cs="Arial" w:eastAsia="Arial" w:hAnsi="Arial"/>
          <w:sz w:val="17"/>
          <w:szCs w:val="17"/>
          <w:color w:val="auto"/>
        </w:rPr>
        <w:t>”) issuable pursuant to the Company’s 2008 Equity Incentive Plan, as amended, (the “</w:t>
      </w:r>
      <w:r>
        <w:rPr>
          <w:rFonts w:ascii="Arial" w:cs="Arial" w:eastAsia="Arial" w:hAnsi="Arial"/>
          <w:sz w:val="17"/>
          <w:szCs w:val="17"/>
          <w:b w:val="1"/>
          <w:bCs w:val="1"/>
          <w:i w:val="1"/>
          <w:iCs w:val="1"/>
          <w:color w:val="auto"/>
        </w:rPr>
        <w:t>2008 EIP</w:t>
      </w:r>
      <w:r>
        <w:rPr>
          <w:rFonts w:ascii="Arial" w:cs="Arial" w:eastAsia="Arial" w:hAnsi="Arial"/>
          <w:sz w:val="17"/>
          <w:szCs w:val="17"/>
          <w:color w:val="auto"/>
        </w:rPr>
        <w:t>”) (b) 17,874,624 shares of common stock, par value $0.001 per share (the “</w:t>
      </w:r>
      <w:r>
        <w:rPr>
          <w:rFonts w:ascii="Arial" w:cs="Arial" w:eastAsia="Arial" w:hAnsi="Arial"/>
          <w:sz w:val="17"/>
          <w:szCs w:val="17"/>
          <w:b w:val="1"/>
          <w:bCs w:val="1"/>
          <w:i w:val="1"/>
          <w:iCs w:val="1"/>
          <w:color w:val="auto"/>
        </w:rPr>
        <w:t>Restated 2018 EIP Shares</w:t>
      </w:r>
      <w:r>
        <w:rPr>
          <w:rFonts w:ascii="Arial" w:cs="Arial" w:eastAsia="Arial" w:hAnsi="Arial"/>
          <w:sz w:val="17"/>
          <w:szCs w:val="17"/>
          <w:color w:val="auto"/>
        </w:rPr>
        <w:t>”) issuable pursuant to the Company’s Amended and Restated 2018 Equity Incentive Plan (the “</w:t>
      </w:r>
      <w:r>
        <w:rPr>
          <w:rFonts w:ascii="Arial" w:cs="Arial" w:eastAsia="Arial" w:hAnsi="Arial"/>
          <w:sz w:val="17"/>
          <w:szCs w:val="17"/>
          <w:b w:val="1"/>
          <w:bCs w:val="1"/>
          <w:i w:val="1"/>
          <w:iCs w:val="1"/>
          <w:color w:val="auto"/>
        </w:rPr>
        <w:t>Restated 2018 EIP</w:t>
      </w:r>
      <w:r>
        <w:rPr>
          <w:rFonts w:ascii="Arial" w:cs="Arial" w:eastAsia="Arial" w:hAnsi="Arial"/>
          <w:sz w:val="17"/>
          <w:szCs w:val="17"/>
          <w:color w:val="auto"/>
        </w:rPr>
        <w:t>”) and (c) 1,000,000 shares of common stock (together with the 2008 EIP Shares and the Restated 2018 EIP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issuable pursuant to the Company’s 2019 Employee Stock Purchase Plan (together with the Company’s 2008 EIP and Restated 2018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connection with this opinion, we have examined and relied upon the Registration Statement and related prospectuses, the Company’s Amended and Restated Certificate of Incorporation and Bylaws, as currently in effect, the Plans and the originals or copies certified to our satisfaction of such other records, documents, certificates, memoranda and other instruments as we deem necessary or appropriate to enable us to render the opinion expressed below. We have assumed the genuineness and authenticity of all documents submitted to us as originals and the conformity to originals of all documents submitted to us as copies thereof. Our opinion is expressed only with respect to the General Corporation Law of the State of Delaware.</w:t>
      </w:r>
    </w:p>
    <w:p>
      <w:pPr>
        <w:spacing w:after="0" w:line="158"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74" w:lineRule="exact"/>
        <w:rPr>
          <w:sz w:val="20"/>
          <w:szCs w:val="20"/>
          <w:color w:val="auto"/>
        </w:rPr>
      </w:pPr>
    </w:p>
    <w:p>
      <w:pPr>
        <w:jc w:val="center"/>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1020"/>
          </w:cols>
          <w:pgMar w:left="440" w:top="121"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1235075"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235075" cy="437515"/>
                    </a:xfrm>
                    <a:prstGeom prst="rect">
                      <a:avLst/>
                    </a:prstGeom>
                    <a:noFill/>
                  </pic:spPr>
                </pic:pic>
              </a:graphicData>
            </a:graphic>
          </wp:anchor>
        </w:drawing>
        <w:t>NGM Biopharmaceuticals,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4,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filing of this opinion as an exhibit to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By: /s/ Michael E. Tenta</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Michael E. Tenta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132" w:lineRule="exact"/>
        <w:rPr>
          <w:sz w:val="20"/>
          <w:szCs w:val="20"/>
          <w:color w:val="auto"/>
        </w:rPr>
      </w:pPr>
    </w:p>
    <w:p>
      <w:pPr>
        <w:jc w:val="center"/>
        <w:ind w:right="-1000"/>
        <w:spacing w:after="0"/>
        <w:tabs>
          <w:tab w:leader="none" w:pos="120" w:val="left"/>
          <w:tab w:leader="none" w:pos="120" w:val="left"/>
          <w:tab w:leader="none" w:pos="120" w:val="left"/>
        </w:tabs>
        <w:rPr>
          <w:sz w:val="20"/>
          <w:szCs w:val="20"/>
          <w:color w:val="auto"/>
        </w:rPr>
      </w:pPr>
      <w:r>
        <w:rPr>
          <w:rFonts w:ascii="Arial" w:cs="Arial" w:eastAsia="Arial" w:hAnsi="Arial"/>
          <w:sz w:val="14"/>
          <w:szCs w:val="14"/>
          <w:color w:val="auto"/>
        </w:rPr>
        <w:t>Cooley LLP</w:t>
        <w:tab/>
        <w:t>3175 Hanover Street</w:t>
        <w:tab/>
        <w:t>Palo Alto, CA</w:t>
      </w:r>
      <w:r>
        <w:rPr>
          <w:sz w:val="20"/>
          <w:szCs w:val="20"/>
          <w:color w:val="auto"/>
        </w:rPr>
        <w:tab/>
      </w:r>
      <w:r>
        <w:rPr>
          <w:rFonts w:ascii="Arial" w:cs="Arial" w:eastAsia="Arial" w:hAnsi="Arial"/>
          <w:sz w:val="12"/>
          <w:szCs w:val="12"/>
          <w:color w:val="auto"/>
        </w:rPr>
        <w:t>94304-1130</w:t>
      </w:r>
    </w:p>
    <w:p>
      <w:pPr>
        <w:jc w:val="center"/>
        <w:ind w:right="-1000"/>
        <w:spacing w:after="0"/>
        <w:tabs>
          <w:tab w:leader="none" w:pos="120" w:val="left"/>
          <w:tab w:leader="none" w:pos="120" w:val="left"/>
        </w:tabs>
        <w:rPr>
          <w:sz w:val="20"/>
          <w:szCs w:val="20"/>
          <w:color w:val="auto"/>
        </w:rPr>
      </w:pPr>
      <w:r>
        <w:rPr>
          <w:rFonts w:ascii="Arial" w:cs="Arial" w:eastAsia="Arial" w:hAnsi="Arial"/>
          <w:sz w:val="14"/>
          <w:szCs w:val="14"/>
          <w:color w:val="auto"/>
        </w:rPr>
        <w:t>t: (650) 843-5000</w:t>
        <w:tab/>
        <w:t>f: (650) 849-7400</w:t>
      </w:r>
      <w:r>
        <w:rPr>
          <w:sz w:val="20"/>
          <w:szCs w:val="20"/>
          <w:color w:val="auto"/>
        </w:rPr>
        <w:tab/>
      </w:r>
      <w:r>
        <w:rPr>
          <w:rFonts w:ascii="Arial" w:cs="Arial" w:eastAsia="Arial" w:hAnsi="Arial"/>
          <w:sz w:val="13"/>
          <w:szCs w:val="13"/>
          <w:color w:val="auto"/>
        </w:rPr>
        <w:t>cooley.com</w:t>
      </w:r>
    </w:p>
    <w:p>
      <w:pPr>
        <w:sectPr>
          <w:pgSz w:w="11900" w:h="16838" w:orient="portrait"/>
          <w:cols w:equalWidth="0" w:num="1">
            <w:col w:w="10019"/>
          </w:cols>
          <w:pgMar w:left="440" w:top="117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NGM Biopharmaceuticals, Inc. 2008 Equity Incentive Plan, NGM Biopharmaceuticals, Inc. Amended and Restated 2018 Equity Incentive Plan and the NGM Biopharmaceuticals, Inc. 2019 Employee Stock Purchase Plan of NGM Biopharmaceuticals, Inc. of our report dated March 25, 2019, with respect to the consolidated financial statements of NGM Biopharmaceuticals, Inc. for the years ended December 31, 2017 and 2018, included in the Registration Statement (Form S-1 No. 333-227608) filed with the Securities and Exchange Commission.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4,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7"/>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41B71EF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
    <w:nsid w:val="79E2A9E3"/>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7545E146"/>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jpeg"/><Relationship Id="rId35" Type="http://schemas.openxmlformats.org/officeDocument/2006/relationships/image" Target="media/image16.png"/><Relationship Id="rId36" Type="http://schemas.openxmlformats.org/officeDocument/2006/relationships/image" Target="media/image17.jpeg"/><Relationship Id="rId37" Type="http://schemas.openxmlformats.org/officeDocument/2006/relationships/image" Target="media/image18.png"/><Relationship Id="rId17" Type="http://schemas.openxmlformats.org/officeDocument/2006/relationships/hyperlink" Target="http://www.sec.gov/Archives/edgar/data/1426332/000119312518287727/d693178dex31.htm" TargetMode="External"/><Relationship Id="rId18" Type="http://schemas.openxmlformats.org/officeDocument/2006/relationships/hyperlink" Target="http://www.sec.gov/Archives/edgar/data/1426332/000119312519084550/d693178dex32.htm" TargetMode="External"/><Relationship Id="rId19" Type="http://schemas.openxmlformats.org/officeDocument/2006/relationships/hyperlink" Target="http://www.sec.gov/Archives/edgar/data/1426332/000119312519094494/d693178dex33.htm" TargetMode="External"/><Relationship Id="rId20" Type="http://schemas.openxmlformats.org/officeDocument/2006/relationships/hyperlink" Target="http://www.sec.gov/Archives/edgar/data/1426332/000119312518287727/d693178dex33.htm" TargetMode="External"/><Relationship Id="rId21" Type="http://schemas.openxmlformats.org/officeDocument/2006/relationships/hyperlink" Target="http://www.sec.gov/Archives/edgar/data/1426332/000119312518287727/d693178dex34.htm" TargetMode="External"/><Relationship Id="rId22" Type="http://schemas.openxmlformats.org/officeDocument/2006/relationships/hyperlink" Target="http://www.sec.gov/Archives/edgar/data/1426332/000119312519094494/d693178dex42.htm" TargetMode="External"/><Relationship Id="rId23" Type="http://schemas.openxmlformats.org/officeDocument/2006/relationships/hyperlink" Target="http://www.sec.gov/Archives/edgar/data/1426332/000119312518287727/d693178dex101.htm" TargetMode="External"/><Relationship Id="rId24" Type="http://schemas.openxmlformats.org/officeDocument/2006/relationships/hyperlink" Target="http://www.sec.gov/Archives/edgar/data/1426332/000119312518287727/d693178dex102.htm" TargetMode="External"/><Relationship Id="rId25" Type="http://schemas.openxmlformats.org/officeDocument/2006/relationships/hyperlink" Target="http://www.sec.gov/Archives/edgar/data/1426332/000119312519084550/d693178dex103.htm" TargetMode="External"/><Relationship Id="rId26" Type="http://schemas.openxmlformats.org/officeDocument/2006/relationships/hyperlink" Target="http://www.sec.gov/Archives/edgar/data/1426332/000119312519084550/d693178dex104.htm" TargetMode="External"/><Relationship Id="rId27" Type="http://schemas.openxmlformats.org/officeDocument/2006/relationships/hyperlink" Target="http://www.sec.gov/Archives/edgar/data/1426332/000119312519084550/d693178dex105.htm" TargetMode="External"/><Relationship Id="rId28" Type="http://schemas.openxmlformats.org/officeDocument/2006/relationships/hyperlink" Target="http://www.sec.gov/Archives/edgar/data/1426332/000119312519084550/d693178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2019-12-03T15:24:31Z</dcterms:created>
  <dcterms:modified xsi:type="dcterms:W3CDTF">2019-12-03T15:24:31Z</dcterms:modified>
</cp:coreProperties>
</file>