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333-230725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333-230725</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333-237243</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333-254295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333-263155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333-270121</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NGM Biopharmaceuticals, Inc. 2008 Equity Incentive Plan NGM Biopharmaceuticals, Inc. Amended and Restated 2018 Equity Incentive Plan 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these Post-Effective Amendments (these “Post-Effective Amendments”) to the following Registration Statements on Form S-8 (each a “Registration Statement” and, collectively, the “Registration Statements”) previously filed by the Registrant with the U.S. Securities and Exchange Commission (the “SEC”), to deregister any and all shares of the Registrant’s common stock (the “Common Stock”), par value $0.001 per share, registered but unsold or otherwise unissued under each such Registration Statement as of the date hereof:</w:t>
      </w:r>
    </w:p>
    <w:p>
      <w:pPr>
        <w:spacing w:after="0" w:line="89"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333-230725), which was filed with the SEC on April 4, 2019, pertaining to the registration of 25,980,013 shares of Common Stock in the aggregate under the Registrant’s 2008 Equity Incentive Plan, Amended and Restated 2018 Equity Incentive Plan and 2019 Employee Stock Purchase Plan;</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333-237243), which was filed with the SEC on March 17, 2020, pertaining to the registration of 2,678,411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333-254295), which was filed with the SEC on March 15, 2021, pertaining to the registration of 2,823,565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333-263155), which was filed with the SEC on March 1, 2022, pertaining to the registration of 3,118,508 shares of Common Stock under the Registrant’s Amended and Restated 2018 Equity Incentive Plan;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333-270121), which was filed with the SEC on February 28, 2023, pertaining to the registration of 4,094,270 shares of Common Stock in the aggregate under the Registrant’s Amended and Restated 2018 Equity Incentive Plan and 2019 Employee Stock Purchase Plan.</w:t>
      </w:r>
    </w:p>
    <w:p>
      <w:pPr>
        <w:spacing w:after="0" w:line="176" w:lineRule="exact"/>
        <w:rPr>
          <w:rFonts w:ascii="Times New Roman" w:cs="Times New Roman" w:eastAsia="Times New Roman" w:hAnsi="Times New Roman"/>
          <w:sz w:val="18"/>
          <w:szCs w:val="18"/>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(“Parent”), and Atlas Neon Merger Sub, Inc., a wholly-owned subsidiary of Parent (“Merger Sub”), Merger Sub merged with and into the Registrant, with the Registrant surviving as a wholly owned subsidiary of Parent (the “Merger”).</w:t>
      </w:r>
    </w:p>
    <w:p>
      <w:pPr>
        <w:spacing w:after="0" w:line="176" w:lineRule="exact"/>
        <w:rPr>
          <w:rFonts w:ascii="Times New Roman" w:cs="Times New Roman" w:eastAsia="Times New Roman" w:hAnsi="Times New Roman"/>
          <w:sz w:val="18"/>
          <w:szCs w:val="18"/>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Accordingly, the Registrant hereby terminates the effectiveness of the Registration Statements and, in accordance with any undertaking made by the Registrant in the Registration Statements to remove from registration, by means of a post-effective amendment, any and all securities that had been registered for issuance but remain unsold at the termination of the offering, removes from registration any and all securities of the Registrant that were registered under the Registration Statements and remain unsold at the termination of the offerings. The Registration Statements are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South San Francisco, State of California, on April 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26332/000119312519098022/d697498ds8.htm" TargetMode="External"/><Relationship Id="rId18"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56459021013185/ngm-s8.htm" TargetMode="External"/><Relationship Id="rId20" Type="http://schemas.openxmlformats.org/officeDocument/2006/relationships/hyperlink" Target="http://www.sec.gov/Archives/edgar/data/1426332/000162828022004538/ngm-03x01x2022xsx8.htm" TargetMode="External"/><Relationship Id="rId21" Type="http://schemas.openxmlformats.org/officeDocument/2006/relationships/hyperlink" Target="http://www.sec.gov/Archives/edgar/data/1426332/000162828023005600/ngm-02x28x2023x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2024-04-05T09:58:37Z</dcterms:created>
  <dcterms:modified xsi:type="dcterms:W3CDTF">2024-04-05T09:58:37Z</dcterms:modified>
</cp:coreProperties>
</file>