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628015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648335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Proxy Statement Pursuant to Section 14(a) of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3842385</wp:posOffset>
            </wp:positionH>
            <wp:positionV relativeFrom="paragraph">
              <wp:posOffset>-14605</wp:posOffset>
            </wp:positionV>
            <wp:extent cx="6731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 w:line="161" w:lineRule="exact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☑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Check the appropriate box: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4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14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§ 240.14a-12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NGM Biopharmaceuticals,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19685</wp:posOffset>
            </wp:positionV>
            <wp:extent cx="716153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17780</wp:posOffset>
            </wp:positionV>
            <wp:extent cx="716153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 if Other Than the Registrant)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Payment of Filing Fee (Check the appropriate box)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10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302260</wp:posOffset>
            </wp:positionV>
            <wp:extent cx="7161530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322580</wp:posOffset>
            </wp:positionV>
            <wp:extent cx="7161530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17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2023-03-29T15:30:55Z</dcterms:created>
  <dcterms:modified xsi:type="dcterms:W3CDTF">2023-03-29T15:30:55Z</dcterms:modified>
</cp:coreProperties>
</file>