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149860</wp:posOffset>
            </wp:positionV>
            <wp:extent cx="1011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135255</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163195</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161290</wp:posOffset>
            </wp:positionV>
            <wp:extent cx="1011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tbl>
      <w:tblPr>
        <w:tblLayout w:type="fixed"/>
        <w:tblInd w:w="680" w:type="dxa"/>
        <w:tblCellMar>
          <w:top w:w="0" w:type="dxa"/>
          <w:left w:w="0" w:type="dxa"/>
          <w:bottom w:w="0" w:type="dxa"/>
          <w:right w:w="0" w:type="dxa"/>
        </w:tblCellMar>
      </w:tblPr>
      <w:tr>
        <w:trPr>
          <w:trHeight w:val="222"/>
        </w:trPr>
        <w:tc>
          <w:tcPr>
            <w:tcW w:w="2740" w:type="dxa"/>
            <w:vAlign w:val="bottom"/>
          </w:tcPr>
          <w:p>
            <w:pPr>
              <w:jc w:val="center"/>
              <w:ind w:right="201"/>
              <w:spacing w:after="0"/>
              <w:rPr>
                <w:sz w:val="20"/>
                <w:szCs w:val="20"/>
                <w:color w:val="auto"/>
              </w:rPr>
            </w:pPr>
            <w:r>
              <w:rPr>
                <w:rFonts w:ascii="Arial" w:cs="Arial" w:eastAsia="Arial" w:hAnsi="Arial"/>
                <w:sz w:val="18"/>
                <w:szCs w:val="18"/>
                <w:b w:val="1"/>
                <w:bCs w:val="1"/>
                <w:color w:val="auto"/>
                <w:w w:val="93"/>
              </w:rPr>
              <w:t>Delaware</w:t>
            </w:r>
          </w:p>
        </w:tc>
        <w:tc>
          <w:tcPr>
            <w:tcW w:w="4740" w:type="dxa"/>
            <w:vAlign w:val="bottom"/>
          </w:tcPr>
          <w:p>
            <w:pPr>
              <w:jc w:val="center"/>
              <w:ind w:right="281"/>
              <w:spacing w:after="0"/>
              <w:rPr>
                <w:sz w:val="20"/>
                <w:szCs w:val="20"/>
                <w:color w:val="auto"/>
              </w:rPr>
            </w:pPr>
            <w:r>
              <w:rPr>
                <w:rFonts w:ascii="Arial" w:cs="Arial" w:eastAsia="Arial" w:hAnsi="Arial"/>
                <w:sz w:val="18"/>
                <w:szCs w:val="18"/>
                <w:b w:val="1"/>
                <w:bCs w:val="1"/>
                <w:color w:val="auto"/>
                <w:w w:val="90"/>
              </w:rPr>
              <w:t>001-38853</w:t>
            </w:r>
          </w:p>
        </w:tc>
        <w:tc>
          <w:tcPr>
            <w:tcW w:w="1700" w:type="dxa"/>
            <w:vAlign w:val="bottom"/>
          </w:tcPr>
          <w:p>
            <w:pPr>
              <w:jc w:val="right"/>
              <w:ind w:right="24"/>
              <w:spacing w:after="0"/>
              <w:rPr>
                <w:sz w:val="20"/>
                <w:szCs w:val="20"/>
                <w:color w:val="auto"/>
              </w:rPr>
            </w:pPr>
            <w:r>
              <w:rPr>
                <w:rFonts w:ascii="Arial" w:cs="Arial" w:eastAsia="Arial" w:hAnsi="Arial"/>
                <w:sz w:val="18"/>
                <w:szCs w:val="18"/>
                <w:b w:val="1"/>
                <w:bCs w:val="1"/>
                <w:color w:val="auto"/>
              </w:rPr>
              <w:t>26-1679911</w:t>
            </w:r>
          </w:p>
        </w:tc>
      </w:tr>
      <w:tr>
        <w:trPr>
          <w:trHeight w:val="148"/>
        </w:trPr>
        <w:tc>
          <w:tcPr>
            <w:tcW w:w="2740" w:type="dxa"/>
            <w:vAlign w:val="bottom"/>
          </w:tcPr>
          <w:p>
            <w:pPr>
              <w:jc w:val="center"/>
              <w:ind w:right="181"/>
              <w:spacing w:after="0"/>
              <w:rPr>
                <w:sz w:val="20"/>
                <w:szCs w:val="20"/>
                <w:color w:val="auto"/>
              </w:rPr>
            </w:pPr>
            <w:r>
              <w:rPr>
                <w:rFonts w:ascii="Arial" w:cs="Arial" w:eastAsia="Arial" w:hAnsi="Arial"/>
                <w:sz w:val="13"/>
                <w:szCs w:val="13"/>
                <w:b w:val="1"/>
                <w:bCs w:val="1"/>
                <w:color w:val="auto"/>
                <w:w w:val="95"/>
              </w:rPr>
              <w:t>(State or Other Jurisdiction</w:t>
            </w:r>
          </w:p>
        </w:tc>
        <w:tc>
          <w:tcPr>
            <w:tcW w:w="4740" w:type="dxa"/>
            <w:vAlign w:val="bottom"/>
          </w:tcPr>
          <w:p>
            <w:pPr>
              <w:spacing w:after="0"/>
              <w:rPr>
                <w:sz w:val="12"/>
                <w:szCs w:val="12"/>
                <w:color w:val="auto"/>
              </w:rPr>
            </w:pPr>
          </w:p>
        </w:tc>
        <w:tc>
          <w:tcPr>
            <w:tcW w:w="1700" w:type="dxa"/>
            <w:vAlign w:val="bottom"/>
          </w:tcPr>
          <w:p>
            <w:pPr>
              <w:jc w:val="center"/>
              <w:ind w:left="544"/>
              <w:spacing w:after="0"/>
              <w:rPr>
                <w:sz w:val="20"/>
                <w:szCs w:val="20"/>
                <w:color w:val="auto"/>
              </w:rPr>
            </w:pPr>
            <w:r>
              <w:rPr>
                <w:rFonts w:ascii="Arial" w:cs="Arial" w:eastAsia="Arial" w:hAnsi="Arial"/>
                <w:sz w:val="13"/>
                <w:szCs w:val="13"/>
                <w:b w:val="1"/>
                <w:bCs w:val="1"/>
                <w:color w:val="auto"/>
                <w:w w:val="98"/>
              </w:rPr>
              <w:t>(IRS Employer</w:t>
            </w:r>
          </w:p>
        </w:tc>
      </w:tr>
      <w:tr>
        <w:trPr>
          <w:trHeight w:val="188"/>
        </w:trPr>
        <w:tc>
          <w:tcPr>
            <w:tcW w:w="2740" w:type="dxa"/>
            <w:vAlign w:val="bottom"/>
          </w:tcPr>
          <w:p>
            <w:pPr>
              <w:jc w:val="center"/>
              <w:ind w:right="181"/>
              <w:spacing w:after="0"/>
              <w:rPr>
                <w:sz w:val="20"/>
                <w:szCs w:val="20"/>
                <w:color w:val="auto"/>
              </w:rPr>
            </w:pPr>
            <w:r>
              <w:rPr>
                <w:rFonts w:ascii="Arial" w:cs="Arial" w:eastAsia="Arial" w:hAnsi="Arial"/>
                <w:sz w:val="13"/>
                <w:szCs w:val="13"/>
                <w:b w:val="1"/>
                <w:bCs w:val="1"/>
                <w:color w:val="auto"/>
                <w:w w:val="96"/>
              </w:rPr>
              <w:t>of Incorporation)</w:t>
            </w:r>
          </w:p>
        </w:tc>
        <w:tc>
          <w:tcPr>
            <w:tcW w:w="4740" w:type="dxa"/>
            <w:vAlign w:val="bottom"/>
          </w:tcPr>
          <w:p>
            <w:pPr>
              <w:jc w:val="center"/>
              <w:ind w:right="281"/>
              <w:spacing w:after="0"/>
              <w:rPr>
                <w:sz w:val="20"/>
                <w:szCs w:val="20"/>
                <w:color w:val="auto"/>
              </w:rPr>
            </w:pPr>
            <w:r>
              <w:rPr>
                <w:rFonts w:ascii="Arial" w:cs="Arial" w:eastAsia="Arial" w:hAnsi="Arial"/>
                <w:sz w:val="13"/>
                <w:szCs w:val="13"/>
                <w:b w:val="1"/>
                <w:bCs w:val="1"/>
                <w:color w:val="auto"/>
                <w:w w:val="95"/>
              </w:rPr>
              <w:t>(Commission File Number)</w:t>
            </w:r>
          </w:p>
        </w:tc>
        <w:tc>
          <w:tcPr>
            <w:tcW w:w="1700" w:type="dxa"/>
            <w:vAlign w:val="bottom"/>
          </w:tcPr>
          <w:p>
            <w:pPr>
              <w:jc w:val="center"/>
              <w:ind w:left="56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2740" w:type="dxa"/>
            <w:vAlign w:val="bottom"/>
          </w:tcPr>
          <w:p>
            <w:pPr>
              <w:jc w:val="center"/>
              <w:ind w:right="201"/>
              <w:spacing w:after="0"/>
              <w:rPr>
                <w:sz w:val="20"/>
                <w:szCs w:val="20"/>
                <w:color w:val="auto"/>
              </w:rPr>
            </w:pPr>
            <w:r>
              <w:rPr>
                <w:rFonts w:ascii="Arial" w:cs="Arial" w:eastAsia="Arial" w:hAnsi="Arial"/>
                <w:sz w:val="18"/>
                <w:szCs w:val="18"/>
                <w:b w:val="1"/>
                <w:bCs w:val="1"/>
                <w:color w:val="auto"/>
                <w:w w:val="91"/>
              </w:rPr>
              <w:t>333 Oyster Point Boulevard</w:t>
            </w:r>
          </w:p>
        </w:tc>
        <w:tc>
          <w:tcPr>
            <w:tcW w:w="47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2"/>
        </w:trPr>
        <w:tc>
          <w:tcPr>
            <w:tcW w:w="2740" w:type="dxa"/>
            <w:vAlign w:val="bottom"/>
          </w:tcPr>
          <w:p>
            <w:pPr>
              <w:jc w:val="center"/>
              <w:ind w:right="201"/>
              <w:spacing w:after="0"/>
              <w:rPr>
                <w:sz w:val="20"/>
                <w:szCs w:val="20"/>
                <w:color w:val="auto"/>
              </w:rPr>
            </w:pPr>
            <w:r>
              <w:rPr>
                <w:rFonts w:ascii="Arial" w:cs="Arial" w:eastAsia="Arial" w:hAnsi="Arial"/>
                <w:sz w:val="18"/>
                <w:szCs w:val="18"/>
                <w:b w:val="1"/>
                <w:bCs w:val="1"/>
                <w:color w:val="auto"/>
                <w:w w:val="90"/>
              </w:rPr>
              <w:t>South San Francisco, California</w:t>
            </w:r>
          </w:p>
        </w:tc>
        <w:tc>
          <w:tcPr>
            <w:tcW w:w="4740" w:type="dxa"/>
            <w:vAlign w:val="bottom"/>
          </w:tcPr>
          <w:p>
            <w:pPr>
              <w:spacing w:after="0"/>
              <w:rPr>
                <w:sz w:val="19"/>
                <w:szCs w:val="19"/>
                <w:color w:val="auto"/>
              </w:rPr>
            </w:pPr>
          </w:p>
        </w:tc>
        <w:tc>
          <w:tcPr>
            <w:tcW w:w="1700" w:type="dxa"/>
            <w:vAlign w:val="bottom"/>
          </w:tcPr>
          <w:p>
            <w:pPr>
              <w:jc w:val="right"/>
              <w:ind w:right="244"/>
              <w:spacing w:after="0"/>
              <w:rPr>
                <w:sz w:val="20"/>
                <w:szCs w:val="20"/>
                <w:color w:val="auto"/>
              </w:rPr>
            </w:pPr>
            <w:r>
              <w:rPr>
                <w:rFonts w:ascii="Arial" w:cs="Arial" w:eastAsia="Arial" w:hAnsi="Arial"/>
                <w:sz w:val="18"/>
                <w:szCs w:val="18"/>
                <w:b w:val="1"/>
                <w:bCs w:val="1"/>
                <w:color w:val="auto"/>
              </w:rPr>
              <w:t>94080</w:t>
            </w:r>
          </w:p>
        </w:tc>
      </w:tr>
      <w:tr>
        <w:trPr>
          <w:trHeight w:val="174"/>
        </w:trPr>
        <w:tc>
          <w:tcPr>
            <w:tcW w:w="2740" w:type="dxa"/>
            <w:vAlign w:val="bottom"/>
          </w:tcPr>
          <w:p>
            <w:pPr>
              <w:jc w:val="center"/>
              <w:ind w:right="2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4740" w:type="dxa"/>
            <w:vAlign w:val="bottom"/>
          </w:tcPr>
          <w:p>
            <w:pPr>
              <w:spacing w:after="0"/>
              <w:rPr>
                <w:sz w:val="15"/>
                <w:szCs w:val="15"/>
                <w:color w:val="auto"/>
              </w:rPr>
            </w:pPr>
          </w:p>
        </w:tc>
        <w:tc>
          <w:tcPr>
            <w:tcW w:w="1700" w:type="dxa"/>
            <w:vAlign w:val="bottom"/>
          </w:tcPr>
          <w:p>
            <w:pPr>
              <w:jc w:val="center"/>
              <w:ind w:left="544"/>
              <w:spacing w:after="0"/>
              <w:rPr>
                <w:sz w:val="20"/>
                <w:szCs w:val="20"/>
                <w:color w:val="auto"/>
              </w:rPr>
            </w:pPr>
            <w:r>
              <w:rPr>
                <w:rFonts w:ascii="Arial" w:cs="Arial" w:eastAsia="Arial" w:hAnsi="Arial"/>
                <w:sz w:val="13"/>
                <w:szCs w:val="13"/>
                <w:b w:val="1"/>
                <w:bCs w:val="1"/>
                <w:color w:val="auto"/>
                <w:w w:val="99"/>
              </w:rPr>
              <w:t>(Zip Code)</w:t>
            </w:r>
          </w:p>
        </w:tc>
      </w:tr>
      <w:tr>
        <w:trPr>
          <w:trHeight w:val="352"/>
        </w:trPr>
        <w:tc>
          <w:tcPr>
            <w:tcW w:w="2740" w:type="dxa"/>
            <w:vAlign w:val="bottom"/>
          </w:tcPr>
          <w:p>
            <w:pPr>
              <w:spacing w:after="0"/>
              <w:rPr>
                <w:sz w:val="24"/>
                <w:szCs w:val="24"/>
                <w:color w:val="auto"/>
              </w:rPr>
            </w:pPr>
          </w:p>
        </w:tc>
        <w:tc>
          <w:tcPr>
            <w:tcW w:w="4740" w:type="dxa"/>
            <w:vAlign w:val="bottom"/>
          </w:tcPr>
          <w:p>
            <w:pPr>
              <w:jc w:val="center"/>
              <w:ind w:right="261"/>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74"/>
        </w:trPr>
        <w:tc>
          <w:tcPr>
            <w:tcW w:w="2740" w:type="dxa"/>
            <w:vAlign w:val="bottom"/>
          </w:tcPr>
          <w:p>
            <w:pPr>
              <w:spacing w:after="0"/>
              <w:rPr>
                <w:sz w:val="15"/>
                <w:szCs w:val="15"/>
                <w:color w:val="auto"/>
              </w:rPr>
            </w:pPr>
          </w:p>
        </w:tc>
        <w:tc>
          <w:tcPr>
            <w:tcW w:w="4740" w:type="dxa"/>
            <w:vAlign w:val="bottom"/>
          </w:tcPr>
          <w:p>
            <w:pPr>
              <w:jc w:val="center"/>
              <w:ind w:right="241"/>
              <w:spacing w:after="0"/>
              <w:rPr>
                <w:sz w:val="20"/>
                <w:szCs w:val="20"/>
                <w:color w:val="auto"/>
              </w:rPr>
            </w:pPr>
            <w:r>
              <w:rPr>
                <w:rFonts w:ascii="Arial" w:cs="Arial" w:eastAsia="Arial" w:hAnsi="Arial"/>
                <w:sz w:val="13"/>
                <w:szCs w:val="13"/>
                <w:b w:val="1"/>
                <w:bCs w:val="1"/>
                <w:color w:val="auto"/>
                <w:w w:val="93"/>
              </w:rPr>
              <w:t>(Registrant’s Telephone Number, Including Area Code)</w:t>
            </w:r>
          </w:p>
        </w:tc>
        <w:tc>
          <w:tcPr>
            <w:tcW w:w="1700" w:type="dxa"/>
            <w:vAlign w:val="bottom"/>
          </w:tcPr>
          <w:p>
            <w:pPr>
              <w:spacing w:after="0"/>
              <w:rPr>
                <w:sz w:val="15"/>
                <w:szCs w:val="15"/>
                <w:color w:val="auto"/>
              </w:rPr>
            </w:pPr>
          </w:p>
        </w:tc>
      </w:tr>
      <w:tr>
        <w:trPr>
          <w:trHeight w:val="352"/>
        </w:trPr>
        <w:tc>
          <w:tcPr>
            <w:tcW w:w="2740" w:type="dxa"/>
            <w:vAlign w:val="bottom"/>
          </w:tcPr>
          <w:p>
            <w:pPr>
              <w:spacing w:after="0"/>
              <w:rPr>
                <w:sz w:val="24"/>
                <w:szCs w:val="24"/>
                <w:color w:val="auto"/>
              </w:rPr>
            </w:pPr>
          </w:p>
        </w:tc>
        <w:tc>
          <w:tcPr>
            <w:tcW w:w="4740" w:type="dxa"/>
            <w:vAlign w:val="bottom"/>
          </w:tcPr>
          <w:p>
            <w:pPr>
              <w:jc w:val="center"/>
              <w:ind w:right="261"/>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74"/>
        </w:trPr>
        <w:tc>
          <w:tcPr>
            <w:tcW w:w="2740" w:type="dxa"/>
            <w:vAlign w:val="bottom"/>
          </w:tcPr>
          <w:p>
            <w:pPr>
              <w:spacing w:after="0"/>
              <w:rPr>
                <w:sz w:val="15"/>
                <w:szCs w:val="15"/>
                <w:color w:val="auto"/>
              </w:rPr>
            </w:pPr>
          </w:p>
        </w:tc>
        <w:tc>
          <w:tcPr>
            <w:tcW w:w="474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(Former Name or Former Address, if Changed Since Last Report)</w:t>
            </w:r>
          </w:p>
        </w:tc>
        <w:tc>
          <w:tcPr>
            <w:tcW w:w="17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137795</wp:posOffset>
            </wp:positionV>
            <wp:extent cx="101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0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40" w:firstLine="8"/>
        <w:spacing w:after="0" w:line="394"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Trading</w:t>
            </w:r>
          </w:p>
        </w:tc>
        <w:tc>
          <w:tcPr>
            <w:tcW w:w="5040" w:type="dxa"/>
            <w:vAlign w:val="bottom"/>
          </w:tcPr>
          <w:p>
            <w:pPr>
              <w:spacing w:after="0"/>
              <w:rPr>
                <w:sz w:val="12"/>
                <w:szCs w:val="12"/>
                <w:color w:val="auto"/>
              </w:rPr>
            </w:pPr>
          </w:p>
        </w:tc>
      </w:tr>
      <w:tr>
        <w:trPr>
          <w:trHeight w:val="185"/>
        </w:trPr>
        <w:tc>
          <w:tcPr>
            <w:tcW w:w="4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75" w:lineRule="exact"/>
        <w:rPr>
          <w:sz w:val="20"/>
          <w:szCs w:val="20"/>
          <w:color w:val="auto"/>
        </w:rPr>
      </w:pPr>
    </w:p>
    <w:p>
      <w:pPr>
        <w:jc w:val="both"/>
        <w:ind w:right="80" w:firstLine="802"/>
        <w:spacing w:after="0" w:line="286" w:lineRule="auto"/>
        <w:rPr>
          <w:sz w:val="20"/>
          <w:szCs w:val="20"/>
          <w:color w:val="auto"/>
        </w:rPr>
      </w:pPr>
      <w:r>
        <w:rPr>
          <w:rFonts w:ascii="Arial" w:cs="Arial" w:eastAsia="Arial" w:hAnsi="Arial"/>
          <w:sz w:val="17"/>
          <w:szCs w:val="17"/>
          <w:color w:val="auto"/>
        </w:rPr>
        <w:t>On March 4, 2021, NGM Biopharmaceuticals, Inc. provided business highlights and reported its financial results for the fourth quarter and full year ended December 31, 2020. A copy of the press release titled “NGM Bio Provides Business Highlights and Reports Fourth Quarter and Full Year 2020 Financial Results,” is furnished pursuant to Item 2.02 as Exhibit 99.1 hereto and is incorporated herein by reference.</w:t>
      </w:r>
    </w:p>
    <w:p>
      <w:pPr>
        <w:spacing w:after="0" w:line="16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Exhibit No.</w:t>
            </w:r>
          </w:p>
        </w:tc>
        <w:tc>
          <w:tcPr>
            <w:tcW w:w="7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2"/>
          </w:tcPr>
          <w:p>
            <w:pPr>
              <w:ind w:left="3240"/>
              <w:spacing w:after="0"/>
              <w:rPr>
                <w:sz w:val="20"/>
                <w:szCs w:val="20"/>
                <w:color w:val="auto"/>
              </w:rPr>
            </w:pPr>
            <w:r>
              <w:rPr>
                <w:rFonts w:ascii="Arial" w:cs="Arial" w:eastAsia="Arial" w:hAnsi="Arial"/>
                <w:sz w:val="14"/>
                <w:szCs w:val="14"/>
                <w:color w:val="auto"/>
              </w:rPr>
              <w:t>Description</w:t>
            </w:r>
          </w:p>
        </w:tc>
      </w:tr>
      <w:tr>
        <w:trPr>
          <w:trHeight w:val="385"/>
        </w:trPr>
        <w:tc>
          <w:tcPr>
            <w:tcW w:w="860" w:type="dxa"/>
            <w:vAlign w:val="bottom"/>
          </w:tcPr>
          <w:p>
            <w:pPr>
              <w:jc w:val="right"/>
              <w:ind w:right="459"/>
              <w:spacing w:after="0"/>
              <w:rPr>
                <w:sz w:val="20"/>
                <w:szCs w:val="20"/>
                <w:color w:val="auto"/>
              </w:rPr>
            </w:pPr>
            <w:r>
              <w:rPr>
                <w:rFonts w:ascii="Arial" w:cs="Arial" w:eastAsia="Arial" w:hAnsi="Arial"/>
                <w:sz w:val="18"/>
                <w:szCs w:val="18"/>
                <w:color w:val="auto"/>
                <w:w w:val="85"/>
              </w:rPr>
              <w:t>99.1</w:t>
            </w:r>
          </w:p>
        </w:tc>
        <w:tc>
          <w:tcPr>
            <w:tcW w:w="740" w:type="dxa"/>
            <w:vAlign w:val="bottom"/>
          </w:tcPr>
          <w:p>
            <w:pPr>
              <w:spacing w:after="0"/>
              <w:rPr>
                <w:sz w:val="24"/>
                <w:szCs w:val="24"/>
                <w:color w:val="auto"/>
              </w:rPr>
            </w:pPr>
          </w:p>
        </w:tc>
        <w:tc>
          <w:tcPr>
            <w:tcW w:w="9640" w:type="dxa"/>
            <w:vAlign w:val="bottom"/>
            <w:gridSpan w:val="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Press release, dated March 4, 2021, titled “NGM Bio Provides Business Highlights and Reports Fourth Quarter and Full Year 2020</w:t>
              </w:r>
            </w:hyperlink>
          </w:p>
        </w:tc>
      </w:tr>
      <w:tr>
        <w:trPr>
          <w:trHeight w:val="196"/>
        </w:trPr>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Results</w:t>
              </w:r>
              <w:r>
                <w:rPr>
                  <w:rFonts w:ascii="Arial" w:cs="Arial" w:eastAsia="Arial" w:hAnsi="Arial"/>
                  <w:sz w:val="18"/>
                  <w:szCs w:val="18"/>
                  <w:color w:val="000000"/>
                </w:rPr>
                <w:t>.”</w:t>
              </w:r>
            </w:hyperlink>
          </w:p>
        </w:tc>
        <w:tc>
          <w:tcPr>
            <w:tcW w:w="2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802"/>
        <w:spacing w:after="0" w:line="257" w:lineRule="auto"/>
        <w:rPr>
          <w:sz w:val="20"/>
          <w:szCs w:val="20"/>
          <w:color w:val="auto"/>
        </w:rPr>
      </w:pPr>
      <w:r>
        <w:rPr>
          <w:rFonts w:ascii="Arial" w:cs="Arial" w:eastAsia="Arial" w:hAnsi="Arial"/>
          <w:sz w:val="18"/>
          <w:szCs w:val="18"/>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March 4, 2021</w:t>
      </w:r>
      <w:r>
        <w:rPr>
          <w:sz w:val="20"/>
          <w:szCs w:val="20"/>
          <w:color w:val="auto"/>
        </w:rPr>
        <w:tab/>
      </w:r>
      <w:r>
        <w:rPr>
          <w:rFonts w:ascii="Arial" w:cs="Arial" w:eastAsia="Arial" w:hAnsi="Arial"/>
          <w:sz w:val="16"/>
          <w:szCs w:val="16"/>
          <w:color w:val="auto"/>
        </w:rPr>
        <w:t>By:  /s/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Siobhan Nolan Mangini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840"/>
          </w:cols>
          <w:pgMar w:left="320" w:top="121"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139700</wp:posOffset>
            </wp:positionV>
            <wp:extent cx="1525905" cy="840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590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Provides Business Highlights and Reports Fourth Quarter and Full Year 2020 Financial Results</w:t>
      </w:r>
    </w:p>
    <w:p>
      <w:pPr>
        <w:spacing w:after="0" w:line="234" w:lineRule="exact"/>
        <w:rPr>
          <w:sz w:val="20"/>
          <w:szCs w:val="20"/>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progress made across liver and metabolic diseases, retinal diseases and cancer during fourth quarter 2020:</w:t>
      </w:r>
    </w:p>
    <w:p>
      <w:pPr>
        <w:spacing w:after="0" w:line="23" w:lineRule="exact"/>
        <w:rPr>
          <w:sz w:val="20"/>
          <w:szCs w:val="20"/>
          <w:color w:val="auto"/>
        </w:rPr>
      </w:pPr>
    </w:p>
    <w:p>
      <w:pPr>
        <w:ind w:left="1600" w:right="300" w:hanging="391"/>
        <w:spacing w:after="0" w:line="226" w:lineRule="auto"/>
        <w:tabs>
          <w:tab w:leader="none" w:pos="160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Presented first-in-human results from Phase 1 clinical trial of NGM621 in patients with geographic atrophy (GA) at the American Academy of Ophthalmology (AAO) 2020 Virtual</w:t>
      </w:r>
    </w:p>
    <w:p>
      <w:pPr>
        <w:ind w:left="1600" w:right="460" w:hanging="391"/>
        <w:spacing w:after="0" w:line="226" w:lineRule="auto"/>
        <w:tabs>
          <w:tab w:leader="none" w:pos="160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Merck advanced collaboration compound MK-3655 into a global Phase 2b clinical trial in patients with non-alcoholic steatohepatitis (NASH)</w:t>
      </w:r>
    </w:p>
    <w:p>
      <w:pPr>
        <w:ind w:left="1600" w:right="160" w:hanging="391"/>
        <w:spacing w:after="0" w:line="226" w:lineRule="auto"/>
        <w:tabs>
          <w:tab w:leader="none" w:pos="160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Announced expansion of NGM’s oncology portfolio with addition of two product candidates, NGM707, a dual antagonist antibody inhibiting ILT2 and ILT4, and NGM438, an antagonist antibody inhibiting LAIR1</w:t>
      </w: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Recently initiated placebo-controlled expansion of Phase 1b clinical trial of NGM120 in patients with metastatic pancreatic cancer</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NGM anticipates reporting topline data from Phase 2b ALPINE 2/3 clinical trial in second quarter 2021</w:t>
      </w:r>
    </w:p>
    <w:p>
      <w:pPr>
        <w:spacing w:after="0" w:line="22" w:lineRule="exact"/>
        <w:rPr>
          <w:rFonts w:ascii="Arial" w:cs="Arial" w:eastAsia="Arial" w:hAnsi="Arial"/>
          <w:sz w:val="18"/>
          <w:szCs w:val="18"/>
          <w:color w:val="auto"/>
        </w:rPr>
      </w:pPr>
    </w:p>
    <w:p>
      <w:pPr>
        <w:ind w:left="800" w:right="240" w:hanging="401"/>
        <w:spacing w:after="0" w:line="230" w:lineRule="auto"/>
        <w:tabs>
          <w:tab w:leader="none" w:pos="800" w:val="left"/>
        </w:tabs>
        <w:numPr>
          <w:ilvl w:val="0"/>
          <w:numId w:val="4"/>
        </w:numPr>
        <w:rPr>
          <w:rFonts w:ascii="Arial" w:cs="Arial" w:eastAsia="Arial" w:hAnsi="Arial"/>
          <w:sz w:val="20"/>
          <w:szCs w:val="20"/>
          <w:color w:val="auto"/>
        </w:rPr>
      </w:pPr>
      <w:r>
        <w:rPr>
          <w:rFonts w:ascii="Arial" w:cs="Arial" w:eastAsia="Arial" w:hAnsi="Arial"/>
          <w:sz w:val="18"/>
          <w:szCs w:val="18"/>
          <w:color w:val="auto"/>
        </w:rPr>
        <w:t>$295.2 million in cash, cash equivalents and marketable securities as of December 31, 2020, which amount does not include net proceeds of approximately $134.7 million from the public offering of NGM common stock completed in January 2021</w:t>
      </w:r>
    </w:p>
    <w:p>
      <w:pPr>
        <w:spacing w:after="0" w:line="18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 xml:space="preserve">South San Francisco, CA, </w:t>
      </w:r>
      <w:r>
        <w:rPr>
          <w:rFonts w:ascii="Arial" w:cs="Arial" w:eastAsia="Arial" w:hAnsi="Arial"/>
          <w:sz w:val="18"/>
          <w:szCs w:val="18"/>
          <w:color w:val="auto"/>
        </w:rPr>
        <w:t>March 4, 2021 – NGM Biopharmaceuticals, Inc. (NGM) (Nasdaq: NGM), a biotechnology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discovering and developing transformative therapeutics for patients, today provided business highlights and reported financial results for the periods ending December 31, 2020.</w:t>
      </w:r>
    </w:p>
    <w:p>
      <w:pPr>
        <w:spacing w:after="0" w:line="19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vision at NGM is to build an iconic biologic therapeutics company that delivers transformative medicines for patients. Our team made notable progress across multiple fronts in 2020: presenting aldafermin Cohort 4 data and NGM621 first-in-human data at major medical conferences, advancing multiple programs into Phase 2 clinical testing and announcing the expansion of our oncology portfolio including the nomination of two immuno-oncology candidates,” said David J. Woodhouse, Ph.D., Chief Executive Officer at NGM. “Behind every disease name and statistic, whether it is NASH, cancer-related cachexia, geographic atrophy or solid tumor cancers, are countless individuals who are hoping for better treatment options, all of whom fuel our motivation and mission to improve human health.”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Fourth Quarter and Recent Highlights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and metabolic diseases</w:t>
      </w:r>
    </w:p>
    <w:p>
      <w:pPr>
        <w:spacing w:after="0" w:line="208" w:lineRule="exact"/>
        <w:rPr>
          <w:sz w:val="20"/>
          <w:szCs w:val="20"/>
          <w:color w:val="auto"/>
        </w:rPr>
      </w:pPr>
    </w:p>
    <w:p>
      <w:pPr>
        <w:ind w:left="800" w:right="480" w:hanging="401"/>
        <w:spacing w:after="0" w:line="23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Anticipate reporting topline data from the Phase 2b ALPINE 2/3 study of aldafermin in patients with NASH in second quarter 2021. </w:t>
      </w:r>
      <w:r>
        <w:rPr>
          <w:rFonts w:ascii="Arial" w:cs="Arial" w:eastAsia="Arial" w:hAnsi="Arial"/>
          <w:sz w:val="18"/>
          <w:szCs w:val="18"/>
          <w:color w:val="auto"/>
        </w:rPr>
        <w:t>ALPINE 2/3 is a Phase 2b clinical study of aldafermin in patients with biopsy-confirmed NASH and liver fibrosis</w:t>
      </w:r>
      <w:r>
        <w:rPr>
          <w:rFonts w:ascii="Arial" w:cs="Arial" w:eastAsia="Arial" w:hAnsi="Arial"/>
          <w:sz w:val="18"/>
          <w:szCs w:val="18"/>
          <w:b w:val="1"/>
          <w:bCs w:val="1"/>
          <w:color w:val="auto"/>
        </w:rPr>
        <w:t xml:space="preserve"> </w:t>
      </w:r>
      <w:r>
        <w:rPr>
          <w:rFonts w:ascii="Arial" w:cs="Arial" w:eastAsia="Arial" w:hAnsi="Arial"/>
          <w:sz w:val="18"/>
          <w:szCs w:val="18"/>
          <w:color w:val="auto"/>
        </w:rPr>
        <w:t>stage 2 or 3 (F2-F3). The 24-week study is assessing the efficacy, safety and tolerability of 0.3 mg, 1 mg and 3 mg doses of aldafermin compared to placebo. The primary objective of the ALPINE 2/3 study is to evaluate a dose response showing an improvement in liver fibrosis by ≥ 1 stage with no worsening of steatohepatitis at week 24.</w:t>
      </w:r>
    </w:p>
    <w:p>
      <w:pPr>
        <w:spacing w:after="0" w:line="3" w:lineRule="exact"/>
        <w:rPr>
          <w:rFonts w:ascii="Arial" w:cs="Arial" w:eastAsia="Arial" w:hAnsi="Arial"/>
          <w:sz w:val="18"/>
          <w:szCs w:val="18"/>
          <w:color w:val="auto"/>
        </w:rPr>
      </w:pPr>
    </w:p>
    <w:p>
      <w:pPr>
        <w:ind w:left="800" w:right="100" w:hanging="401"/>
        <w:spacing w:after="0" w:line="23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222222"/>
        </w:rPr>
        <w:t>Continued enrollment in Phase 2b ALPINE 4 study of aldafermin in patients with NASH with liver fibrosis stage 4 (F4) and well-compensated cirrhosis</w:t>
      </w:r>
      <w:r>
        <w:rPr>
          <w:rFonts w:ascii="Arial" w:cs="Arial" w:eastAsia="Arial" w:hAnsi="Arial"/>
          <w:sz w:val="18"/>
          <w:szCs w:val="18"/>
          <w:color w:val="222222"/>
        </w:rPr>
        <w:t>. NGM continued enrollment in the Phase 2b ALPINE 4 clinical study of aldafermin in patients with</w:t>
      </w:r>
      <w:r>
        <w:rPr>
          <w:rFonts w:ascii="Arial" w:cs="Arial" w:eastAsia="Arial" w:hAnsi="Arial"/>
          <w:sz w:val="18"/>
          <w:szCs w:val="18"/>
          <w:b w:val="1"/>
          <w:bCs w:val="1"/>
          <w:color w:val="222222"/>
        </w:rPr>
        <w:t xml:space="preserve"> </w:t>
      </w:r>
      <w:r>
        <w:rPr>
          <w:rFonts w:ascii="Arial" w:cs="Arial" w:eastAsia="Arial" w:hAnsi="Arial"/>
          <w:sz w:val="18"/>
          <w:szCs w:val="18"/>
          <w:color w:val="222222"/>
        </w:rPr>
        <w:t xml:space="preserve">biopsy-confirmed NASH with F4 liver fibrosis and well-compensated cirrhosis. The 48-week study is designed to enroll approximately 160 patients and will assess the efficacy, safety and tolerability of </w:t>
      </w:r>
      <w:r>
        <w:rPr>
          <w:rFonts w:ascii="Arial" w:cs="Arial" w:eastAsia="Arial" w:hAnsi="Arial"/>
          <w:sz w:val="18"/>
          <w:szCs w:val="18"/>
          <w:color w:val="000000"/>
        </w:rPr>
        <w:t>0.3 mg, 1 mg and 3 mg doses of aldafermin</w:t>
      </w:r>
      <w:r>
        <w:rPr>
          <w:rFonts w:ascii="Arial" w:cs="Arial" w:eastAsia="Arial" w:hAnsi="Arial"/>
          <w:sz w:val="18"/>
          <w:szCs w:val="18"/>
          <w:color w:val="222222"/>
        </w:rPr>
        <w:t xml:space="preserve"> </w:t>
      </w:r>
      <w:r>
        <w:rPr>
          <w:rFonts w:ascii="Arial" w:cs="Arial" w:eastAsia="Arial" w:hAnsi="Arial"/>
          <w:sz w:val="18"/>
          <w:szCs w:val="18"/>
          <w:color w:val="000000"/>
        </w:rPr>
        <w:t xml:space="preserve">compared to placebo. The primary objective of ALPINE 4 is to evaluate a dose response showing an improvement in liver fibrosis by </w:t>
      </w:r>
      <w:r>
        <w:rPr>
          <w:rFonts w:ascii="Arial" w:cs="Arial" w:eastAsia="Arial" w:hAnsi="Arial"/>
          <w:sz w:val="18"/>
          <w:szCs w:val="18"/>
          <w:u w:val="single" w:color="auto"/>
          <w:color w:val="000000"/>
        </w:rPr>
        <w:t>&gt;</w:t>
      </w:r>
      <w:r>
        <w:rPr>
          <w:rFonts w:ascii="Arial" w:cs="Arial" w:eastAsia="Arial" w:hAnsi="Arial"/>
          <w:sz w:val="18"/>
          <w:szCs w:val="18"/>
          <w:color w:val="000000"/>
        </w:rPr>
        <w:t xml:space="preserve"> 1 stage with no worsening of steatohepatitis at week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ind w:left="800" w:hanging="401"/>
        <w:spacing w:after="0" w:line="206" w:lineRule="exact"/>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Presented data from 24-week double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blind, randomized, placebo-controlled Phase 2 study (Cohort 4) of aldafermin in NASH patients at AASLD The Liver Meeting®. </w:t>
      </w:r>
      <w:r>
        <w:rPr>
          <w:rFonts w:ascii="Arial" w:cs="Arial" w:eastAsia="Arial" w:hAnsi="Arial"/>
          <w:sz w:val="18"/>
          <w:szCs w:val="18"/>
          <w:color w:val="auto"/>
        </w:rPr>
        <w:t>Cohort 4 demonstrated statistically significant dual activity in fibrosis improvement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NASH resolution in patients with F2 and F3 liver fibrosis. Analysis of Cohort 4 data at AASLD also showed that 30% of patients with more advanced F3 liver fibrosis treated with aldafermin 1 mg achieved fibrosis improvement </w:t>
      </w:r>
      <w:r>
        <w:rPr>
          <w:rFonts w:ascii="Arial" w:cs="Arial" w:eastAsia="Arial" w:hAnsi="Arial"/>
          <w:sz w:val="18"/>
          <w:szCs w:val="18"/>
          <w:u w:val="single" w:color="auto"/>
          <w:color w:val="auto"/>
        </w:rPr>
        <w:t>&gt;</w:t>
      </w:r>
      <w:r>
        <w:rPr>
          <w:rFonts w:ascii="Arial" w:cs="Arial" w:eastAsia="Arial" w:hAnsi="Arial"/>
          <w:sz w:val="18"/>
          <w:szCs w:val="18"/>
          <w:color w:val="auto"/>
        </w:rPr>
        <w:t>1 stage without worsening of NASH compared to 0% in the placebo arm. In Cohort 4, aldafermin continued to demonstrate a favorable tolerability profile. Cohort 4 was the final reported cohort from NGM’s adaptive Phase 2 clinical study of aldafermin in NASH and the results observed in Cohort 4 were consistent with data from the three previous cohorts.</w:t>
      </w:r>
    </w:p>
    <w:p>
      <w:pPr>
        <w:spacing w:after="0" w:line="1" w:lineRule="exact"/>
        <w:rPr>
          <w:rFonts w:ascii="Arial" w:cs="Arial" w:eastAsia="Arial" w:hAnsi="Arial"/>
          <w:sz w:val="18"/>
          <w:szCs w:val="18"/>
          <w:color w:val="auto"/>
        </w:rPr>
      </w:pPr>
    </w:p>
    <w:p>
      <w:pPr>
        <w:ind w:left="800" w:hanging="401"/>
        <w:spacing w:after="0" w:line="23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Merck initiated Phase 2b study of MK-3655 (formerly NGM313) in patients with NASH with F2-F3 liver fibrosis. </w:t>
      </w:r>
      <w:r>
        <w:rPr>
          <w:rFonts w:ascii="Arial" w:cs="Arial" w:eastAsia="Arial" w:hAnsi="Arial"/>
          <w:sz w:val="18"/>
          <w:szCs w:val="18"/>
          <w:color w:val="auto"/>
        </w:rPr>
        <w:t>In November,</w:t>
      </w:r>
      <w:r>
        <w:rPr>
          <w:rFonts w:ascii="Arial" w:cs="Arial" w:eastAsia="Arial" w:hAnsi="Arial"/>
          <w:sz w:val="18"/>
          <w:szCs w:val="18"/>
          <w:b w:val="1"/>
          <w:bCs w:val="1"/>
          <w:color w:val="auto"/>
        </w:rPr>
        <w:t xml:space="preserve"> </w:t>
      </w:r>
      <w:r>
        <w:rPr>
          <w:rFonts w:ascii="Arial" w:cs="Arial" w:eastAsia="Arial" w:hAnsi="Arial"/>
          <w:sz w:val="18"/>
          <w:szCs w:val="18"/>
          <w:color w:val="auto"/>
        </w:rPr>
        <w:t>Merck initiated a global Phase 2b multicenter, randomized, double-blind study of MK-3655 in patients with biopsy-confirmed NASH. The 52-week study is designed to enroll approximately 320 patients and will assess the efficacy, safety and tolerability of 50 mg, 100 mg and 300 mg doses of MK-3655 administered every 4 weeks compared to placebo in patients with biopsy-confirmed NASH and F2-F3 liver fibrosis. The primary objective of the Phase 2b study is NASH resolution without worsening of fibrosis after 52 weeks. Merck licensed MK-3655 following NGM’s completion of a proof-of-concept study.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Retinal diseases</w:t>
      </w:r>
    </w:p>
    <w:p>
      <w:pPr>
        <w:spacing w:after="0" w:line="208" w:lineRule="exact"/>
        <w:rPr>
          <w:sz w:val="20"/>
          <w:szCs w:val="20"/>
          <w:color w:val="auto"/>
        </w:rPr>
      </w:pPr>
    </w:p>
    <w:p>
      <w:pPr>
        <w:ind w:left="800" w:hanging="401"/>
        <w:spacing w:after="0" w:line="23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Continued enrollment in Phase 2 CATALINA study of NGM621 in patients with Geographic Atrophy (GA). </w:t>
      </w:r>
      <w:r>
        <w:rPr>
          <w:rFonts w:ascii="Arial" w:cs="Arial" w:eastAsia="Arial" w:hAnsi="Arial"/>
          <w:sz w:val="18"/>
          <w:szCs w:val="18"/>
          <w:color w:val="auto"/>
        </w:rPr>
        <w:t>NGM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enrollment in the Phase 2 CATALINA study, a multicenter, randomized, double-masked, sham-controlled clinical trial to evaluate the safety and efficacy of intravitreal (IVT) injections of NGM621 every four weeks or every eight weeks in patients with GA secondary to age-related macular degeneration. The primary endpoint is the rate of change in GA lesion area, as measured by fundus autofluorescence imaging over 52 weeks of treatment.</w:t>
      </w:r>
    </w:p>
    <w:p>
      <w:pPr>
        <w:spacing w:after="0" w:line="3" w:lineRule="exact"/>
        <w:rPr>
          <w:rFonts w:ascii="Arial" w:cs="Arial" w:eastAsia="Arial" w:hAnsi="Arial"/>
          <w:sz w:val="18"/>
          <w:szCs w:val="18"/>
          <w:color w:val="auto"/>
        </w:rPr>
      </w:pPr>
    </w:p>
    <w:p>
      <w:pPr>
        <w:ind w:left="800" w:right="20" w:hanging="401"/>
        <w:spacing w:after="0" w:line="23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Presented Phase 1 safety and pharmacokinetics data for NGM621 in patients with GA at the American Academy of Ophthalmology 2020 Virtual. </w:t>
      </w:r>
      <w:r>
        <w:rPr>
          <w:rFonts w:ascii="Arial" w:cs="Arial" w:eastAsia="Arial" w:hAnsi="Arial"/>
          <w:sz w:val="18"/>
          <w:szCs w:val="18"/>
          <w:color w:val="auto"/>
        </w:rPr>
        <w:t>Single and multiple IVT injections of NGM621 appeared safe and well tolerated in this first-in-human</w:t>
      </w:r>
      <w:r>
        <w:rPr>
          <w:rFonts w:ascii="Arial" w:cs="Arial" w:eastAsia="Arial" w:hAnsi="Arial"/>
          <w:sz w:val="18"/>
          <w:szCs w:val="18"/>
          <w:b w:val="1"/>
          <w:bCs w:val="1"/>
          <w:color w:val="auto"/>
        </w:rPr>
        <w:t xml:space="preserve"> </w:t>
      </w:r>
      <w:r>
        <w:rPr>
          <w:rFonts w:ascii="Arial" w:cs="Arial" w:eastAsia="Arial" w:hAnsi="Arial"/>
          <w:sz w:val="18"/>
          <w:szCs w:val="18"/>
          <w:color w:val="auto"/>
        </w:rPr>
        <w:t>study, with no patients experiencing serious adverse events, drug-related AEs, endophthalmitis, intraocular inflammation or choroidal neovascularization. The serum PK of NGM621 was linear and dose-proportional.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Cancer</w:t>
      </w:r>
    </w:p>
    <w:p>
      <w:pPr>
        <w:spacing w:after="0" w:line="208" w:lineRule="exact"/>
        <w:rPr>
          <w:sz w:val="20"/>
          <w:szCs w:val="20"/>
          <w:color w:val="auto"/>
        </w:rPr>
      </w:pPr>
    </w:p>
    <w:p>
      <w:pPr>
        <w:ind w:left="800" w:right="40" w:hanging="401"/>
        <w:spacing w:after="0" w:line="239"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Completed enrollment in the Phase 1a/1b dose-finding study of NGM120 in patients with cancer in November 2020. </w:t>
      </w:r>
      <w:r>
        <w:rPr>
          <w:rFonts w:ascii="Arial" w:cs="Arial" w:eastAsia="Arial" w:hAnsi="Arial"/>
          <w:sz w:val="18"/>
          <w:szCs w:val="18"/>
          <w:color w:val="auto"/>
        </w:rPr>
        <w:t>NGM</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enrollment in the Phase 1a/1b dose-finding trial to assess NGM120’s effect on cancer-related cachexia and cancer. This Phase 1a/1b study was conducted in two cohorts: a Phase 1a cohort evaluating NGM120 as a monotherapy in patients with select advanced solid tumors and a Phase 1b cohort evaluating NGM120 in combination with gemcitabine and Abraxane® (paclitaxel protein bound) in patients with metastatic pancreatic cancer.</w:t>
      </w:r>
    </w:p>
    <w:p>
      <w:pPr>
        <w:spacing w:after="0" w:line="3" w:lineRule="exact"/>
        <w:rPr>
          <w:rFonts w:ascii="Arial" w:cs="Arial" w:eastAsia="Arial" w:hAnsi="Arial"/>
          <w:sz w:val="18"/>
          <w:szCs w:val="18"/>
          <w:color w:val="auto"/>
        </w:rPr>
      </w:pPr>
    </w:p>
    <w:p>
      <w:pPr>
        <w:ind w:left="800" w:right="34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Initiated placebo-controlled, proof-of-concept expansion of Phase 1b dose-finding study of NGM120 as a first-line treatment in patients with metastatic pancreatic cancer in January 2021. </w:t>
      </w:r>
      <w:r>
        <w:rPr>
          <w:rFonts w:ascii="Arial" w:cs="Arial" w:eastAsia="Arial" w:hAnsi="Arial"/>
          <w:sz w:val="18"/>
          <w:szCs w:val="18"/>
          <w:color w:val="auto"/>
        </w:rPr>
        <w:t>NGM initiated a multi-center, randomized, single-blind (sponsor unblinded), placebo-controlled expansion of the ongoing Phase 1a/1b study to evaluate NGM120 in combination with gemcitabine and Abraxane as a first-line treatment in patients with metastatic pancreatic cancer.</w:t>
      </w:r>
    </w:p>
    <w:p>
      <w:pPr>
        <w:spacing w:after="0" w:line="2" w:lineRule="exact"/>
        <w:rPr>
          <w:rFonts w:ascii="Arial" w:cs="Arial" w:eastAsia="Arial" w:hAnsi="Arial"/>
          <w:sz w:val="18"/>
          <w:szCs w:val="18"/>
          <w:color w:val="auto"/>
        </w:rPr>
      </w:pPr>
    </w:p>
    <w:p>
      <w:pPr>
        <w:ind w:left="800" w:right="12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Announced two new oncology clinical candidates, NGM707 and NGM438, in fourth quarter 2020. </w:t>
      </w:r>
      <w:r>
        <w:rPr>
          <w:rFonts w:ascii="Arial" w:cs="Arial" w:eastAsia="Arial" w:hAnsi="Arial"/>
          <w:sz w:val="18"/>
          <w:szCs w:val="18"/>
          <w:color w:val="auto"/>
        </w:rPr>
        <w:t>NGM707 is a dual</w:t>
      </w:r>
      <w:r>
        <w:rPr>
          <w:rFonts w:ascii="Arial" w:cs="Arial" w:eastAsia="Arial" w:hAnsi="Arial"/>
          <w:sz w:val="18"/>
          <w:szCs w:val="18"/>
          <w:b w:val="1"/>
          <w:bCs w:val="1"/>
          <w:color w:val="auto"/>
        </w:rPr>
        <w:t xml:space="preserve"> </w:t>
      </w:r>
      <w:r>
        <w:rPr>
          <w:rFonts w:ascii="Arial" w:cs="Arial" w:eastAsia="Arial" w:hAnsi="Arial"/>
          <w:sz w:val="18"/>
          <w:szCs w:val="18"/>
          <w:color w:val="auto"/>
        </w:rPr>
        <w:t>antagonist antibody that inhibits Immunoglobulin-like transcript 2 (ILT2) and Immunoglobulin-like transcript 4 (ILT4). NGM438 is an antagonist antibody that inhibits Leukocyte-associated immunoglobulin-like receptor 1 (LAIR1).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2020 Financial Results</w:t>
      </w:r>
    </w:p>
    <w:p>
      <w:pPr>
        <w:spacing w:after="0" w:line="166" w:lineRule="exact"/>
        <w:rPr>
          <w:sz w:val="20"/>
          <w:szCs w:val="20"/>
          <w:color w:val="auto"/>
        </w:rPr>
      </w:pPr>
    </w:p>
    <w:p>
      <w:pPr>
        <w:ind w:left="800" w:right="520" w:hanging="401"/>
        <w:spacing w:after="0" w:line="222" w:lineRule="auto"/>
        <w:tabs>
          <w:tab w:leader="none" w:pos="800" w:val="left"/>
        </w:tabs>
        <w:numPr>
          <w:ilvl w:val="0"/>
          <w:numId w:val="9"/>
        </w:numPr>
        <w:rPr>
          <w:rFonts w:ascii="Arial" w:cs="Arial" w:eastAsia="Arial" w:hAnsi="Arial"/>
          <w:sz w:val="20"/>
          <w:szCs w:val="20"/>
          <w:color w:val="auto"/>
        </w:rPr>
      </w:pPr>
      <w:r>
        <w:rPr>
          <w:rFonts w:ascii="Arial" w:cs="Arial" w:eastAsia="Arial" w:hAnsi="Arial"/>
          <w:sz w:val="18"/>
          <w:szCs w:val="18"/>
          <w:color w:val="auto"/>
        </w:rPr>
        <w:t>NGM reported a net loss of $28.0 million and $102.5 million for the quarter and year ended December 31, 2020, respectively, compared to a net loss of $15.9 million and $42.8 million for the corresponding periods in 2019.</w:t>
      </w:r>
    </w:p>
    <w:p>
      <w:pPr>
        <w:jc w:val="both"/>
        <w:ind w:left="800" w:right="660" w:hanging="401"/>
        <w:spacing w:after="0" w:line="231" w:lineRule="auto"/>
        <w:tabs>
          <w:tab w:leader="none" w:pos="800" w:val="left"/>
        </w:tabs>
        <w:numPr>
          <w:ilvl w:val="0"/>
          <w:numId w:val="9"/>
        </w:numPr>
        <w:rPr>
          <w:rFonts w:ascii="Arial" w:cs="Arial" w:eastAsia="Arial" w:hAnsi="Arial"/>
          <w:sz w:val="20"/>
          <w:szCs w:val="20"/>
          <w:color w:val="auto"/>
        </w:rPr>
      </w:pPr>
      <w:r>
        <w:rPr>
          <w:rFonts w:ascii="Arial" w:cs="Arial" w:eastAsia="Arial" w:hAnsi="Arial"/>
          <w:sz w:val="18"/>
          <w:szCs w:val="18"/>
          <w:color w:val="auto"/>
        </w:rPr>
        <w:t>Related party revenue from our collaboration with Merck was $19.8 million and $87.4 million for the quarter and year ended December 31, 2020, respectively, compared to $31.1 million and $103.5 million for the corresponding periods in 2019. The decrease in related party revenue of $16.1 million in 2020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ind w:left="800" w:right="20"/>
        <w:spacing w:after="0" w:line="234" w:lineRule="auto"/>
        <w:rPr>
          <w:sz w:val="20"/>
          <w:szCs w:val="20"/>
          <w:color w:val="auto"/>
        </w:rPr>
      </w:pPr>
      <w:r>
        <w:rPr>
          <w:rFonts w:ascii="Arial" w:cs="Arial" w:eastAsia="Arial" w:hAnsi="Arial"/>
          <w:sz w:val="18"/>
          <w:szCs w:val="18"/>
          <w:color w:val="auto"/>
        </w:rPr>
        <w:t>primarily attributable to a decrease in the recognition of the initial upfront payment received from Merck in 2015 that was included in the transaction price and fully recognized by March 2020.</w:t>
      </w:r>
    </w:p>
    <w:p>
      <w:pPr>
        <w:spacing w:after="0" w:line="1" w:lineRule="exact"/>
        <w:rPr>
          <w:sz w:val="20"/>
          <w:szCs w:val="20"/>
          <w:color w:val="auto"/>
        </w:rPr>
      </w:pPr>
    </w:p>
    <w:p>
      <w:pPr>
        <w:ind w:left="800" w:right="40" w:hanging="401"/>
        <w:spacing w:after="0" w:line="234"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development, or R&amp;D, expenses were $40.1 million and $164.0 million for the quarter and year ended December 31, 2020, respectively, compared to $42.0 million and $129.3 million for the corresponding periods in 2019. R&amp;D expenses increased $34.7 million in 2020, primarily due to an increase in external expenses driven by our manufacturing activities and ongoing clinical trials of aldafermin, NGM621, NGM120 and NGM395 and an increase in costs associated with pre-clinical IND-enabling studies for NGM707 and NGM438. The increase in R&amp;D expenses in 2020 also included an increase in personnel-related expenses partially offset by a decrease in unallocated R&amp;D expenses related to multiple R&amp;D programs.</w:t>
      </w:r>
    </w:p>
    <w:p>
      <w:pPr>
        <w:spacing w:after="0" w:line="4" w:lineRule="exact"/>
        <w:rPr>
          <w:rFonts w:ascii="Arial" w:cs="Arial" w:eastAsia="Arial" w:hAnsi="Arial"/>
          <w:sz w:val="18"/>
          <w:szCs w:val="18"/>
          <w:color w:val="auto"/>
        </w:rPr>
      </w:pPr>
    </w:p>
    <w:p>
      <w:pPr>
        <w:ind w:left="800" w:right="100" w:hanging="401"/>
        <w:spacing w:after="0" w:line="234"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administrative expenses were $7.4 million and $27.2 million for the quarter and year ended December 31, 2020, respectively, compared to $6.4 million and $23.6 million for the corresponding periods in 2019. The $3.6 million increase in general and administrative expenses in 2020 was primarily attributable to increases in personnel-related expenses driven by increased headcount, as well as external expenses to support our operations as a public company.</w:t>
      </w:r>
    </w:p>
    <w:p>
      <w:pPr>
        <w:spacing w:after="0" w:line="2" w:lineRule="exact"/>
        <w:rPr>
          <w:rFonts w:ascii="Arial" w:cs="Arial" w:eastAsia="Arial" w:hAnsi="Arial"/>
          <w:sz w:val="18"/>
          <w:szCs w:val="18"/>
          <w:color w:val="auto"/>
        </w:rPr>
      </w:pPr>
    </w:p>
    <w:p>
      <w:pPr>
        <w:ind w:left="800" w:right="26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cash equivalents and short-term marketable securities were $295.2 million as of December 31, 2020, compared to $344.5 million as of December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23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NGM is a biopharmaceutical company focused on discovering and developing novel therapeutics based on scientific understanding of key biological pathways underlying liver and metabolic diseases, retinal diseases and cancer. We leverage our biology-centric drug discovery approach to uncover novel mechanisms of action and generate proprietary insights that enable us to move rapidly into proof-of-concept studies and deliver potential first-in-class medicines to patients. At NGM, we aspire to operate one of the most productive research and development engines in the biopharmaceutical industry. Visit us at www.ngmbio.com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Words such as “anticipates,” “will,” “build,” “vision,” “iconic”, “designed to,” “potential,” “aspire” and similar expressions (as well as other words or expressions referencing future events, conditions or circumstances) are intended to identify forward-looking statements. These statements include those related to NGM’s vision to build an iconic biologic therapeutics company that delivers transformative medicines for patients; the availability and anticipated timing of topline data from Phase 2b ALPINE 2/3 clinical trial of aldafermin; the therapeutic potential of NGM’s product candidates; and other statements that are not historical fact. Because such statements deal with future events and are based on NGM’s current expectations, they are subject to various risks and uncertainties, and actual results, performance or achievements of NGM could differ materially from those described in or implied by the statements in this press release. These forward-looking statements are subject to risks and uncertainties, including, without limitation, risks and uncertainties associated with the costly and time-consuming pharmaceutical product development process and the uncertainty of clinical success, including risks related to failure or delays in successfully enrolling or completing clinical studies, the risk that the results obtained to date in NGM’s clinical trials may not be indicative of results obtained in subsequent pivotal or other late-stage trials and the risk that NGM’s ongoing or future clinical studies may show that aldafermin, or Merck’s ongoing or future clinical studies of MK-3655, are not tolerable and effective treatments for patients with NASH; the ongoing COVID-19 pandemic, which has adversely affected, and could materially and adversely affect in the future, NGM’s business and operations, including NGM’s clinical trials; the time-consuming and uncertain regulatory approval process; NGM’s reliance on third-party manufacturers for aldafermin and its other product candidates; the sufficiency of NGM’s cash resources and need for additional capital; and other risks and uncertainties affecting NGM and its development programs, including those discussed in the section titled “Risk Factors” in Exhibit 99.1 to NGM’s current report on Form 8-K filed with the United States Securities and Exchange Commission (SEC) on January 6, 2021 and future filings and reports that NGM makes from time to time with the SEC. Except as required by law, NGM assumes no obligation to update these forward-looking statements, or to update the reasons if actual results differ materially from those anticipated in the forward-looking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7920" w:type="dxa"/>
            <w:vAlign w:val="bottom"/>
          </w:tcPr>
          <w:p>
            <w:pPr>
              <w:ind w:left="1860"/>
              <w:spacing w:after="0"/>
              <w:rPr>
                <w:sz w:val="20"/>
                <w:szCs w:val="20"/>
                <w:color w:val="auto"/>
              </w:rPr>
            </w:pPr>
            <w:r>
              <w:rPr>
                <w:rFonts w:ascii="Arial" w:cs="Arial" w:eastAsia="Arial" w:hAnsi="Arial"/>
                <w:sz w:val="18"/>
                <w:szCs w:val="18"/>
                <w:b w:val="1"/>
                <w:bCs w:val="1"/>
                <w:color w:val="auto"/>
              </w:rPr>
              <w:t>Media Contact:</w:t>
            </w:r>
          </w:p>
        </w:tc>
      </w:tr>
      <w:tr>
        <w:trPr>
          <w:trHeight w:val="185"/>
        </w:trPr>
        <w:tc>
          <w:tcPr>
            <w:tcW w:w="3340" w:type="dxa"/>
            <w:vAlign w:val="bottom"/>
          </w:tcPr>
          <w:p>
            <w:pPr>
              <w:spacing w:after="0" w:line="184" w:lineRule="exact"/>
              <w:rPr>
                <w:sz w:val="20"/>
                <w:szCs w:val="20"/>
                <w:color w:val="auto"/>
              </w:rPr>
            </w:pPr>
            <w:r>
              <w:rPr>
                <w:rFonts w:ascii="Arial" w:cs="Arial" w:eastAsia="Arial" w:hAnsi="Arial"/>
                <w:sz w:val="18"/>
                <w:szCs w:val="18"/>
                <w:color w:val="auto"/>
              </w:rPr>
              <w:t>Alex Schwartz</w:t>
            </w:r>
          </w:p>
        </w:tc>
        <w:tc>
          <w:tcPr>
            <w:tcW w:w="7920" w:type="dxa"/>
            <w:vAlign w:val="bottom"/>
          </w:tcPr>
          <w:p>
            <w:pPr>
              <w:ind w:left="1860"/>
              <w:spacing w:after="0" w:line="184" w:lineRule="exact"/>
              <w:rPr>
                <w:sz w:val="20"/>
                <w:szCs w:val="20"/>
                <w:color w:val="auto"/>
              </w:rPr>
            </w:pPr>
            <w:r>
              <w:rPr>
                <w:rFonts w:ascii="Arial" w:cs="Arial" w:eastAsia="Arial" w:hAnsi="Arial"/>
                <w:sz w:val="18"/>
                <w:szCs w:val="18"/>
                <w:color w:val="auto"/>
              </w:rPr>
              <w:t>Liz Melone</w:t>
            </w:r>
          </w:p>
        </w:tc>
      </w:tr>
      <w:tr>
        <w:trPr>
          <w:trHeight w:val="235"/>
        </w:trPr>
        <w:tc>
          <w:tcPr>
            <w:tcW w:w="3340" w:type="dxa"/>
            <w:vAlign w:val="bottom"/>
          </w:tcPr>
          <w:p>
            <w:pPr>
              <w:spacing w:after="0"/>
              <w:rPr>
                <w:sz w:val="20"/>
                <w:szCs w:val="20"/>
                <w:color w:val="auto"/>
              </w:rPr>
            </w:pPr>
            <w:r>
              <w:rPr>
                <w:rFonts w:ascii="Arial" w:cs="Arial" w:eastAsia="Arial" w:hAnsi="Arial"/>
                <w:sz w:val="18"/>
                <w:szCs w:val="18"/>
                <w:i w:val="1"/>
                <w:iCs w:val="1"/>
                <w:color w:val="auto"/>
              </w:rPr>
              <w:t>ir@ngmbio.com</w:t>
            </w:r>
          </w:p>
        </w:tc>
        <w:tc>
          <w:tcPr>
            <w:tcW w:w="7920" w:type="dxa"/>
            <w:vAlign w:val="bottom"/>
          </w:tcPr>
          <w:p>
            <w:pPr>
              <w:ind w:left="1860"/>
              <w:spacing w:after="0"/>
              <w:rPr>
                <w:sz w:val="20"/>
                <w:szCs w:val="20"/>
                <w:color w:val="auto"/>
              </w:rPr>
            </w:pPr>
            <w:r>
              <w:rPr>
                <w:rFonts w:ascii="Arial" w:cs="Arial" w:eastAsia="Arial" w:hAnsi="Arial"/>
                <w:sz w:val="18"/>
                <w:szCs w:val="18"/>
                <w:i w:val="1"/>
                <w:iCs w:val="1"/>
                <w:color w:val="auto"/>
              </w:rPr>
              <w:t>media@ngmbio.com</w:t>
            </w:r>
          </w:p>
        </w:tc>
      </w:tr>
      <w:tr>
        <w:trPr>
          <w:trHeight w:val="101"/>
        </w:trPr>
        <w:tc>
          <w:tcPr>
            <w:tcW w:w="3340" w:type="dxa"/>
            <w:vAlign w:val="bottom"/>
            <w:tcBorders>
              <w:bottom w:val="single" w:sz="8" w:color="9A9A9A"/>
            </w:tcBorders>
          </w:tcPr>
          <w:p>
            <w:pPr>
              <w:spacing w:after="0"/>
              <w:rPr>
                <w:sz w:val="8"/>
                <w:szCs w:val="8"/>
                <w:color w:val="auto"/>
              </w:rPr>
            </w:pPr>
          </w:p>
        </w:tc>
        <w:tc>
          <w:tcPr>
            <w:tcW w:w="7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940" w:type="dxa"/>
            <w:vAlign w:val="bottom"/>
            <w:gridSpan w:val="5"/>
          </w:tcPr>
          <w:p>
            <w:pPr>
              <w:jc w:val="right"/>
              <w:ind w:right="1180"/>
              <w:spacing w:after="0"/>
              <w:rPr>
                <w:sz w:val="20"/>
                <w:szCs w:val="20"/>
                <w:color w:val="auto"/>
              </w:rPr>
            </w:pPr>
            <w:r>
              <w:rPr>
                <w:rFonts w:ascii="Arial" w:cs="Arial" w:eastAsia="Arial" w:hAnsi="Arial"/>
                <w:sz w:val="16"/>
                <w:szCs w:val="16"/>
                <w:b w:val="1"/>
                <w:bCs w:val="1"/>
                <w:color w:val="auto"/>
              </w:rPr>
              <w:t>Year Ended</w:t>
            </w:r>
          </w:p>
        </w:tc>
      </w:tr>
      <w:tr>
        <w:trPr>
          <w:trHeight w:val="207"/>
        </w:trPr>
        <w:tc>
          <w:tcPr>
            <w:tcW w:w="4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48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2"/>
              <w:spacing w:after="0" w:line="210" w:lineRule="exact"/>
              <w:rPr>
                <w:sz w:val="20"/>
                <w:szCs w:val="20"/>
                <w:color w:val="auto"/>
              </w:rPr>
            </w:pPr>
            <w:r>
              <w:rPr>
                <w:rFonts w:ascii="Arial" w:cs="Arial" w:eastAsia="Arial" w:hAnsi="Arial"/>
                <w:sz w:val="15"/>
                <w:szCs w:val="15"/>
                <w:b w:val="1"/>
                <w:bCs w:val="1"/>
                <w:color w:val="auto"/>
              </w:rPr>
              <w:t>2019</w:t>
            </w:r>
            <w:r>
              <w:rPr>
                <w:rFonts w:ascii="Arial" w:cs="Arial" w:eastAsia="Arial" w:hAnsi="Arial"/>
                <w:sz w:val="24"/>
                <w:szCs w:val="24"/>
                <w:b w:val="1"/>
                <w:bCs w:val="1"/>
                <w:color w:val="auto"/>
                <w:vertAlign w:val="superscript"/>
              </w:rPr>
              <w:t>(1)</w:t>
            </w:r>
          </w:p>
        </w:tc>
        <w:tc>
          <w:tcPr>
            <w:tcW w:w="240" w:type="dxa"/>
            <w:vAlign w:val="bottom"/>
            <w:tcBorders>
              <w:bottom w:val="single" w:sz="8" w:color="CFF0FC"/>
            </w:tcBorders>
          </w:tcPr>
          <w:p>
            <w:pPr>
              <w:spacing w:after="0"/>
              <w:rPr>
                <w:sz w:val="18"/>
                <w:szCs w:val="18"/>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19,767</w:t>
            </w:r>
          </w:p>
        </w:tc>
        <w:tc>
          <w:tcPr>
            <w:tcW w:w="1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103,544</w:t>
            </w:r>
          </w:p>
        </w:tc>
        <w:tc>
          <w:tcPr>
            <w:tcW w:w="24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163,972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129,253</w:t>
            </w:r>
          </w:p>
        </w:tc>
        <w:tc>
          <w:tcPr>
            <w:tcW w:w="240" w:type="dxa"/>
            <w:vAlign w:val="bottom"/>
            <w:shd w:val="clear" w:color="auto" w:fill="CFF0FC"/>
          </w:tcPr>
          <w:p>
            <w:pPr>
              <w:spacing w:after="0"/>
              <w:rPr>
                <w:sz w:val="18"/>
                <w:szCs w:val="18"/>
                <w:color w:val="auto"/>
              </w:rPr>
            </w:pPr>
          </w:p>
        </w:tc>
      </w:tr>
      <w:tr>
        <w:trPr>
          <w:trHeight w:val="216"/>
        </w:trPr>
        <w:tc>
          <w:tcPr>
            <w:tcW w:w="4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27,229</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23,631</w:t>
            </w:r>
          </w:p>
        </w:tc>
        <w:tc>
          <w:tcPr>
            <w:tcW w:w="240" w:type="dxa"/>
            <w:vAlign w:val="bottom"/>
            <w:tcBorders>
              <w:bottom w:val="single" w:sz="8" w:color="CFF0FC"/>
            </w:tcBorders>
          </w:tcPr>
          <w:p>
            <w:pPr>
              <w:spacing w:after="0"/>
              <w:rPr>
                <w:sz w:val="18"/>
                <w:szCs w:val="18"/>
                <w:color w:val="auto"/>
              </w:rPr>
            </w:pPr>
          </w:p>
        </w:tc>
      </w:tr>
      <w:tr>
        <w:trPr>
          <w:trHeight w:val="209"/>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47,440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48,377</w:t>
            </w:r>
          </w:p>
        </w:tc>
        <w:tc>
          <w:tcPr>
            <w:tcW w:w="2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191,201</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152,884</w:t>
            </w:r>
          </w:p>
        </w:tc>
        <w:tc>
          <w:tcPr>
            <w:tcW w:w="240" w:type="dxa"/>
            <w:vAlign w:val="bottom"/>
            <w:shd w:val="clear" w:color="auto" w:fill="CFF0FC"/>
          </w:tcPr>
          <w:p>
            <w:pPr>
              <w:spacing w:after="0"/>
              <w:rPr>
                <w:sz w:val="18"/>
                <w:szCs w:val="18"/>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(27,673)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(17,294)</w:t>
            </w: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(103,833)</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(49,340)</w:t>
            </w: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6,692</w:t>
            </w:r>
          </w:p>
        </w:tc>
        <w:tc>
          <w:tcPr>
            <w:tcW w:w="24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r>
      <w:tr>
        <w:trPr>
          <w:trHeight w:val="20"/>
        </w:trPr>
        <w:tc>
          <w:tcPr>
            <w:tcW w:w="48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(27,991)</w:t>
            </w: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(15,941)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(102,487)</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(42,795)</w:t>
            </w: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r>
      <w:tr>
        <w:trPr>
          <w:trHeight w:val="237"/>
        </w:trPr>
        <w:tc>
          <w:tcPr>
            <w:tcW w:w="486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(0.40)</w:t>
            </w:r>
          </w:p>
        </w:tc>
        <w:tc>
          <w:tcPr>
            <w:tcW w:w="50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(0.24)</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(1.50)</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(0.85)</w:t>
            </w:r>
          </w:p>
        </w:tc>
      </w:tr>
      <w:tr>
        <w:trPr>
          <w:trHeight w:val="196"/>
        </w:trPr>
        <w:tc>
          <w:tcPr>
            <w:tcW w:w="48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w:t>
            </w:r>
          </w:p>
        </w:tc>
        <w:tc>
          <w:tcPr>
            <w:tcW w:w="2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r>
      <w:tr>
        <w:trPr>
          <w:trHeight w:val="203"/>
        </w:trPr>
        <w:tc>
          <w:tcPr>
            <w:tcW w:w="4860" w:type="dxa"/>
            <w:vAlign w:val="bottom"/>
            <w:tcBorders>
              <w:bottom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69,370,960</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66,532,038</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68,475,378</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50,297,524</w:t>
            </w:r>
          </w:p>
        </w:tc>
        <w:tc>
          <w:tcPr>
            <w:tcW w:w="240" w:type="dxa"/>
            <w:vAlign w:val="bottom"/>
            <w:tcBorders>
              <w:bottom w:val="single" w:sz="8" w:color="CFF0FC"/>
            </w:tcBorders>
            <w:shd w:val="clear" w:color="auto" w:fill="CFF0FC"/>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054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44"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28"/>
          <w:szCs w:val="28"/>
          <w:color w:val="auto"/>
          <w:vertAlign w:val="superscript"/>
        </w:rPr>
      </w:pPr>
      <w:r>
        <w:rPr>
          <w:rFonts w:ascii="Arial" w:cs="Arial" w:eastAsia="Arial" w:hAnsi="Arial"/>
          <w:sz w:val="16"/>
          <w:szCs w:val="16"/>
          <w:color w:val="auto"/>
        </w:rPr>
        <w:t>Derived from the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9"/>
              </w:rPr>
              <w:t>December 31,</w:t>
            </w:r>
          </w:p>
        </w:tc>
        <w:tc>
          <w:tcPr>
            <w:tcW w:w="18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6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91"/>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431"/>
              <w:spacing w:after="0" w:line="217" w:lineRule="exact"/>
              <w:rPr>
                <w:sz w:val="20"/>
                <w:szCs w:val="20"/>
                <w:color w:val="auto"/>
              </w:rPr>
            </w:pPr>
            <w:r>
              <w:rPr>
                <w:rFonts w:ascii="Arial" w:cs="Arial" w:eastAsia="Arial" w:hAnsi="Arial"/>
                <w:sz w:val="15"/>
                <w:szCs w:val="15"/>
                <w:b w:val="1"/>
                <w:bCs w:val="1"/>
                <w:color w:val="auto"/>
              </w:rPr>
              <w:t>2019</w:t>
            </w:r>
            <w:r>
              <w:rPr>
                <w:rFonts w:ascii="Arial" w:cs="Arial" w:eastAsia="Arial" w:hAnsi="Arial"/>
                <w:sz w:val="25"/>
                <w:szCs w:val="25"/>
                <w:b w:val="1"/>
                <w:bCs w:val="1"/>
                <w:color w:val="auto"/>
                <w:vertAlign w:val="superscript"/>
              </w:rPr>
              <w:t>(1)</w:t>
            </w:r>
          </w:p>
        </w:tc>
        <w:tc>
          <w:tcPr>
            <w:tcW w:w="100" w:type="dxa"/>
            <w:vAlign w:val="bottom"/>
          </w:tcPr>
          <w:p>
            <w:pPr>
              <w:spacing w:after="0"/>
              <w:rPr>
                <w:sz w:val="18"/>
                <w:szCs w:val="18"/>
                <w:color w:val="auto"/>
              </w:rPr>
            </w:pPr>
          </w:p>
        </w:tc>
      </w:tr>
      <w:tr>
        <w:trPr>
          <w:trHeight w:val="207"/>
        </w:trPr>
        <w:tc>
          <w:tcPr>
            <w:tcW w:w="6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(unaudited)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760" w:type="dxa"/>
            <w:vAlign w:val="bottom"/>
            <w:tcBorders>
              <w:top w:val="single" w:sz="8" w:color="CFF0FC"/>
            </w:tcBorders>
            <w:shd w:val="clear" w:color="auto" w:fill="CFF0FC"/>
          </w:tcPr>
          <w:p>
            <w:pPr>
              <w:ind w:left="3420"/>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147,017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245,598</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148,139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98,913</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 from collaboration</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8"/>
                <w:szCs w:val="18"/>
                <w:color w:val="auto"/>
              </w:rPr>
              <w:t>Related party contract asset</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6,837</w:t>
            </w:r>
          </w:p>
        </w:tc>
        <w:tc>
          <w:tcPr>
            <w:tcW w:w="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5,531</w:t>
            </w:r>
          </w:p>
        </w:tc>
        <w:tc>
          <w:tcPr>
            <w:tcW w:w="100" w:type="dxa"/>
            <w:vAlign w:val="bottom"/>
            <w:shd w:val="clear" w:color="auto" w:fill="CFF0FC"/>
          </w:tcPr>
          <w:p>
            <w:pPr>
              <w:spacing w:after="0"/>
              <w:rPr>
                <w:sz w:val="18"/>
                <w:szCs w:val="18"/>
                <w:color w:val="auto"/>
              </w:rPr>
            </w:pPr>
          </w:p>
        </w:tc>
      </w:tr>
      <w:tr>
        <w:trPr>
          <w:trHeight w:val="210"/>
        </w:trPr>
        <w:tc>
          <w:tcPr>
            <w:tcW w:w="67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308,426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355,248</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19,475</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Restricted cash</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9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4,592</w:t>
            </w:r>
          </w:p>
        </w:tc>
        <w:tc>
          <w:tcPr>
            <w:tcW w:w="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100" w:type="dxa"/>
            <w:vAlign w:val="bottom"/>
            <w:shd w:val="clear" w:color="auto" w:fill="CFF0FC"/>
          </w:tcPr>
          <w:p>
            <w:pPr>
              <w:spacing w:after="0"/>
              <w:rPr>
                <w:sz w:val="18"/>
                <w:szCs w:val="18"/>
                <w:color w:val="auto"/>
              </w:rPr>
            </w:pPr>
          </w:p>
        </w:tc>
      </w:tr>
      <w:tr>
        <w:trPr>
          <w:trHeight w:val="250"/>
        </w:trPr>
        <w:tc>
          <w:tcPr>
            <w:tcW w:w="676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329,043</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380,403</w:t>
            </w:r>
          </w:p>
        </w:tc>
        <w:tc>
          <w:tcPr>
            <w:tcW w:w="100" w:type="dxa"/>
            <w:vAlign w:val="bottom"/>
          </w:tcPr>
          <w:p>
            <w:pPr>
              <w:spacing w:after="0"/>
              <w:rPr>
                <w:sz w:val="21"/>
                <w:szCs w:val="21"/>
                <w:color w:val="auto"/>
              </w:rPr>
            </w:pPr>
          </w:p>
        </w:tc>
      </w:tr>
      <w:tr>
        <w:trPr>
          <w:trHeight w:val="196"/>
        </w:trPr>
        <w:tc>
          <w:tcPr>
            <w:tcW w:w="6760" w:type="dxa"/>
            <w:vAlign w:val="bottom"/>
            <w:tcBorders>
              <w:top w:val="single" w:sz="8" w:color="CFF0FC"/>
            </w:tcBorders>
            <w:shd w:val="clear" w:color="auto" w:fill="CFF0FC"/>
          </w:tcPr>
          <w:p>
            <w:pPr>
              <w:ind w:left="19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9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9,026</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29,945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22,991</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current</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Contract liabilities</w:t>
            </w:r>
          </w:p>
        </w:tc>
        <w:tc>
          <w:tcPr>
            <w:tcW w:w="9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w:t>
            </w:r>
          </w:p>
        </w:tc>
        <w:tc>
          <w:tcPr>
            <w:tcW w:w="100" w:type="dxa"/>
            <w:vAlign w:val="bottom"/>
            <w:tcBorders>
              <w:bottom w:val="single" w:sz="8" w:color="CFF0FC"/>
            </w:tcBorders>
          </w:tcPr>
          <w:p>
            <w:pPr>
              <w:spacing w:after="0"/>
              <w:rPr>
                <w:sz w:val="18"/>
                <w:szCs w:val="18"/>
                <w:color w:val="auto"/>
              </w:rPr>
            </w:pPr>
          </w:p>
        </w:tc>
      </w:tr>
      <w:tr>
        <w:trPr>
          <w:trHeight w:val="210"/>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39,718</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Deferred rent, non-current</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9,392</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Early exercise stock option liability</w:t>
            </w:r>
          </w:p>
        </w:tc>
        <w:tc>
          <w:tcPr>
            <w:tcW w:w="9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FF0FC"/>
          </w:tcPr>
          <w:p>
            <w:pPr>
              <w:spacing w:after="0"/>
              <w:rPr>
                <w:sz w:val="18"/>
                <w:szCs w:val="18"/>
                <w:color w:val="auto"/>
              </w:rPr>
            </w:pPr>
          </w:p>
        </w:tc>
      </w:tr>
      <w:tr>
        <w:trPr>
          <w:trHeight w:val="210"/>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9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49,000</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49,684</w:t>
            </w:r>
          </w:p>
        </w:tc>
        <w:tc>
          <w:tcPr>
            <w:tcW w:w="100" w:type="dxa"/>
            <w:vAlign w:val="bottom"/>
            <w:tcBorders>
              <w:bottom w:val="single" w:sz="8" w:color="CFF0FC"/>
            </w:tcBorders>
          </w:tcPr>
          <w:p>
            <w:pPr>
              <w:spacing w:after="0"/>
              <w:rPr>
                <w:sz w:val="18"/>
                <w:szCs w:val="18"/>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Stockholders' equity:</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$0.001 par value;</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Common stock, $0.001 par value;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578,599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526,771</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8"/>
                <w:szCs w:val="18"/>
                <w:color w:val="auto"/>
              </w:rPr>
              <w:t>Accumulated other comprehensive gain</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(298,631)</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(196,144)</w:t>
            </w:r>
          </w:p>
        </w:tc>
      </w:tr>
      <w:tr>
        <w:trPr>
          <w:trHeight w:val="210"/>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98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280,043</w:t>
            </w:r>
          </w:p>
        </w:tc>
        <w:tc>
          <w:tcPr>
            <w:tcW w:w="2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330,719</w:t>
            </w:r>
          </w:p>
        </w:tc>
        <w:tc>
          <w:tcPr>
            <w:tcW w:w="100" w:type="dxa"/>
            <w:vAlign w:val="bottom"/>
            <w:tcBorders>
              <w:bottom w:val="single" w:sz="8" w:color="CFF0FC"/>
            </w:tcBorders>
          </w:tcPr>
          <w:p>
            <w:pPr>
              <w:spacing w:after="0"/>
              <w:rPr>
                <w:sz w:val="18"/>
                <w:szCs w:val="18"/>
                <w:color w:val="auto"/>
              </w:rPr>
            </w:pPr>
          </w:p>
        </w:tc>
      </w:tr>
      <w:tr>
        <w:trPr>
          <w:trHeight w:val="20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329,043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380,403</w:t>
            </w:r>
          </w:p>
        </w:tc>
        <w:tc>
          <w:tcPr>
            <w:tcW w:w="100" w:type="dxa"/>
            <w:vAlign w:val="bottom"/>
            <w:shd w:val="clear" w:color="auto" w:fill="CFF0FC"/>
          </w:tcPr>
          <w:p>
            <w:pPr>
              <w:spacing w:after="0"/>
              <w:rPr>
                <w:sz w:val="18"/>
                <w:szCs w:val="18"/>
                <w:color w:val="auto"/>
              </w:rPr>
            </w:pPr>
          </w:p>
        </w:tc>
      </w:tr>
      <w:tr>
        <w:trPr>
          <w:trHeight w:val="20"/>
        </w:trPr>
        <w:tc>
          <w:tcPr>
            <w:tcW w:w="67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054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44"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28"/>
          <w:szCs w:val="28"/>
          <w:color w:val="auto"/>
          <w:vertAlign w:val="superscript"/>
        </w:rPr>
      </w:pPr>
      <w:r>
        <w:rPr>
          <w:rFonts w:ascii="Arial" w:cs="Arial" w:eastAsia="Arial" w:hAnsi="Arial"/>
          <w:sz w:val="16"/>
          <w:szCs w:val="16"/>
          <w:color w:val="auto"/>
        </w:rPr>
        <w:t>Derived from the audited consolidated financial statements.</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o"/>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2021-03-04T15:19:00Z</dcterms:created>
  <dcterms:modified xsi:type="dcterms:W3CDTF">2021-03-04T15:19:00Z</dcterms:modified>
</cp:coreProperties>
</file>