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87" w:lineRule="auto"/>
        <w:rPr>
          <w:sz w:val="20"/>
          <w:szCs w:val="20"/>
          <w:color w:val="auto"/>
        </w:rPr>
      </w:pPr>
      <w:r>
        <w:rPr>
          <w:rFonts w:ascii="Arial" w:cs="Arial" w:eastAsia="Arial" w:hAnsi="Arial"/>
          <w:sz w:val="16"/>
          <w:szCs w:val="16"/>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3" w:lineRule="exact"/>
        <w:rPr>
          <w:sz w:val="24"/>
          <w:szCs w:val="24"/>
          <w:color w:val="auto"/>
        </w:rPr>
      </w:pPr>
    </w:p>
    <w:p>
      <w:pPr>
        <w:sectPr>
          <w:pgSz w:w="11900" w:h="16838" w:orient="portrait"/>
          <w:cols w:equalWidth="0" w:num="3">
            <w:col w:w="3200" w:space="720"/>
            <w:col w:w="3540" w:space="275"/>
            <w:col w:w="3345"/>
          </w:cols>
          <w:pgMar w:left="460" w:top="225" w:right="359" w:bottom="37" w:gutter="0" w:footer="0" w:header="0"/>
          <w:type w:val="continuous"/>
        </w:sect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90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Borders>
              <w:top w:val="single" w:sz="8" w:color="2C2C2C"/>
              <w:bottom w:val="single" w:sz="8" w:color="2C2C2C"/>
            </w:tcBorders>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00" w:type="dxa"/>
            <w:vAlign w:val="bottom"/>
            <w:gridSpan w:val="9"/>
            <w:vMerge w:val="continue"/>
          </w:tcPr>
          <w:p>
            <w:pPr>
              <w:spacing w:after="0" w:line="20" w:lineRule="exact"/>
              <w:rPr>
                <w:sz w:val="1"/>
                <w:szCs w:val="1"/>
                <w:color w:val="auto"/>
              </w:rPr>
            </w:pPr>
          </w:p>
        </w:tc>
        <w:tc>
          <w:tcPr>
            <w:tcW w:w="3220" w:type="dxa"/>
            <w:vAlign w:val="bottom"/>
            <w:gridSpan w:val="10"/>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900" w:type="dxa"/>
            <w:vAlign w:val="bottom"/>
            <w:gridSpan w:val="9"/>
            <w:vMerge w:val="continue"/>
          </w:tcPr>
          <w:p>
            <w:pPr>
              <w:spacing w:after="0"/>
              <w:rPr>
                <w:sz w:val="12"/>
                <w:szCs w:val="12"/>
                <w:color w:val="auto"/>
              </w:rPr>
            </w:pPr>
          </w:p>
        </w:tc>
        <w:tc>
          <w:tcPr>
            <w:tcW w:w="3220" w:type="dxa"/>
            <w:vAlign w:val="bottom"/>
            <w:gridSpan w:val="10"/>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9"/>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9"/>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80" w:type="dxa"/>
            <w:vAlign w:val="bottom"/>
            <w:tcBorders>
              <w:bottom w:val="single" w:sz="8" w:color="2C2C2C"/>
            </w:tcBorders>
            <w:gridSpan w:val="8"/>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0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vMerge w:val="restart"/>
          </w:tcPr>
          <w:p>
            <w:pPr>
              <w:ind w:left="480"/>
              <w:spacing w:after="0"/>
              <w:rPr>
                <w:sz w:val="20"/>
                <w:szCs w:val="20"/>
                <w:color w:val="auto"/>
              </w:rPr>
            </w:pPr>
            <w:r>
              <w:rPr>
                <w:rFonts w:ascii="Arial" w:cs="Arial" w:eastAsia="Arial" w:hAnsi="Arial"/>
                <w:sz w:val="17"/>
                <w:szCs w:val="17"/>
                <w:color w:val="0000FF"/>
                <w:w w:val="98"/>
              </w:rPr>
              <w:t>11/03/2022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400" w:type="dxa"/>
            <w:vAlign w:val="bottom"/>
          </w:tcPr>
          <w:p>
            <w:pPr>
              <w:spacing w:after="0"/>
              <w:rPr>
                <w:sz w:val="22"/>
                <w:szCs w:val="22"/>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7"/>
                <w:szCs w:val="17"/>
                <w:color w:val="0000FF"/>
              </w:rPr>
              <w:t>104,090</w:t>
            </w:r>
          </w:p>
        </w:tc>
        <w:tc>
          <w:tcPr>
            <w:tcW w:w="360" w:type="dxa"/>
            <w:vAlign w:val="bottom"/>
            <w:vMerge w:val="restart"/>
          </w:tcPr>
          <w:p>
            <w:pPr>
              <w:jc w:val="center"/>
              <w:ind w:left="87"/>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4.9871</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91"/>
              </w:rPr>
              <w:t>304,787</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vMerge w:val="restart"/>
          </w:tcPr>
          <w:p>
            <w:pPr>
              <w:ind w:left="480"/>
              <w:spacing w:after="0"/>
              <w:rPr>
                <w:sz w:val="20"/>
                <w:szCs w:val="20"/>
                <w:color w:val="auto"/>
              </w:rPr>
            </w:pPr>
            <w:r>
              <w:rPr>
                <w:rFonts w:ascii="Arial" w:cs="Arial" w:eastAsia="Arial" w:hAnsi="Arial"/>
                <w:sz w:val="17"/>
                <w:szCs w:val="17"/>
                <w:color w:val="0000FF"/>
                <w:w w:val="98"/>
              </w:rPr>
              <w:t>11/04/2022</w:t>
            </w: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Arial" w:cs="Arial" w:eastAsia="Arial" w:hAnsi="Arial"/>
                <w:sz w:val="13"/>
                <w:szCs w:val="13"/>
                <w:color w:val="0000FF"/>
              </w:rPr>
              <w:t>P</w:t>
            </w: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right"/>
              <w:ind w:right="69"/>
              <w:spacing w:after="0"/>
              <w:rPr>
                <w:sz w:val="20"/>
                <w:szCs w:val="20"/>
                <w:color w:val="auto"/>
              </w:rPr>
            </w:pPr>
            <w:r>
              <w:rPr>
                <w:rFonts w:ascii="Arial" w:cs="Arial" w:eastAsia="Arial" w:hAnsi="Arial"/>
                <w:sz w:val="17"/>
                <w:szCs w:val="17"/>
                <w:color w:val="0000FF"/>
              </w:rPr>
              <w:t>35,058</w:t>
            </w:r>
          </w:p>
        </w:tc>
        <w:tc>
          <w:tcPr>
            <w:tcW w:w="360" w:type="dxa"/>
            <w:vAlign w:val="bottom"/>
            <w:tcBorders>
              <w:top w:val="single" w:sz="8" w:color="2C2C2C"/>
            </w:tcBorders>
            <w:vMerge w:val="restart"/>
          </w:tcPr>
          <w:p>
            <w:pPr>
              <w:jc w:val="center"/>
              <w:ind w:left="87"/>
              <w:spacing w:after="0"/>
              <w:rPr>
                <w:sz w:val="20"/>
                <w:szCs w:val="20"/>
                <w:color w:val="auto"/>
              </w:rPr>
            </w:pPr>
            <w:r>
              <w:rPr>
                <w:rFonts w:ascii="Arial" w:cs="Arial" w:eastAsia="Arial" w:hAnsi="Arial"/>
                <w:sz w:val="17"/>
                <w:szCs w:val="17"/>
                <w:color w:val="0000FF"/>
              </w:rPr>
              <w:t>A</w:t>
            </w:r>
          </w:p>
        </w:tc>
        <w:tc>
          <w:tcPr>
            <w:tcW w:w="1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4.7156</w:t>
            </w:r>
            <w:r>
              <w:rPr>
                <w:rFonts w:ascii="Arial" w:cs="Arial" w:eastAsia="Arial" w:hAnsi="Arial"/>
                <w:sz w:val="22"/>
                <w:szCs w:val="22"/>
                <w:color w:val="008000"/>
                <w:w w:val="90"/>
                <w:vertAlign w:val="superscript"/>
              </w:rPr>
              <w:t>(4)</w:t>
            </w: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339,845</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2,650,177</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90,442</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000" w:type="dxa"/>
            <w:vAlign w:val="bottom"/>
            <w:tcBorders>
              <w:top w:val="single" w:sz="8" w:color="2C2C2C"/>
              <w:bottom w:val="single" w:sz="8" w:color="2C2C2C"/>
            </w:tcBorders>
            <w:gridSpan w:val="2"/>
          </w:tcPr>
          <w:p>
            <w:pPr>
              <w:jc w:val="center"/>
              <w:ind w:right="160"/>
              <w:spacing w:after="0"/>
              <w:rPr>
                <w:sz w:val="20"/>
                <w:szCs w:val="20"/>
                <w:color w:val="auto"/>
              </w:rPr>
            </w:pPr>
            <w:r>
              <w:rPr>
                <w:rFonts w:ascii="Arial" w:cs="Arial" w:eastAsia="Arial" w:hAnsi="Arial"/>
                <w:sz w:val="17"/>
                <w:szCs w:val="17"/>
                <w:color w:val="0000FF"/>
                <w:w w:val="91"/>
              </w:rPr>
              <w:t>11,103,333</w:t>
            </w:r>
          </w:p>
        </w:tc>
        <w:tc>
          <w:tcPr>
            <w:tcW w:w="920" w:type="dxa"/>
            <w:vAlign w:val="bottom"/>
            <w:tcBorders>
              <w:top w:val="single" w:sz="8" w:color="2C2C2C"/>
              <w:bottom w:val="single" w:sz="8" w:color="2C2C2C"/>
            </w:tcBorders>
            <w:gridSpan w:val="2"/>
          </w:tcPr>
          <w:p>
            <w:pPr>
              <w:jc w:val="center"/>
              <w:ind w:right="22"/>
              <w:spacing w:after="0" w:line="320" w:lineRule="exact"/>
              <w:rPr>
                <w:sz w:val="20"/>
                <w:szCs w:val="20"/>
                <w:color w:val="auto"/>
              </w:rPr>
            </w:pPr>
            <w:r>
              <w:rPr>
                <w:rFonts w:ascii="Arial" w:cs="Arial" w:eastAsia="Arial" w:hAnsi="Arial"/>
                <w:sz w:val="34"/>
                <w:szCs w:val="34"/>
                <w:color w:val="0000FF"/>
                <w:w w:val="87"/>
                <w:vertAlign w:val="subscript"/>
              </w:rPr>
              <w:t>D</w:t>
            </w:r>
            <w:r>
              <w:rPr>
                <w:rFonts w:ascii="Arial" w:cs="Arial" w:eastAsia="Arial" w:hAnsi="Arial"/>
                <w:sz w:val="11"/>
                <w:szCs w:val="11"/>
                <w:color w:val="008000"/>
                <w:w w:val="87"/>
              </w:rPr>
              <w:t>(7)</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7"/>
                <w:szCs w:val="17"/>
                <w:color w:val="0000FF"/>
                <w:w w:val="91"/>
              </w:rPr>
              <w:t>858,035</w:t>
            </w:r>
          </w:p>
        </w:tc>
        <w:tc>
          <w:tcPr>
            <w:tcW w:w="360" w:type="dxa"/>
            <w:vAlign w:val="bottom"/>
          </w:tcPr>
          <w:p>
            <w:pPr>
              <w:spacing w:after="0"/>
              <w:rPr>
                <w:sz w:val="22"/>
                <w:szCs w:val="22"/>
                <w:color w:val="auto"/>
              </w:rPr>
            </w:pPr>
          </w:p>
        </w:tc>
        <w:tc>
          <w:tcPr>
            <w:tcW w:w="560" w:type="dxa"/>
            <w:vAlign w:val="bottom"/>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968,990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2,265,758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60"/>
              <w:spacing w:after="0"/>
              <w:rPr>
                <w:sz w:val="20"/>
                <w:szCs w:val="20"/>
                <w:color w:val="auto"/>
              </w:rPr>
            </w:pPr>
            <w:r>
              <w:rPr>
                <w:rFonts w:ascii="Arial" w:cs="Arial" w:eastAsia="Arial" w:hAnsi="Arial"/>
                <w:sz w:val="17"/>
                <w:szCs w:val="17"/>
                <w:color w:val="0000FF"/>
                <w:w w:val="92"/>
              </w:rPr>
              <w:t>1,298,908</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1"/>
              </w:rPr>
              <w:t>100,000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15,000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gridSpan w:val="2"/>
            <w:vMerge w:val="restart"/>
          </w:tcPr>
          <w:p>
            <w:pPr>
              <w:jc w:val="center"/>
              <w:ind w:right="140"/>
              <w:spacing w:after="0"/>
              <w:rPr>
                <w:sz w:val="20"/>
                <w:szCs w:val="20"/>
                <w:color w:val="auto"/>
              </w:rPr>
            </w:pPr>
            <w:r>
              <w:rPr>
                <w:rFonts w:ascii="Arial" w:cs="Arial" w:eastAsia="Arial" w:hAnsi="Arial"/>
                <w:sz w:val="17"/>
                <w:szCs w:val="17"/>
                <w:color w:val="0000FF"/>
                <w:w w:val="92"/>
              </w:rPr>
              <w:t>44,000</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jc w:val="center"/>
              <w:ind w:right="38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8"/>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25" w:right="359" w:bottom="37"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520" w:type="dxa"/>
            <w:vAlign w:val="bottom"/>
            <w:gridSpan w:val="14"/>
          </w:tcPr>
          <w:p>
            <w:pPr>
              <w:ind w:left="400"/>
              <w:spacing w:after="0" w:line="54" w:lineRule="exact"/>
              <w:rPr>
                <w:sz w:val="20"/>
                <w:szCs w:val="20"/>
                <w:color w:val="auto"/>
              </w:rPr>
            </w:pPr>
            <w:r>
              <w:rPr>
                <w:rFonts w:ascii="Arial" w:cs="Arial" w:eastAsia="Arial" w:hAnsi="Arial"/>
                <w:sz w:val="6"/>
                <w:szCs w:val="6"/>
                <w:b w:val="1"/>
                <w:bCs w:val="1"/>
                <w:color w:val="auto"/>
              </w:rPr>
              <w:t>Table II - Derivative Securities Acquired, Disposed of, or Beneficially Owned</w:t>
            </w: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tcPr>
          <w:p>
            <w:pPr>
              <w:ind w:left="460"/>
              <w:spacing w:after="0" w:line="80" w:lineRule="exact"/>
              <w:rPr>
                <w:sz w:val="20"/>
                <w:szCs w:val="20"/>
                <w:color w:val="auto"/>
              </w:rPr>
            </w:pPr>
            <w:r>
              <w:rPr>
                <w:rFonts w:ascii="Arial" w:cs="Arial" w:eastAsia="Arial" w:hAnsi="Arial"/>
                <w:sz w:val="8"/>
                <w:szCs w:val="8"/>
                <w:b w:val="1"/>
                <w:bCs w:val="1"/>
                <w:color w:val="auto"/>
              </w:rPr>
              <w:t>or</w:t>
            </w:r>
          </w:p>
        </w:tc>
        <w:tc>
          <w:tcPr>
            <w:tcW w:w="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60" w:type="dxa"/>
            <w:vAlign w:val="bottom"/>
            <w:gridSpan w:val="9"/>
          </w:tcPr>
          <w:p>
            <w:pPr>
              <w:ind w:left="480"/>
              <w:spacing w:after="0" w:line="144" w:lineRule="exact"/>
              <w:rPr>
                <w:sz w:val="20"/>
                <w:szCs w:val="20"/>
                <w:color w:val="auto"/>
              </w:rPr>
            </w:pPr>
            <w:r>
              <w:rPr>
                <w:rFonts w:ascii="Arial" w:cs="Arial" w:eastAsia="Arial" w:hAnsi="Arial"/>
                <w:sz w:val="16"/>
                <w:szCs w:val="16"/>
                <w:b w:val="1"/>
                <w:bCs w:val="1"/>
                <w:color w:val="auto"/>
              </w:rPr>
              <w:t xml:space="preserve">(e.g., puts, calls, warrants, options, convertible </w:t>
            </w:r>
            <w:r>
              <w:rPr>
                <w:rFonts w:ascii="Arial" w:cs="Arial" w:eastAsia="Arial" w:hAnsi="Arial"/>
                <w:sz w:val="10"/>
                <w:szCs w:val="10"/>
                <w:b w:val="1"/>
                <w:bCs w:val="1"/>
                <w:color w:val="auto"/>
              </w:rPr>
              <w:t>securities)Numb</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3A. Deemed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w w:val="72"/>
              </w:rPr>
              <w:t>6Exercisable.DateExercisableDate and</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8"/>
              </w:rPr>
              <w:t>7Title.Title Sharesand</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2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2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7"/>
                <w:szCs w:val="7"/>
                <w:color w:val="auto"/>
              </w:rPr>
              <w:t>1. Name and Address of Reporting Person</w:t>
            </w:r>
            <w:r>
              <w:rPr>
                <w:rFonts w:ascii="Arial" w:cs="Arial" w:eastAsia="Arial" w:hAnsi="Arial"/>
                <w:sz w:val="9"/>
                <w:szCs w:val="9"/>
                <w:color w:val="auto"/>
                <w:vertAlign w:val="superscript"/>
              </w:rPr>
              <w:t>*</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Arial" w:cs="Arial" w:eastAsia="Arial" w:hAnsi="Arial"/>
                <w:sz w:val="2"/>
                <w:szCs w:val="2"/>
                <w:color w:val="0000EE"/>
              </w:rPr>
              <w:t>COLUMN GROUP L P</w:t>
            </w: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0"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03" w:lineRule="exact"/>
              <w:rPr>
                <w:sz w:val="20"/>
                <w:szCs w:val="20"/>
                <w:color w:val="auto"/>
              </w:rPr>
            </w:pPr>
            <w:r>
              <w:rPr>
                <w:rFonts w:ascii="Arial" w:cs="Arial" w:eastAsia="Arial" w:hAnsi="Arial"/>
                <w:sz w:val="11"/>
                <w:szCs w:val="11"/>
                <w:b w:val="1"/>
                <w:bCs w:val="1"/>
                <w:color w:val="auto"/>
              </w:rPr>
              <w:t>3 and 4)</w:t>
            </w:r>
          </w:p>
        </w:tc>
        <w:tc>
          <w:tcPr>
            <w:tcW w:w="640" w:type="dxa"/>
            <w:vAlign w:val="bottom"/>
          </w:tcPr>
          <w:p>
            <w:pPr>
              <w:spacing w:after="0"/>
              <w:rPr>
                <w:sz w:val="11"/>
                <w:szCs w:val="11"/>
                <w:color w:val="auto"/>
              </w:rPr>
            </w:pPr>
          </w:p>
        </w:tc>
        <w:tc>
          <w:tcPr>
            <w:tcW w:w="960" w:type="dxa"/>
            <w:vAlign w:val="bottom"/>
          </w:tcPr>
          <w:p>
            <w:pPr>
              <w:ind w:left="80"/>
              <w:spacing w:after="0" w:line="103"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tcPr>
          <w:p>
            <w:pPr>
              <w:ind w:left="80"/>
              <w:spacing w:after="0" w:line="118"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6"/>
            <w:vMerge w:val="restart"/>
          </w:tcPr>
          <w:p>
            <w:pPr>
              <w:spacing w:after="0"/>
              <w:rPr>
                <w:sz w:val="20"/>
                <w:szCs w:val="20"/>
                <w:color w:val="auto"/>
              </w:rPr>
            </w:pPr>
            <w:r>
              <w:rPr>
                <w:rFonts w:ascii="Arial" w:cs="Arial" w:eastAsia="Arial" w:hAnsi="Arial"/>
                <w:sz w:val="17"/>
                <w:szCs w:val="17"/>
                <w:color w:val="0000FF"/>
                <w:highlight w:val="white"/>
              </w:rPr>
              <w:t>1 LETTERMAN DRIVE</w:t>
            </w: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5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8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highlight w:val="white"/>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gridSpan w:val="2"/>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highlight w:val="white"/>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28"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highlight w:val="white"/>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gridSpan w:val="2"/>
            <w:vMerge w:val="continue"/>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gridSpan w:val="3"/>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800" w:type="dxa"/>
            <w:vAlign w:val="bottom"/>
            <w:tcBorders>
              <w:bottom w:val="single" w:sz="8" w:color="808080"/>
            </w:tcBorders>
            <w:vMerge w:val="continue"/>
          </w:tcPr>
          <w:p>
            <w:pPr>
              <w:spacing w:after="0"/>
              <w:rPr>
                <w:sz w:val="8"/>
                <w:szCs w:val="8"/>
                <w:color w:val="auto"/>
              </w:rPr>
            </w:pPr>
          </w:p>
        </w:tc>
        <w:tc>
          <w:tcPr>
            <w:tcW w:w="740" w:type="dxa"/>
            <w:vAlign w:val="bottom"/>
            <w:tcBorders>
              <w:bottom w:val="single" w:sz="8" w:color="808080"/>
            </w:tcBorders>
            <w:vMerge w:val="continue"/>
          </w:tcPr>
          <w:p>
            <w:pPr>
              <w:spacing w:after="0"/>
              <w:rPr>
                <w:sz w:val="8"/>
                <w:szCs w:val="8"/>
                <w:color w:val="auto"/>
              </w:rPr>
            </w:pPr>
          </w:p>
        </w:tc>
        <w:tc>
          <w:tcPr>
            <w:tcW w:w="1060" w:type="dxa"/>
            <w:vAlign w:val="bottom"/>
            <w:tcBorders>
              <w:bottom w:val="single" w:sz="8" w:color="808080"/>
            </w:tcBorders>
            <w:gridSpan w:val="2"/>
            <w:vMerge w:val="continue"/>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COLUMN GROUP GP,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COLUMN GROUP III,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COLUMN GROUP III-A,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1700 OWENS STREET</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Column Group IV,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1 LETTERMAN DRIVE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BUILDING D, SUITE DM-900</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760" w:type="dxa"/>
            <w:vAlign w:val="bottom"/>
          </w:tcPr>
          <w:p>
            <w:pPr>
              <w:spacing w:after="0"/>
              <w:rPr>
                <w:sz w:val="20"/>
                <w:szCs w:val="20"/>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80" w:type="dxa"/>
            <w:vAlign w:val="bottom"/>
            <w:gridSpan w:val="4"/>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175" w:right="359" w:bottom="0" w:gutter="0" w:footer="0" w:header="0"/>
        </w:sectPr>
      </w:pPr>
    </w:p>
    <w:p>
      <w:pPr>
        <w:ind w:left="12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Column Group IV-A, LP</w:t>
        </w:r>
      </w:hyperlink>
    </w:p>
    <w:p>
      <w:pPr>
        <w:sectPr>
          <w:pgSz w:w="11900" w:h="16838" w:orient="portrait"/>
          <w:cols w:equalWidth="0" w:num="1">
            <w:col w:w="11080"/>
          </w:cols>
          <w:pgMar w:left="460" w:top="175" w:right="359" w:bottom="0" w:gutter="0" w:footer="0" w:header="0"/>
          <w:type w:val="continuous"/>
        </w:sectPr>
      </w:pPr>
    </w:p>
    <w:bookmarkStart w:id="2" w:name="page3"/>
    <w:bookmarkEnd w:id="2"/>
    <w:p>
      <w:pPr>
        <w:spacing w:after="0" w:line="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93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09240" cy="9193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660" w:type="dxa"/>
            <w:vAlign w:val="bottom"/>
            <w:gridSpan w:val="4"/>
          </w:tcPr>
          <w:p>
            <w:pPr>
              <w:spacing w:after="0" w:line="221" w:lineRule="exact"/>
              <w:rPr>
                <w:rFonts w:ascii="Arial" w:cs="Arial" w:eastAsia="Arial" w:hAnsi="Arial"/>
                <w:sz w:val="21"/>
                <w:szCs w:val="21"/>
                <w:color w:val="0000EE"/>
              </w:rPr>
            </w:pPr>
            <w:hyperlink r:id="rId23">
              <w:r>
                <w:rPr>
                  <w:rFonts w:ascii="Arial" w:cs="Arial" w:eastAsia="Arial" w:hAnsi="Arial"/>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Arial" w:cs="Arial" w:eastAsia="Arial" w:hAnsi="Arial"/>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460" w:type="dxa"/>
            <w:vAlign w:val="bottom"/>
            <w:gridSpan w:val="3"/>
            <w:vMerge w:val="restart"/>
          </w:tcPr>
          <w:p>
            <w:pPr>
              <w:ind w:left="20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60" w:type="dxa"/>
            <w:vAlign w:val="bottom"/>
            <w:gridSpan w:val="3"/>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4">
        <w:r>
          <w:rPr>
            <w:rFonts w:ascii="Arial" w:cs="Arial" w:eastAsia="Arial" w:hAnsi="Arial"/>
            <w:sz w:val="21"/>
            <w:szCs w:val="21"/>
            <w:u w:val="single" w:color="auto"/>
            <w:color w:val="0000EE"/>
          </w:rPr>
          <w:t>Column Group Opportunity III,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640" w:type="dxa"/>
            <w:vAlign w:val="bottom"/>
            <w:vMerge w:val="restart"/>
          </w:tcPr>
          <w:p>
            <w:pPr>
              <w:ind w:left="280"/>
              <w:spacing w:after="0"/>
              <w:rPr>
                <w:sz w:val="20"/>
                <w:szCs w:val="20"/>
                <w:color w:val="auto"/>
              </w:rPr>
            </w:pPr>
            <w:r>
              <w:rPr>
                <w:rFonts w:ascii="Arial" w:cs="Arial" w:eastAsia="Arial" w:hAnsi="Arial"/>
                <w:sz w:val="17"/>
                <w:szCs w:val="17"/>
                <w:color w:val="0000FF"/>
              </w:rPr>
              <w:t>94129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5">
        <w:r>
          <w:rPr>
            <w:rFonts w:ascii="Arial" w:cs="Arial" w:eastAsia="Arial" w:hAnsi="Arial"/>
            <w:sz w:val="21"/>
            <w:szCs w:val="21"/>
            <w:u w:val="single" w:color="auto"/>
            <w:color w:val="0000EE"/>
          </w:rPr>
          <w:t>Column Group Opportunity III GP,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BUILDING D, SUITE DM-900</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10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860" w:type="dxa"/>
            <w:vAlign w:val="bottom"/>
            <w:vMerge w:val="restart"/>
          </w:tcPr>
          <w:p>
            <w:pPr>
              <w:ind w:left="500"/>
              <w:spacing w:after="0"/>
              <w:rPr>
                <w:sz w:val="20"/>
                <w:szCs w:val="20"/>
                <w:color w:val="auto"/>
              </w:rPr>
            </w:pPr>
            <w:r>
              <w:rPr>
                <w:rFonts w:ascii="Arial" w:cs="Arial" w:eastAsia="Arial" w:hAnsi="Arial"/>
                <w:sz w:val="17"/>
                <w:szCs w:val="17"/>
                <w:color w:val="0000FF"/>
              </w:rPr>
              <w:t>94129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1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1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$4.95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jc w:val="both"/>
        <w:ind w:left="20" w:right="80" w:firstLine="7"/>
        <w:spacing w:after="0" w:line="272"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Opportunity III, LP ("TCG Opportunity III LP"). The Column Group Opportunity III GP, LP ("TCG Opportunity III GP LP") is the general partner of TCG Opportunity III LP and may be deemed to have voting and investment power with respect to these securities. TCG Opportunity III GP, LLC ("TCG Opportunity III GP LLC") is the general partner of TCG Opportunity III GP LP and the ultimate general partner of TCG Opportunity III LP and may be deemed to have voting and investment power with respect to these securities. The managing members of TCG Opportunity III GP LLC are David Goeddel, a member of the issuer's board of directors, Peter Svennilson and Tim Kutzkey (collectively, the "TCG Managing Members").</w:t>
      </w:r>
    </w:p>
    <w:p>
      <w:pPr>
        <w:spacing w:after="0" w:line="14" w:lineRule="exact"/>
        <w:rPr>
          <w:rFonts w:ascii="Arial" w:cs="Arial" w:eastAsia="Arial" w:hAnsi="Arial"/>
          <w:sz w:val="12"/>
          <w:szCs w:val="12"/>
          <w:color w:val="008000"/>
        </w:rPr>
      </w:pPr>
    </w:p>
    <w:p>
      <w:pPr>
        <w:ind w:left="2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The TCG Managing Members may be deemed to share voting and investment power with respect to such securities. TCG Opportunity III GP LP, TCG Opportunity III GP LLC and each of the TCG Managing Members disclaim beneficial ownership of these securities, except to the extent of their respective pecuniary interest in such securities.</w:t>
      </w:r>
    </w:p>
    <w:p>
      <w:pPr>
        <w:jc w:val="both"/>
        <w:ind w:left="20" w:right="14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acquired in multiple transactions at prices ranging from $4.30 to $4.99, inclusive. The Reporting Persons undertake to provide to the Issuer or the staff of the Securities and Exchange Commission, upon request, full information regarding the number of shares acquired at each separate price within the ranges set forth in</w:t>
      </w:r>
    </w:p>
    <w:p>
      <w:pPr>
        <w:sectPr>
          <w:pgSz w:w="11900" w:h="16862" w:orient="portrait"/>
          <w:cols w:equalWidth="0" w:num="1">
            <w:col w:w="10840"/>
          </w:cols>
          <w:pgMar w:left="480" w:top="312" w:right="579" w:bottom="0" w:gutter="0" w:footer="0" w:header="0"/>
        </w:sectPr>
      </w:pPr>
    </w:p>
    <w:bookmarkStart w:id="3" w:name="page4"/>
    <w:bookmarkEnd w:id="3"/>
    <w:p>
      <w:pPr>
        <w:spacing w:after="0"/>
        <w:rPr>
          <w:sz w:val="20"/>
          <w:szCs w:val="20"/>
          <w:color w:val="auto"/>
        </w:rPr>
      </w:pPr>
      <w:r>
        <w:rPr>
          <w:rFonts w:ascii="Arial" w:cs="Arial" w:eastAsia="Arial" w:hAnsi="Arial"/>
          <w:sz w:val="13"/>
          <w:szCs w:val="13"/>
          <w:color w:val="008000"/>
        </w:rPr>
        <w:t>this footnote 4 to this Form 4.</w:t>
      </w:r>
    </w:p>
    <w:p>
      <w:pPr>
        <w:spacing w:after="0" w:line="50" w:lineRule="exact"/>
        <w:rPr>
          <w:sz w:val="20"/>
          <w:szCs w:val="20"/>
          <w:color w:val="auto"/>
        </w:rPr>
      </w:pPr>
    </w:p>
    <w:p>
      <w:pPr>
        <w:ind w:right="2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jc w:val="both"/>
        <w:ind w:right="6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Managing Members. The TCG Managing Members may be deemed to share voting and investment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2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(collectively,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jc w:val="both"/>
        <w:ind w:right="180" w:firstLine="7"/>
        <w:spacing w:after="0" w:line="281" w:lineRule="auto"/>
        <w:tabs>
          <w:tab w:leader="none" w:pos="133"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Managing Members. The TCG Managing Members may be deemed to share voting and investment power with respect to such securities. TCG III GP and each of the TCG Managing Members disclaim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right="100" w:firstLine="7"/>
        <w:spacing w:after="0" w:line="281" w:lineRule="auto"/>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 LP ("TCG II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right="100" w:firstLine="7"/>
        <w:spacing w:after="0" w:line="245"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TCG Managing Members. The TCG Managing Members may be deemed to share voting and investment power with respect to such securities. Ponoi LLC and the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Managing Members. The TCG Managing Members may be deemed to share voting and investment power with respect to such securities. Ponoi II LLC and the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40" w:firstLine="7"/>
        <w:spacing w:after="0" w:line="301" w:lineRule="auto"/>
        <w:tabs>
          <w:tab w:leader="none" w:pos="20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members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the TCG Managing Members. The TCG Managing Members may be deemed to share voting and investment power with respect to such securities. Each of the TCG Managing Members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owned solely by Tim Kutzkey.</w:t>
      </w:r>
    </w:p>
    <w:p>
      <w:pPr>
        <w:spacing w:after="0" w:line="50"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2 of 3.</w:t>
      </w:r>
    </w:p>
    <w:p>
      <w:pPr>
        <w:sectPr>
          <w:pgSz w:w="11900" w:h="16838" w:orient="portrait"/>
          <w:cols w:equalWidth="0" w:num="1">
            <w:col w:w="10900"/>
          </w:cols>
          <w:pgMar w:left="500" w:top="131" w:right="499" w:bottom="610" w:gutter="0" w:footer="0" w:header="0"/>
        </w:sectPr>
      </w:pP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280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280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11/07/2022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540" w:space="200"/>
            <w:col w:w="2160"/>
          </w:cols>
          <w:pgMar w:left="500" w:top="131" w:right="499" w:bottom="61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6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9" Type="http://schemas.openxmlformats.org/officeDocument/2006/relationships/image" Target="media/image6.png"/><Relationship Id="rId21"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14627" TargetMode="External"/><Relationship Id="rId16"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2" Type="http://schemas.openxmlformats.org/officeDocument/2006/relationships/hyperlink" Target="http://www.sec.gov/cgi-bin/browse-edgar?action=getcompany&amp;CIK=0001796356" TargetMode="External"/><Relationship Id="rId23" Type="http://schemas.openxmlformats.org/officeDocument/2006/relationships/hyperlink" Target="http://www.sec.gov/cgi-bin/browse-edgar?action=getcompany&amp;CIK=0001796359" TargetMode="External"/><Relationship Id="rId24" Type="http://schemas.openxmlformats.org/officeDocument/2006/relationships/hyperlink" Target="http://www.sec.gov/cgi-bin/browse-edgar?action=getcompany&amp;CIK=0001931825" TargetMode="External"/><Relationship Id="rId25" Type="http://schemas.openxmlformats.org/officeDocument/2006/relationships/hyperlink" Target="http://www.sec.gov/cgi-bin/browse-edgar?action=getcompany&amp;CIK=00019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2022-11-07T15:55:41Z</dcterms:created>
  <dcterms:modified xsi:type="dcterms:W3CDTF">2022-11-07T15:55:41Z</dcterms:modified>
</cp:coreProperties>
</file>