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8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94129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17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00" w:type="dxa"/>
            <w:vAlign w:val="bottom"/>
          </w:tcPr>
          <w:p>
            <w:pPr>
              <w:spacing w:after="0"/>
              <w:rPr>
                <w:sz w:val="13"/>
                <w:szCs w:val="13"/>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949,862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2,650,177</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90,442</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11,103,333</w:t>
            </w:r>
          </w:p>
        </w:tc>
        <w:tc>
          <w:tcPr>
            <w:tcW w:w="4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bottom w:val="single" w:sz="8" w:color="2C2C2C"/>
            </w:tcBorders>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left="2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2,265,758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44,000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J</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rPr>
              <w:t>(17)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26"/>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0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017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12"/>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3"/>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3"/>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10"/>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10"/>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ind w:left="460"/>
              <w:spacing w:after="0" w:line="93" w:lineRule="exact"/>
              <w:rPr>
                <w:sz w:val="20"/>
                <w:szCs w:val="20"/>
                <w:color w:val="auto"/>
              </w:rPr>
            </w:pPr>
            <w:r>
              <w:rPr>
                <w:rFonts w:ascii="Arial" w:cs="Arial" w:eastAsia="Arial" w:hAnsi="Arial"/>
                <w:sz w:val="10"/>
                <w:szCs w:val="10"/>
                <w:b w:val="1"/>
                <w:bCs w:val="1"/>
                <w:color w:val="auto"/>
              </w:rPr>
              <w:t>or</w:t>
            </w: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3"/>
          </w:tcPr>
          <w:p>
            <w:pPr>
              <w:ind w:left="60"/>
              <w:spacing w:after="0" w:line="134"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6"/>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0000FF"/>
                <w:highlight w:val="white"/>
              </w:rPr>
              <w:t>CA</w:t>
            </w:r>
          </w:p>
        </w:tc>
        <w:tc>
          <w:tcPr>
            <w:tcW w:w="680" w:type="dxa"/>
            <w:vAlign w:val="bottom"/>
            <w:gridSpan w:val="2"/>
            <w:vMerge w:val="restart"/>
          </w:tcPr>
          <w:p>
            <w:pPr>
              <w:ind w:left="240"/>
              <w:spacing w:after="0" w:line="181" w:lineRule="exact"/>
              <w:rPr>
                <w:sz w:val="20"/>
                <w:szCs w:val="20"/>
                <w:color w:val="auto"/>
              </w:rPr>
            </w:pPr>
            <w:r>
              <w:rPr>
                <w:rFonts w:ascii="Times New Roman" w:cs="Times New Roman" w:eastAsia="Times New Roman" w:hAnsi="Times New Roman"/>
                <w:sz w:val="17"/>
                <w:szCs w:val="17"/>
                <w:color w:val="0000FF"/>
                <w:highlight w:val="white"/>
                <w:w w:val="98"/>
              </w:rPr>
              <w:t>94129</w:t>
            </w:r>
          </w:p>
        </w:tc>
        <w:tc>
          <w:tcPr>
            <w:tcW w:w="42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w w:val="98"/>
              </w:rPr>
              <w:t>FRANCISCO</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top w:val="single" w:sz="8" w:color="808080"/>
            </w:tcBorders>
          </w:tcPr>
          <w:p>
            <w:pPr>
              <w:spacing w:after="0"/>
              <w:rPr>
                <w:sz w:val="12"/>
                <w:szCs w:val="12"/>
                <w:color w:val="auto"/>
              </w:rPr>
            </w:pPr>
          </w:p>
        </w:tc>
        <w:tc>
          <w:tcPr>
            <w:tcW w:w="26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808080"/>
            </w:tcBorders>
          </w:tcPr>
          <w:p>
            <w:pPr>
              <w:spacing w:after="0"/>
              <w:rPr>
                <w:sz w:val="12"/>
                <w:szCs w:val="12"/>
                <w:color w:val="auto"/>
              </w:rPr>
            </w:pPr>
          </w:p>
        </w:tc>
        <w:tc>
          <w:tcPr>
            <w:tcW w:w="660" w:type="dxa"/>
            <w:vAlign w:val="bottom"/>
            <w:tcBorders>
              <w:top w:val="single" w:sz="8" w:color="808080"/>
            </w:tcBorders>
          </w:tcPr>
          <w:p>
            <w:pPr>
              <w:spacing w:after="0"/>
              <w:rPr>
                <w:sz w:val="12"/>
                <w:szCs w:val="12"/>
                <w:color w:val="auto"/>
              </w:rPr>
            </w:pPr>
          </w:p>
        </w:tc>
        <w:tc>
          <w:tcPr>
            <w:tcW w:w="180" w:type="dxa"/>
            <w:vAlign w:val="bottom"/>
            <w:tcBorders>
              <w:top w:val="single" w:sz="8" w:color="808080"/>
            </w:tcBorders>
          </w:tcPr>
          <w:p>
            <w:pPr>
              <w:spacing w:after="0"/>
              <w:rPr>
                <w:sz w:val="12"/>
                <w:szCs w:val="12"/>
                <w:color w:val="auto"/>
              </w:rPr>
            </w:pPr>
          </w:p>
        </w:tc>
        <w:tc>
          <w:tcPr>
            <w:tcW w:w="240" w:type="dxa"/>
            <w:vAlign w:val="bottom"/>
            <w:tcBorders>
              <w:top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440" w:type="dxa"/>
            <w:vAlign w:val="bottom"/>
            <w:tcBorders>
              <w:top w:val="single" w:sz="8" w:color="808080"/>
            </w:tcBorders>
          </w:tcPr>
          <w:p>
            <w:pPr>
              <w:spacing w:after="0"/>
              <w:rPr>
                <w:sz w:val="12"/>
                <w:szCs w:val="12"/>
                <w:color w:val="auto"/>
              </w:rPr>
            </w:pPr>
          </w:p>
        </w:tc>
        <w:tc>
          <w:tcPr>
            <w:tcW w:w="60" w:type="dxa"/>
            <w:vAlign w:val="bottom"/>
            <w:tcBorders>
              <w:top w:val="single" w:sz="8" w:color="808080"/>
            </w:tcBorders>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2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80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98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9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6"/>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6"/>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6"/>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6"/>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2024, the Issuer, Atlas Neon Parent, Inc. ("Parent") and Atlas Neon Merger Sub, Inc., a wholly-owned subsidiary of Parent ("Purchaser") entered into an Agreement and Plan of Merger, pursuant to which the Purchaser completed a tender offer for the shares of common stock of the Issuer and thereafter merged with and into the Issuer effective as of April 5, 2024 (the "Effective Time"). Concurrently with the execution of the Merger Agreement, Parent and Purchaser entered into a rollover agreement, dated as of the date of the Merger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Agreement"). (cont'd in FN 2)</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1) In addition, Parent and Purchaser entered into a rollover agreement, dated as of the date of the Merger Agreement (supplemented by the joinder thereto), with certain of NGM's other stockholders, including Dr. Goeddel (the "Stockholder Rollover Agreement" and, together with the TCG Rollover Agreement, the "Rollover Agreements"). Pursuant to the Rollover Agreements, every 1 share of the Issuer subject to the Rollover Agreement was exchanged for 100 shares of Parent. This Form 4 reports securities disposed of pursuant to the Rollover Agreements.</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w:t>
      </w:r>
    </w:p>
    <w:p>
      <w:pPr>
        <w:sectPr>
          <w:pgSz w:w="11900" w:h="16838" w:orient="portrait"/>
          <w:cols w:equalWidth="0" w:num="1">
            <w:col w:w="10880"/>
          </w:cols>
          <w:pgMar w:left="480" w:top="300" w:right="539" w:bottom="0" w:gutter="0" w:footer="0" w:header="0"/>
        </w:sectPr>
      </w:pPr>
    </w:p>
    <w:bookmarkStart w:id="3" w:name="page4"/>
    <w:bookmarkEnd w:id="3"/>
    <w:p>
      <w:pPr>
        <w:ind w:right="340"/>
        <w:spacing w:after="0" w:line="272" w:lineRule="auto"/>
        <w:rPr>
          <w:sz w:val="20"/>
          <w:szCs w:val="20"/>
          <w:color w:val="auto"/>
        </w:rPr>
      </w:pPr>
      <w:r>
        <w:rPr>
          <w:rFonts w:ascii="Times New Roman" w:cs="Times New Roman" w:eastAsia="Times New Roman" w:hAnsi="Times New Roman"/>
          <w:sz w:val="13"/>
          <w:szCs w:val="13"/>
          <w:color w:val="008000"/>
        </w:rPr>
        <w:t>these securities. The managing members of TCG Opportunity III GP LLC are David Goeddel, a member of the issuer's board of directors, Peter Svennilson and Tim Kutzkey (collectively, the "TCG Managing Members"). (cont'd in FN 3)</w:t>
      </w:r>
    </w:p>
    <w:p>
      <w:pPr>
        <w:spacing w:after="0" w:line="8" w:lineRule="exact"/>
        <w:rPr>
          <w:sz w:val="20"/>
          <w:szCs w:val="20"/>
          <w:color w:val="auto"/>
        </w:rPr>
      </w:pPr>
    </w:p>
    <w:p>
      <w:pPr>
        <w:ind w:right="1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right="1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cente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TCG GP. The managing members of TCG GP are the TCG Managing Partners. The TCG Managing Partners may be deemed to share voting, investment and</w:t>
      </w:r>
    </w:p>
    <w:p>
      <w:pPr>
        <w:spacing w:after="0" w:line="11" w:lineRule="exact"/>
        <w:rPr>
          <w:rFonts w:ascii="Times New Roman" w:cs="Times New Roman" w:eastAsia="Times New Roman" w:hAnsi="Times New Roman"/>
          <w:sz w:val="13"/>
          <w:szCs w:val="13"/>
          <w:color w:val="008000"/>
        </w:rPr>
      </w:pPr>
    </w:p>
    <w:p>
      <w:pPr>
        <w:ind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dispositive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Peter Svennilson.</w:t>
      </w:r>
    </w:p>
    <w:p>
      <w:pPr>
        <w:spacing w:after="0" w:line="50" w:lineRule="exact"/>
        <w:rPr>
          <w:rFonts w:ascii="Times New Roman" w:cs="Times New Roman" w:eastAsia="Times New Roman" w:hAnsi="Times New Roman"/>
          <w:sz w:val="13"/>
          <w:szCs w:val="13"/>
          <w:color w:val="008000"/>
        </w:rPr>
      </w:pPr>
    </w:p>
    <w:p>
      <w:pPr>
        <w:jc w:val="both"/>
        <w:ind w:right="1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Purchaser merged with and into the Issuer pursuant to Section 251(h) of the Delaware General Corporation Law, with the Issuer surviving as a wholly-owned subsidiary of the Parent. As a result, Parent holds all of the issued and outstanding shares of common stock (equaling 1,000 shares) of the Issuer. TCG LP owns 28.1% of Parent and is the general partner of Parent. Peter Svennilson and Dr. Goeddel are the managing partners of TCG GP, which is the general partner of TCG 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1 of 3.</w:t>
      </w:r>
    </w:p>
    <w:p>
      <w:pPr>
        <w:sectPr>
          <w:pgSz w:w="11900" w:h="16838" w:orient="portrait"/>
          <w:cols w:equalWidth="0" w:num="1">
            <w:col w:w="10880"/>
          </w:cols>
          <w:pgMar w:left="500" w:top="127" w:right="51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880" w:firstLine="7"/>
        <w:spacing w:after="0" w:line="36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580" w:space="160"/>
            <w:col w:w="2140"/>
          </w:cols>
          <w:pgMar w:left="500" w:top="127" w:right="519" w:bottom="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600420" TargetMode="External"/><Relationship Id="rId23" Type="http://schemas.openxmlformats.org/officeDocument/2006/relationships/hyperlink" Target="http://www.sec.gov/cgi-bin/browse-edgar?action=getcompany&amp;CIK=0001645340" TargetMode="External"/><Relationship Id="rId24"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2024-04-08T19:17:17Z</dcterms:created>
  <dcterms:modified xsi:type="dcterms:W3CDTF">2024-04-08T19:17:17Z</dcterms:modified>
</cp:coreProperties>
</file>